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 xml:space="preserve">Date of Report (Date of earliest event reported): </w:t>
      </w:r>
      <w:r>
        <w:rPr>
          <w:rFonts w:ascii="Times New Roman" w:cs="Times New Roman" w:eastAsia="Times New Roman" w:hAnsi="Times New Roman"/>
          <w:sz w:val="17"/>
          <w:szCs w:val="17"/>
          <w:color w:val="auto"/>
        </w:rPr>
        <w:t>December 11, 2024 (December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2640965</wp:posOffset>
            </wp:positionH>
            <wp:positionV relativeFrom="paragraph">
              <wp:posOffset>95885</wp:posOffset>
            </wp:positionV>
            <wp:extent cx="1834515"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451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WILLSCOT HOLDINGS CORPORATION</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40" w:top="1184" w:right="339" w:bottom="1440" w:gutter="0" w:footer="0" w:header="0"/>
        </w:sectPr>
      </w:pPr>
    </w:p>
    <w:p>
      <w:pPr>
        <w:spacing w:after="0" w:line="307"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7"/>
          <w:szCs w:val="17"/>
          <w:b w:val="1"/>
          <w:bCs w:val="1"/>
          <w:color w:val="auto"/>
        </w:rPr>
        <w:t>001-37552</w:t>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82-3430194</w:t>
      </w:r>
    </w:p>
    <w:p>
      <w:pPr>
        <w:spacing w:after="0" w:line="67" w:lineRule="exact"/>
        <w:rPr>
          <w:sz w:val="24"/>
          <w:szCs w:val="24"/>
          <w:color w:val="auto"/>
        </w:rPr>
      </w:pPr>
    </w:p>
    <w:p>
      <w:pPr>
        <w:sectPr>
          <w:pgSz w:w="11900" w:h="16838" w:orient="portrait"/>
          <w:cols w:equalWidth="0" w:num="3">
            <w:col w:w="4360" w:space="720"/>
            <w:col w:w="2040" w:space="720"/>
            <w:col w:w="3380"/>
          </w:cols>
          <w:pgMar w:left="340" w:top="1184" w:right="339"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7" w:lineRule="exact"/>
        <w:rPr>
          <w:sz w:val="24"/>
          <w:szCs w:val="24"/>
          <w:color w:val="auto"/>
        </w:rPr>
      </w:pPr>
    </w:p>
    <w:p>
      <w:pPr>
        <w:sectPr>
          <w:pgSz w:w="11900" w:h="16838" w:orient="portrait"/>
          <w:cols w:equalWidth="0" w:num="3">
            <w:col w:w="3820" w:space="640"/>
            <w:col w:w="2000" w:space="520"/>
            <w:col w:w="4240"/>
          </w:cols>
          <w:pgMar w:left="340" w:top="1184" w:right="339" w:bottom="1440" w:gutter="0" w:footer="0" w:header="0"/>
          <w:type w:val="continuous"/>
        </w:sectPr>
      </w:pPr>
    </w:p>
    <w:p>
      <w:pPr>
        <w:ind w:left="2260"/>
        <w:spacing w:after="0"/>
        <w:rPr>
          <w:sz w:val="20"/>
          <w:szCs w:val="20"/>
          <w:color w:val="auto"/>
        </w:rPr>
      </w:pPr>
      <w:r>
        <w:rPr>
          <w:rFonts w:ascii="Times New Roman" w:cs="Times New Roman" w:eastAsia="Times New Roman" w:hAnsi="Times New Roman"/>
          <w:sz w:val="18"/>
          <w:szCs w:val="18"/>
          <w:color w:val="auto"/>
        </w:rPr>
        <w:t>incorporation)</w:t>
      </w:r>
    </w:p>
    <w:p>
      <w:pPr>
        <w:spacing w:after="0" w:line="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4646 E Van Buren St., Suite 400</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Phoenix, Arizona 85008</w:t>
      </w:r>
    </w:p>
    <w:p>
      <w:pPr>
        <w:sectPr>
          <w:pgSz w:w="11900" w:h="16838" w:orient="portrait"/>
          <w:cols w:equalWidth="0" w:num="1">
            <w:col w:w="11220"/>
          </w:cols>
          <w:pgMar w:left="340" w:top="1184" w:right="339" w:bottom="1440" w:gutter="0" w:footer="0" w:header="0"/>
          <w:type w:val="continuous"/>
        </w:sect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of principal executive offices)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(480) 894-6311</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ind w:left="120" w:right="560"/>
        <w:spacing w:after="0" w:line="24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920" w:hanging="198"/>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 w:lineRule="exact"/>
        <w:rPr>
          <w:rFonts w:ascii="MS PGothic" w:cs="MS PGothic" w:eastAsia="MS PGothic" w:hAnsi="MS PGothic"/>
          <w:sz w:val="18"/>
          <w:szCs w:val="18"/>
          <w:color w:val="auto"/>
        </w:rPr>
      </w:pPr>
    </w:p>
    <w:p>
      <w:pPr>
        <w:ind w:left="920" w:hanging="198"/>
        <w:spacing w:after="0" w:line="234" w:lineRule="auto"/>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ind w:left="920" w:hanging="198"/>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20" w:hanging="198"/>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 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7" w:lineRule="exact"/>
        <w:rPr>
          <w:sz w:val="24"/>
          <w:szCs w:val="24"/>
          <w:color w:val="auto"/>
        </w:rPr>
      </w:pPr>
    </w:p>
    <w:tbl>
      <w:tblPr>
        <w:tblLayout w:type="fixed"/>
        <w:tblInd w:w="120" w:type="dxa"/>
        <w:tblCellMar>
          <w:top w:w="0" w:type="dxa"/>
          <w:left w:w="0" w:type="dxa"/>
          <w:bottom w:w="0" w:type="dxa"/>
          <w:right w:w="0" w:type="dxa"/>
        </w:tblCellMar>
      </w:tblPr>
      <w:tr>
        <w:trPr>
          <w:trHeight w:val="270"/>
        </w:trPr>
        <w:tc>
          <w:tcPr>
            <w:tcW w:w="100" w:type="dxa"/>
            <w:vAlign w:val="bottom"/>
            <w:tcBorders>
              <w:right w:val="single" w:sz="8" w:color="auto"/>
            </w:tcBorders>
          </w:tcPr>
          <w:p>
            <w:pPr>
              <w:spacing w:after="0"/>
              <w:rPr>
                <w:sz w:val="23"/>
                <w:szCs w:val="23"/>
                <w:color w:val="auto"/>
              </w:rPr>
            </w:pPr>
          </w:p>
        </w:tc>
        <w:tc>
          <w:tcPr>
            <w:tcW w:w="4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00" w:type="dxa"/>
            <w:vAlign w:val="bottom"/>
            <w:tcBorders>
              <w:top w:val="single" w:sz="8" w:color="auto"/>
              <w:bottom w:val="single" w:sz="8" w:color="auto"/>
            </w:tcBorders>
          </w:tcPr>
          <w:p>
            <w:pPr>
              <w:spacing w:after="0"/>
              <w:rPr>
                <w:sz w:val="23"/>
                <w:szCs w:val="23"/>
                <w:color w:val="auto"/>
              </w:rPr>
            </w:pPr>
          </w:p>
        </w:tc>
        <w:tc>
          <w:tcPr>
            <w:tcW w:w="3900" w:type="dxa"/>
            <w:vAlign w:val="bottom"/>
            <w:tcBorders>
              <w:top w:val="single" w:sz="8" w:color="auto"/>
              <w:bottom w:val="single" w:sz="8" w:color="auto"/>
              <w:right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80" w:type="dxa"/>
            <w:vAlign w:val="bottom"/>
          </w:tcPr>
          <w:p>
            <w:pPr>
              <w:spacing w:after="0"/>
              <w:rPr>
                <w:sz w:val="23"/>
                <w:szCs w:val="23"/>
                <w:color w:val="auto"/>
              </w:rPr>
            </w:pPr>
          </w:p>
        </w:tc>
      </w:tr>
      <w:tr>
        <w:trPr>
          <w:trHeight w:val="257"/>
        </w:trPr>
        <w:tc>
          <w:tcPr>
            <w:tcW w:w="100" w:type="dxa"/>
            <w:vAlign w:val="bottom"/>
            <w:tcBorders>
              <w:right w:val="single" w:sz="8" w:color="auto"/>
            </w:tcBorders>
          </w:tcPr>
          <w:p>
            <w:pPr>
              <w:spacing w:after="0"/>
              <w:rPr>
                <w:sz w:val="22"/>
                <w:szCs w:val="22"/>
                <w:color w:val="auto"/>
              </w:rPr>
            </w:pPr>
          </w:p>
        </w:tc>
        <w:tc>
          <w:tcPr>
            <w:tcW w:w="4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WSC</w:t>
            </w:r>
          </w:p>
        </w:tc>
        <w:tc>
          <w:tcPr>
            <w:tcW w:w="300" w:type="dxa"/>
            <w:vAlign w:val="bottom"/>
            <w:tcBorders>
              <w:bottom w:val="single" w:sz="8" w:color="auto"/>
            </w:tcBorders>
          </w:tcPr>
          <w:p>
            <w:pPr>
              <w:spacing w:after="0"/>
              <w:rPr>
                <w:sz w:val="22"/>
                <w:szCs w:val="22"/>
                <w:color w:val="auto"/>
              </w:rPr>
            </w:pPr>
          </w:p>
        </w:tc>
        <w:tc>
          <w:tcPr>
            <w:tcW w:w="3900" w:type="dxa"/>
            <w:vAlign w:val="bottom"/>
            <w:tcBorders>
              <w:bottom w:val="single" w:sz="8" w:color="auto"/>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rPr>
              <w:t>The Nasdaq Capital Market</w:t>
            </w:r>
          </w:p>
        </w:tc>
        <w:tc>
          <w:tcPr>
            <w:tcW w:w="80" w:type="dxa"/>
            <w:vAlign w:val="bottom"/>
          </w:tcPr>
          <w:p>
            <w:pPr>
              <w:spacing w:after="0"/>
              <w:rPr>
                <w:sz w:val="22"/>
                <w:szCs w:val="22"/>
                <w:color w:val="auto"/>
              </w:rPr>
            </w:pPr>
          </w:p>
        </w:tc>
      </w:tr>
      <w:tr>
        <w:trPr>
          <w:trHeight w:val="535"/>
        </w:trPr>
        <w:tc>
          <w:tcPr>
            <w:tcW w:w="9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1933 (§230.405 of</w:t>
            </w:r>
          </w:p>
        </w:tc>
      </w:tr>
      <w:tr>
        <w:trPr>
          <w:trHeight w:val="234"/>
        </w:trPr>
        <w:tc>
          <w:tcPr>
            <w:tcW w:w="7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this chapter) or Rule 12b-2 of the Securities Exchange Act of 1934 (§240.12b-2 of this chapter).</w:t>
            </w:r>
          </w:p>
        </w:tc>
        <w:tc>
          <w:tcPr>
            <w:tcW w:w="2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184" w:lineRule="exact"/>
        <w:rPr>
          <w:sz w:val="24"/>
          <w:szCs w:val="24"/>
          <w:color w:val="auto"/>
        </w:rPr>
      </w:pPr>
    </w:p>
    <w:p>
      <w:pPr>
        <w:ind w:left="90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lef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201295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84" w:right="339" w:bottom="1440" w:gutter="0" w:footer="0" w:header="0"/>
          <w:type w:val="continuous"/>
        </w:sectPr>
      </w:pPr>
    </w:p>
    <w:bookmarkStart w:id="1" w:name="page2"/>
    <w:bookmarkEnd w:id="1"/>
    <w:p>
      <w:pPr>
        <w:ind w:left="1060" w:right="40" w:hanging="1025"/>
        <w:spacing w:after="0" w:line="255" w:lineRule="auto"/>
        <w:tabs>
          <w:tab w:leader="none" w:pos="10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3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11, 2024, WillScot Holdings Corporation (the “Company”) announced that the Board of Directors of the Company (the “Board) has appointed Tim Boswell, currently serving as the Company’s President and Chief Financial Officer, to the newly created position of President and Chief Operating Officer, effective as of January 1, 2025 (the “Effective Date”). As Chief Operating Officer, Mr. Boswell will be responsible for overseeing the Company’s long-term strategic initiatives and advancing execution across WillScot's portfolio. At the Effective Date, Mr. Boswell, who is 45, will cease serving as Chief Financial Officer, but he will continue serving as President of the Company. Mr. Boswell has served as the Company’s President and Chief Financial Officer since September 2021. Prior to this role, Mr. Boswell served as Chief Financial Officer starting in November 2017 following the carve-out transaction of Williams Scotsman, a predecessor to the Company.</w:t>
      </w:r>
    </w:p>
    <w:p>
      <w:pPr>
        <w:spacing w:after="0" w:line="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also announced that the Board has appointed Matt Jacobsen, currently serving as the Company’s Senior Vice President of Finance, as Chief Financial Officer of the Company, effective as of the Effective Date. Mr. Jacobsen, who is 43, has served as Senior Vice President of Finance of the Company since July 2020. Prior to that, Mr. Jacobsen held various roles within the Finance and Accounting functions of the Company and Williams Scotsman since joining in November 2010.</w:t>
      </w:r>
    </w:p>
    <w:p>
      <w:pPr>
        <w:spacing w:after="0" w:line="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his appointment, Mr. Boswell entered into an amendment to his existing amended and restated employment agreement with the Company, with the amendment effective as of January 1, 2025 (the “Boswell Agreement Amendment”). The Boswell Agreement Amendment amended the existing agreement to, among other things, (a) include Chief Operating Officer as part of Mr. Boswell’s title, (b) increase Mr. Boswell’s salary from $681,852.34 per calendar year to $800,000 per calendar year, and (c) set the target grant value of Mr. Boswell’s annual equity award at $2,200,000, 70% of which shall be in the form of performance-based restricted stock units vesting over three years and 30% in the form of restricted stock units vesting ratably over four years. Except as amended by the Boswell Agreement Amendment, the terms of Mr. Boswell’s prior employment agreement remain in full force and effect.</w:t>
      </w:r>
    </w:p>
    <w:p>
      <w:pPr>
        <w:spacing w:after="0" w:line="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Boswell Agreement Amendment is qualified in its entirety by reference to the full text of the Boswell Agreement Amendment, a copy of which is attached to this Current Report on Form 8-K as Exhibit 10.1 and incorporated herein by reference.</w:t>
      </w:r>
    </w:p>
    <w:p>
      <w:pPr>
        <w:spacing w:after="0" w:line="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his appointment, Mr. Jacobsen entered into an employment agreement with the Company, effective January 1, 2025 (the “Jacobsen Agreement”). The terms of the Jacobsen Agreement, among other things, (a) provide for an initial term of three years, with automatic one-year extensions unless either party provides notice of non-renewal at least 90 days prior to the expiration of the then-current term, (b) establish an annual base salary of $550,000 and an annual target bonus opportunity equal to 85% of the base salary, (c) provide for annual long-term incentive equity awards with a target grant value of $1,000,000, 70% of which shall be in the form of performance-based restricted stock units vesting over three years and 30% in the form of restricted stock units vesting ratably over four years, (d) provide severance benefits in the event of a termination of Mr. Jacobsen’s employment by the Company without Cause or by Mr. Jacobsen for Good Reason (as such terms are defined), including continued base salary for 18 months (without Cause or in the case of a Qualifying CIC) or 12 months (Good Reason), a lump sum payment equal to one times the target annual bonus, pro rata payment of the annual bonus based on actual performance and continued health coverage for 12 months and (e) provide that outstanding equity awards will continue to vest during the severance period, with any unvested awards forfeited after this period. The agreement also includes an 18-month non-competition provision and a 24-month non-solicitation provision following Mr. Jacobsen’s termination of employment.</w:t>
      </w:r>
    </w:p>
    <w:p>
      <w:pPr>
        <w:spacing w:after="0" w:line="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Jacobsen Agreement is qualified in its entirety by reference to the full text of the Jacobsen Agreement, a copy of which is attached to this Current Report on Form 8-K as Exhibit 10.2 and incorporated herein by reference.</w:t>
      </w:r>
    </w:p>
    <w:p>
      <w:pPr>
        <w:spacing w:after="0" w:line="347"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10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91"/>
        </w:trPr>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w:t>
            </w:r>
          </w:p>
        </w:tc>
        <w:tc>
          <w:tcPr>
            <w:tcW w:w="10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7"/>
        </w:trPr>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0"/>
                <w:szCs w:val="20"/>
                <w:color w:val="auto"/>
              </w:rPr>
            </w:pPr>
          </w:p>
        </w:tc>
        <w:tc>
          <w:tcPr>
            <w:tcW w:w="10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Amended and Restated Employment Agreement with Tim Boswell.</w:t>
            </w:r>
          </w:p>
        </w:tc>
      </w:tr>
      <w:tr>
        <w:trPr>
          <w:trHeight w:val="270"/>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3"/>
                <w:szCs w:val="23"/>
                <w:color w:val="auto"/>
              </w:rPr>
            </w:pPr>
          </w:p>
        </w:tc>
        <w:tc>
          <w:tcPr>
            <w:tcW w:w="10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Employment Agreement with Matthew Jacobsen.</w:t>
            </w:r>
          </w:p>
        </w:tc>
      </w:tr>
      <w:tr>
        <w:trPr>
          <w:trHeight w:val="270"/>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3"/>
                <w:szCs w:val="23"/>
                <w:color w:val="auto"/>
              </w:rPr>
            </w:pPr>
          </w:p>
        </w:tc>
        <w:tc>
          <w:tcPr>
            <w:tcW w:w="10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80"/>
        </w:trPr>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WillScot Holdings Corporation</w:t>
      </w:r>
    </w:p>
    <w:p>
      <w:pPr>
        <w:spacing w:after="0" w:line="337" w:lineRule="exact"/>
        <w:rPr>
          <w:sz w:val="20"/>
          <w:szCs w:val="20"/>
          <w:color w:val="auto"/>
        </w:rPr>
      </w:pPr>
    </w:p>
    <w:p>
      <w:pPr>
        <w:ind w:left="680"/>
        <w:spacing w:after="0"/>
        <w:tabs>
          <w:tab w:leader="none" w:pos="5360" w:val="left"/>
          <w:tab w:leader="none" w:pos="5780" w:val="left"/>
        </w:tabs>
        <w:rPr>
          <w:sz w:val="20"/>
          <w:szCs w:val="20"/>
          <w:color w:val="auto"/>
        </w:rPr>
      </w:pPr>
      <w:r>
        <w:rPr>
          <w:rFonts w:ascii="Times New Roman" w:cs="Times New Roman" w:eastAsia="Times New Roman" w:hAnsi="Times New Roman"/>
          <w:sz w:val="18"/>
          <w:szCs w:val="18"/>
          <w:color w:val="auto"/>
        </w:rPr>
        <w:t>Dated: December 11,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Hezron Timothy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34290</wp:posOffset>
            </wp:positionV>
            <wp:extent cx="2820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Hezron Timothy Lopez</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Executive Vice President, Chief Legal &amp; Compliance</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Officer &amp; ESG</w:t>
      </w:r>
    </w:p>
    <w:p>
      <w:pPr>
        <w:sectPr>
          <w:pgSz w:w="11900" w:h="16838" w:orient="portrait"/>
          <w:cols w:equalWidth="0" w:num="1">
            <w:col w:w="10880"/>
          </w:cols>
          <w:pgMar w:left="320" w:top="1373" w:right="6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AMENDMENT TO AMENDED AND RESTATED EMPLOYMENT AGREEMENT</w:t>
      </w:r>
    </w:p>
    <w:p>
      <w:pPr>
        <w:spacing w:after="0" w:line="21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THIS AMENDMENT </w:t>
      </w:r>
      <w:r>
        <w:rPr>
          <w:rFonts w:ascii="Times New Roman" w:cs="Times New Roman" w:eastAsia="Times New Roman" w:hAnsi="Times New Roman"/>
          <w:sz w:val="20"/>
          <w:szCs w:val="20"/>
          <w:color w:val="auto"/>
        </w:rPr>
        <w:t>to the Amended and Restated Employment Agreement is entered into by and between WillScot Holdings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Corporation (f/k/a WillScot Mobile Mini Holdings Corp.), a Delaware corporation (the “Employer”) and Timothy Boswell, an individual (the “Executive”) (collectively, the “Parties”).</w:t>
      </w:r>
    </w:p>
    <w:p>
      <w:pPr>
        <w:spacing w:after="0" w:line="17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Employer and the Executive are Parties to that certain Amended and Restated Employment Agreement, dated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September 7, 2021 (the “Agreement”); and</w:t>
      </w:r>
    </w:p>
    <w:p>
      <w:pPr>
        <w:spacing w:after="0" w:line="13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Parties desire to amend certain provisions of the Agreement, as more particularly set forth herein,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16 of the Agreement, which provides that the Agreement may only be amended by a written instrument duly executed by the party against whom enforcement is sought.</w:t>
      </w:r>
    </w:p>
    <w:p>
      <w:pPr>
        <w:spacing w:after="0" w:line="17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NOW, THEREFORE, BE IT RESOLVED, </w:t>
      </w:r>
      <w:r>
        <w:rPr>
          <w:rFonts w:ascii="Times New Roman" w:cs="Times New Roman" w:eastAsia="Times New Roman" w:hAnsi="Times New Roman"/>
          <w:sz w:val="20"/>
          <w:szCs w:val="20"/>
          <w:color w:val="auto"/>
        </w:rPr>
        <w:t>that, in consideration of the foregoing and the mutual covenants and agreements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contained herein, the Employer and the Executive hereby agree to the following:</w:t>
      </w:r>
    </w:p>
    <w:p>
      <w:pPr>
        <w:spacing w:after="0" w:line="156" w:lineRule="exact"/>
        <w:rPr>
          <w:sz w:val="20"/>
          <w:szCs w:val="20"/>
          <w:color w:val="auto"/>
        </w:rPr>
      </w:pPr>
    </w:p>
    <w:p>
      <w:pPr>
        <w:ind w:firstLine="656"/>
        <w:spacing w:after="0" w:line="259" w:lineRule="auto"/>
        <w:tabs>
          <w:tab w:leader="none" w:pos="129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Capitalized Terms</w:t>
      </w:r>
      <w:r>
        <w:rPr>
          <w:rFonts w:ascii="Times New Roman" w:cs="Times New Roman" w:eastAsia="Times New Roman" w:hAnsi="Times New Roman"/>
          <w:sz w:val="20"/>
          <w:szCs w:val="20"/>
          <w:color w:val="auto"/>
        </w:rPr>
        <w:t>. Any capitalized term used but not defined in this Amendment shall have the meaning given to such term in the Agreement.</w:t>
      </w:r>
    </w:p>
    <w:p>
      <w:pPr>
        <w:spacing w:after="0" w:line="18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This Amendment will be effective January 1, 2025.</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Position and Duties</w:t>
      </w:r>
      <w:r>
        <w:rPr>
          <w:rFonts w:ascii="Times New Roman" w:cs="Times New Roman" w:eastAsia="Times New Roman" w:hAnsi="Times New Roman"/>
          <w:sz w:val="20"/>
          <w:szCs w:val="20"/>
          <w:color w:val="auto"/>
        </w:rPr>
        <w:t>. Section 3 of the Agreement is hereby deleted in its entirety and replaced with the following:</w:t>
      </w:r>
    </w:p>
    <w:p>
      <w:pPr>
        <w:spacing w:after="0" w:line="206"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0"/>
          <w:szCs w:val="20"/>
          <w:color w:val="auto"/>
        </w:rPr>
        <w:t>Commencing January 1, 2025, and continuing during the remainder of the Employment Period, the Executive shall serve as the President and Chief Operating Officer of the Employer. In such capacity, the Executive shall report exclusively and directly to the Chief Executive Officer of the Employer, and shall have the duties, responsibilities and authorities customarily associated with such position in a company the size and nature of the Employer. The Executive shall devote the Executive’s reasonable best efforts and full business time to the performance of the Executive’s duties hereunder and the advancement of the business and affairs of the Employer; provided that, the Executive may serve on civic, charitable, educational, religious, public interest or public service boards, and manage the Executive’s personal and family investments, in each case, to the extent such activities do not materially interfere with the performance of the Executive’s duties and responsibilities hereunder.</w:t>
      </w:r>
    </w:p>
    <w:p>
      <w:pPr>
        <w:spacing w:after="0" w:line="209"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Section 5(a) of the Agreement is hereby deleted in its entirety and replaced with the following:</w:t>
      </w:r>
    </w:p>
    <w:p>
      <w:pPr>
        <w:spacing w:after="0" w:line="206"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Commencing January 1, 2025, and continuing for the remainder of the Employment Period, the Employer shall pay to the Executive a base salary (the “Base Salary”) at the rate of no less than $800,000 per calendar year, less applicable deductions, and prorated for any partial year. The Base Salary shall be reviewed for increase by the Employer no less frequently than annually, starting in 2026, and shall be increased in the discretion of the Employer and any such adjusted Base Salary shall constitute the “Base Salary” for purposes of this Agreement. The Base Salary shall be paid in substantially equal installments in accordance with the Employer’s regular payroll procedures. The Executive’s Base Salary may not be decreased during the Employment Period.</w:t>
      </w:r>
    </w:p>
    <w:p>
      <w:pPr>
        <w:sectPr>
          <w:pgSz w:w="11900" w:h="16838" w:orient="portrait"/>
          <w:cols w:equalWidth="0" w:num="1">
            <w:col w:w="11240"/>
          </w:cols>
          <w:pgMar w:left="320" w:top="122" w:right="339" w:bottom="1440" w:gutter="0" w:footer="0" w:header="0"/>
        </w:sectPr>
      </w:pPr>
    </w:p>
    <w:bookmarkStart w:id="4" w:name="page5"/>
    <w:bookmarkEnd w:id="4"/>
    <w:p>
      <w:pPr>
        <w:spacing w:after="0" w:line="200" w:lineRule="exact"/>
        <w:rPr>
          <w:sz w:val="20"/>
          <w:szCs w:val="20"/>
          <w:color w:val="auto"/>
        </w:rPr>
      </w:pPr>
    </w:p>
    <w:p>
      <w:pPr>
        <w:spacing w:after="0" w:line="205"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Long Term Incentive Equity</w:t>
      </w:r>
      <w:r>
        <w:rPr>
          <w:rFonts w:ascii="Times New Roman" w:cs="Times New Roman" w:eastAsia="Times New Roman" w:hAnsi="Times New Roman"/>
          <w:sz w:val="20"/>
          <w:szCs w:val="20"/>
          <w:color w:val="auto"/>
        </w:rPr>
        <w:t>. Section 5(c)(i) of the Agreement is hereby deleted in its entirety and replaced with the</w:t>
      </w:r>
    </w:p>
    <w:p>
      <w:pPr>
        <w:spacing w:after="0" w:line="1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following:</w:t>
      </w:r>
    </w:p>
    <w:p>
      <w:pPr>
        <w:spacing w:after="0" w:line="208"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0"/>
          <w:szCs w:val="20"/>
          <w:u w:val="single" w:color="auto"/>
          <w:color w:val="auto"/>
        </w:rPr>
        <w:t>Annual Award</w:t>
      </w:r>
      <w:r>
        <w:rPr>
          <w:rFonts w:ascii="Times New Roman" w:cs="Times New Roman" w:eastAsia="Times New Roman" w:hAnsi="Times New Roman"/>
          <w:sz w:val="20"/>
          <w:szCs w:val="20"/>
          <w:color w:val="auto"/>
        </w:rPr>
        <w:t>. During the Employment Period, commencing with the 2025 fiscal year of the Employer, the Executive shall be eligible to receive annual equity awards under the WillScot Holdings Corporation 2020 Incentive Award Plan or other long-term equity incentive plan of the Employer then in effect (the “Plan”), 70% of which shall be in the form of performance-based restricted stock units (“PSUs”) vesting over three years and 30% in the form of restricted stock units (“RSUs”) vesting ratably over four years. The level of the Executive’s participation in the Plan, if any, shall be determined in the reasonable discretion of the Committee from time to time. The target grant value of this annual award is $2,200,000, but the actual value of any grant may be higher or lower based on Committee discretion. Terms and conditions of such awards shall be governed by the terms and conditions of the Plan and the applicable award agreements.</w:t>
      </w:r>
    </w:p>
    <w:p>
      <w:pPr>
        <w:spacing w:after="0" w:line="209"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Item “(c)” of the definition of “Good Reason” shall be modified as follows:</w:t>
      </w:r>
    </w:p>
    <w:p>
      <w:pPr>
        <w:spacing w:after="0" w:line="206" w:lineRule="exact"/>
        <w:rPr>
          <w:sz w:val="20"/>
          <w:szCs w:val="20"/>
          <w:color w:val="auto"/>
        </w:rPr>
      </w:pPr>
    </w:p>
    <w:p>
      <w:pPr>
        <w:ind w:left="660" w:hanging="4"/>
        <w:spacing w:after="0" w:line="269" w:lineRule="auto"/>
        <w:tabs>
          <w:tab w:leader="none" w:pos="941"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failure to grant the Executive, in any consecutive 12-month period, long term incentive equity awards having a grant date fair value (as determined by the Committee in good faith) of at least $2,200,000.</w:t>
      </w:r>
    </w:p>
    <w:p>
      <w:pPr>
        <w:spacing w:after="0" w:line="186" w:lineRule="exact"/>
        <w:rPr>
          <w:sz w:val="20"/>
          <w:szCs w:val="20"/>
          <w:color w:val="auto"/>
        </w:rPr>
      </w:pPr>
    </w:p>
    <w:p>
      <w:pPr>
        <w:jc w:val="both"/>
        <w:ind w:firstLine="656"/>
        <w:spacing w:after="0" w:line="248" w:lineRule="auto"/>
        <w:tabs>
          <w:tab w:leader="none" w:pos="129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No Other Amendments</w:t>
      </w:r>
      <w:r>
        <w:rPr>
          <w:rFonts w:ascii="Times New Roman" w:cs="Times New Roman" w:eastAsia="Times New Roman" w:hAnsi="Times New Roman"/>
          <w:sz w:val="20"/>
          <w:szCs w:val="20"/>
          <w:color w:val="auto"/>
        </w:rPr>
        <w:t>. Except as expressly amended as set forth herein, the provisions of the Agreement will remain in full force and effect and, except as expressly provided herein, nothing in this Amendment will be construed as a waiver of any of the rights or obligations of the Parties under the Agreement.</w:t>
      </w:r>
    </w:p>
    <w:p>
      <w:pPr>
        <w:spacing w:after="0" w:line="208" w:lineRule="exact"/>
        <w:rPr>
          <w:rFonts w:ascii="Times New Roman" w:cs="Times New Roman" w:eastAsia="Times New Roman" w:hAnsi="Times New Roman"/>
          <w:sz w:val="22"/>
          <w:szCs w:val="22"/>
          <w:color w:val="auto"/>
        </w:rPr>
      </w:pPr>
    </w:p>
    <w:p>
      <w:pPr>
        <w:ind w:firstLine="656"/>
        <w:spacing w:after="0" w:line="245" w:lineRule="auto"/>
        <w:tabs>
          <w:tab w:leader="none" w:pos="129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one or more counterparts, each of which shall be deemed to be an original, but all of which together constitute one and the same instrument.</w:t>
      </w:r>
    </w:p>
    <w:p>
      <w:pPr>
        <w:spacing w:after="0" w:line="195"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Company has caused this Amendment to be executed on its behalf by its duly authorized officer, and the Executive has executed this Amendment, as of this 10th day of December 2024.</w:t>
      </w:r>
    </w:p>
    <w:p>
      <w:pPr>
        <w:spacing w:after="0" w:line="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WILLSCOT HOLDINGS CORPORATION</w:t>
      </w:r>
    </w:p>
    <w:p>
      <w:pPr>
        <w:spacing w:after="0" w:line="200" w:lineRule="exact"/>
        <w:rPr>
          <w:sz w:val="20"/>
          <w:szCs w:val="20"/>
          <w:color w:val="auto"/>
        </w:rPr>
      </w:pPr>
    </w:p>
    <w:p>
      <w:pPr>
        <w:spacing w:after="0" w:line="380" w:lineRule="exact"/>
        <w:rPr>
          <w:sz w:val="20"/>
          <w:szCs w:val="20"/>
          <w:color w:val="auto"/>
        </w:rPr>
      </w:pPr>
    </w:p>
    <w:tbl>
      <w:tblPr>
        <w:tblLayout w:type="fixed"/>
        <w:tblInd w:w="5160" w:type="dxa"/>
        <w:tblCellMar>
          <w:top w:w="0" w:type="dxa"/>
          <w:left w:w="0" w:type="dxa"/>
          <w:bottom w:w="0" w:type="dxa"/>
          <w:right w:w="0" w:type="dxa"/>
        </w:tblCellMar>
      </w:tblPr>
      <w:tr>
        <w:trPr>
          <w:trHeight w:val="258"/>
        </w:trPr>
        <w:tc>
          <w:tcPr>
            <w:tcW w:w="1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By:</w:t>
            </w:r>
          </w:p>
        </w:tc>
        <w:tc>
          <w:tcPr>
            <w:tcW w:w="5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 BRADLEY L. SOULTZ</w:t>
            </w:r>
          </w:p>
        </w:tc>
        <w:tc>
          <w:tcPr>
            <w:tcW w:w="0" w:type="dxa"/>
            <w:vAlign w:val="bottom"/>
          </w:tcPr>
          <w:p>
            <w:pPr>
              <w:spacing w:after="0"/>
              <w:rPr>
                <w:sz w:val="1"/>
                <w:szCs w:val="1"/>
                <w:color w:val="auto"/>
              </w:rPr>
            </w:pPr>
          </w:p>
        </w:tc>
      </w:tr>
      <w:tr>
        <w:trPr>
          <w:trHeight w:val="98"/>
        </w:trPr>
        <w:tc>
          <w:tcPr>
            <w:tcW w:w="1080" w:type="dxa"/>
            <w:vAlign w:val="bottom"/>
            <w:vMerge w:val="continue"/>
          </w:tcPr>
          <w:p>
            <w:pPr>
              <w:spacing w:after="0"/>
              <w:rPr>
                <w:sz w:val="8"/>
                <w:szCs w:val="8"/>
                <w:color w:val="auto"/>
              </w:rPr>
            </w:pPr>
          </w:p>
        </w:tc>
        <w:tc>
          <w:tcPr>
            <w:tcW w:w="5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47"/>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Bradley L. Soultz</w:t>
            </w:r>
          </w:p>
        </w:tc>
        <w:tc>
          <w:tcPr>
            <w:tcW w:w="0" w:type="dxa"/>
            <w:vAlign w:val="bottom"/>
          </w:tcPr>
          <w:p>
            <w:pPr>
              <w:spacing w:after="0"/>
              <w:rPr>
                <w:sz w:val="1"/>
                <w:szCs w:val="1"/>
                <w:color w:val="auto"/>
              </w:rPr>
            </w:pPr>
          </w:p>
        </w:tc>
      </w:tr>
      <w:tr>
        <w:trPr>
          <w:trHeight w:val="25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EXECUTIVE</w:t>
      </w:r>
    </w:p>
    <w:p>
      <w:pPr>
        <w:spacing w:after="0" w:line="378" w:lineRule="exact"/>
        <w:rPr>
          <w:sz w:val="20"/>
          <w:szCs w:val="20"/>
          <w:color w:val="auto"/>
        </w:rPr>
      </w:pPr>
    </w:p>
    <w:tbl>
      <w:tblPr>
        <w:tblLayout w:type="fixed"/>
        <w:tblInd w:w="5160" w:type="dxa"/>
        <w:tblCellMar>
          <w:top w:w="0" w:type="dxa"/>
          <w:left w:w="0" w:type="dxa"/>
          <w:bottom w:w="0" w:type="dxa"/>
          <w:right w:w="0" w:type="dxa"/>
        </w:tblCellMar>
      </w:tblPr>
      <w:tr>
        <w:trPr>
          <w:trHeight w:val="258"/>
        </w:trPr>
        <w:tc>
          <w:tcPr>
            <w:tcW w:w="1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TIMOTHY D. BOSWELL</w:t>
            </w:r>
          </w:p>
        </w:tc>
        <w:tc>
          <w:tcPr>
            <w:tcW w:w="0" w:type="dxa"/>
            <w:vAlign w:val="bottom"/>
          </w:tcPr>
          <w:p>
            <w:pPr>
              <w:spacing w:after="0"/>
              <w:rPr>
                <w:sz w:val="1"/>
                <w:szCs w:val="1"/>
                <w:color w:val="auto"/>
              </w:rPr>
            </w:pPr>
          </w:p>
        </w:tc>
      </w:tr>
      <w:tr>
        <w:trPr>
          <w:trHeight w:val="71"/>
        </w:trPr>
        <w:tc>
          <w:tcPr>
            <w:tcW w:w="1080" w:type="dxa"/>
            <w:vAlign w:val="bottom"/>
            <w:vMerge w:val="continue"/>
          </w:tcPr>
          <w:p>
            <w:pPr>
              <w:spacing w:after="0"/>
              <w:rPr>
                <w:sz w:val="6"/>
                <w:szCs w:val="6"/>
                <w:color w:val="auto"/>
              </w:rPr>
            </w:pPr>
          </w:p>
        </w:tc>
        <w:tc>
          <w:tcPr>
            <w:tcW w:w="5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080" w:type="dxa"/>
            <w:vAlign w:val="bottom"/>
          </w:tcPr>
          <w:p>
            <w:pPr>
              <w:spacing w:after="0"/>
              <w:rPr>
                <w:sz w:val="22"/>
                <w:szCs w:val="22"/>
                <w:color w:val="auto"/>
              </w:rPr>
            </w:pPr>
          </w:p>
        </w:tc>
        <w:tc>
          <w:tcPr>
            <w:tcW w:w="5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Timothy Boswell</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32"/>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337" w:lineRule="exact"/>
        <w:rPr>
          <w:sz w:val="20"/>
          <w:szCs w:val="20"/>
          <w:color w:val="auto"/>
        </w:rPr>
      </w:pPr>
    </w:p>
    <w:p>
      <w:pPr>
        <w:ind w:left="8" w:right="40" w:firstLine="648"/>
        <w:spacing w:after="0" w:line="282" w:lineRule="auto"/>
        <w:rPr>
          <w:sz w:val="20"/>
          <w:szCs w:val="20"/>
          <w:color w:val="auto"/>
        </w:rPr>
      </w:pPr>
      <w:r>
        <w:rPr>
          <w:rFonts w:ascii="Times New Roman" w:cs="Times New Roman" w:eastAsia="Times New Roman" w:hAnsi="Times New Roman"/>
          <w:sz w:val="18"/>
          <w:szCs w:val="18"/>
          <w:color w:val="auto"/>
        </w:rPr>
        <w:t>This EMPLOYMENT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between WillScot Holdings Corporation, a Delaware corporation (the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and Matthew Jacobsen, an individual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48" w:right="1800"/>
        <w:spacing w:after="0" w:line="344" w:lineRule="auto"/>
        <w:rPr>
          <w:sz w:val="20"/>
          <w:szCs w:val="20"/>
          <w:color w:val="auto"/>
        </w:rPr>
      </w:pPr>
      <w:r>
        <w:rPr>
          <w:rFonts w:ascii="Times New Roman" w:cs="Times New Roman" w:eastAsia="Times New Roman" w:hAnsi="Times New Roman"/>
          <w:sz w:val="18"/>
          <w:szCs w:val="18"/>
          <w:color w:val="auto"/>
        </w:rPr>
        <w:t>WHEREAS, the Employer desires to employ the Executive on the terms and conditions set forth in this Agreement; and WHEREAS, the Executive desires to be employed by the Employer on such terms and conditions;</w:t>
      </w:r>
    </w:p>
    <w:p>
      <w:pPr>
        <w:spacing w:after="0" w:line="1" w:lineRule="exact"/>
        <w:rPr>
          <w:sz w:val="20"/>
          <w:szCs w:val="20"/>
          <w:color w:val="auto"/>
        </w:rPr>
      </w:pPr>
    </w:p>
    <w:p>
      <w:pPr>
        <w:ind w:left="8" w:right="4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other good and valuable consideration, the receipt and sufficiency of which hereby are acknowledged, the parties hereto agree as follows:</w:t>
      </w:r>
    </w:p>
    <w:p>
      <w:pPr>
        <w:spacing w:after="0" w:line="189" w:lineRule="exact"/>
        <w:rPr>
          <w:sz w:val="20"/>
          <w:szCs w:val="20"/>
          <w:color w:val="auto"/>
        </w:rPr>
      </w:pPr>
    </w:p>
    <w:p>
      <w:pPr>
        <w:jc w:val="both"/>
        <w:ind w:left="8" w:right="20" w:firstLine="639"/>
        <w:spacing w:after="0" w:line="261" w:lineRule="auto"/>
        <w:tabs>
          <w:tab w:leader="none" w:pos="115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xml:space="preserve">. On the terms and conditions set forth in this Agreement, the Employer agrees to employ the Executive and the Executive agrees to be employed by the Employer for the Employment Period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in the positions and with the duties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Terms used herein with initial capitalization not otherwise defined are defined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This Agreement shall become effective January 1,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left="8" w:right="20" w:firstLine="639"/>
        <w:spacing w:after="0" w:line="253" w:lineRule="auto"/>
        <w:tabs>
          <w:tab w:leader="none" w:pos="115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initial term of employment under this Agreement shall commence on the Effective Date and extend until the third anniversary of the Effective Date (the “</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The term of employment shall be automatically extended for an additional consecutive 12-month period (the “</w:t>
      </w:r>
      <w:r>
        <w:rPr>
          <w:rFonts w:ascii="Times New Roman" w:cs="Times New Roman" w:eastAsia="Times New Roman" w:hAnsi="Times New Roman"/>
          <w:sz w:val="18"/>
          <w:szCs w:val="18"/>
          <w:u w:val="single" w:color="auto"/>
          <w:color w:val="auto"/>
        </w:rPr>
        <w:t>Extended Term</w:t>
      </w:r>
      <w:r>
        <w:rPr>
          <w:rFonts w:ascii="Times New Roman" w:cs="Times New Roman" w:eastAsia="Times New Roman" w:hAnsi="Times New Roman"/>
          <w:sz w:val="18"/>
          <w:szCs w:val="18"/>
          <w:color w:val="auto"/>
        </w:rPr>
        <w:t xml:space="preserve">”) commencing on the last day of the Initial Term and each subsequent anniversary thereof, unless and until the Employer or Executive provides written notice to the other party in accordance with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not less than 90 days before such anniversary date that such party is electing not to extend the term of employment under this Agreement (“</w:t>
      </w:r>
      <w:r>
        <w:rPr>
          <w:rFonts w:ascii="Times New Roman" w:cs="Times New Roman" w:eastAsia="Times New Roman" w:hAnsi="Times New Roman"/>
          <w:sz w:val="18"/>
          <w:szCs w:val="18"/>
          <w:u w:val="single" w:color="auto"/>
          <w:color w:val="auto"/>
        </w:rPr>
        <w:t>Non-Renewal</w:t>
      </w:r>
      <w:r>
        <w:rPr>
          <w:rFonts w:ascii="Times New Roman" w:cs="Times New Roman" w:eastAsia="Times New Roman" w:hAnsi="Times New Roman"/>
          <w:sz w:val="18"/>
          <w:szCs w:val="18"/>
          <w:color w:val="auto"/>
        </w:rPr>
        <w:t>”), in which case the term of employment hereunder shall end as of the end of such Initial Term or Extended Term, as the case may be, unless sooner terminated as hereinafter set forth. Such Initial Term and all such Extended Terms are collectively referred to herein as the “</w:t>
      </w:r>
      <w:r>
        <w:rPr>
          <w:rFonts w:ascii="Times New Roman" w:cs="Times New Roman" w:eastAsia="Times New Roman" w:hAnsi="Times New Roman"/>
          <w:sz w:val="18"/>
          <w:szCs w:val="18"/>
          <w:u w:val="single" w:color="auto"/>
          <w:color w:val="auto"/>
        </w:rPr>
        <w:t>Employment Period</w:t>
      </w:r>
      <w:r>
        <w:rPr>
          <w:rFonts w:ascii="Times New Roman" w:cs="Times New Roman" w:eastAsia="Times New Roman" w:hAnsi="Times New Roman"/>
          <w:sz w:val="18"/>
          <w:szCs w:val="18"/>
          <w:color w:val="auto"/>
        </w:rPr>
        <w:t>.” Anything herein to the contrary notwithstanding, if on the date of a Change in Control the remaining term of the Employment Period is less than 12 months, the Employment Period shall be automatically extended to the end of the first anniversary of the Change in Control, and the extension and renewal provisions in this Section 2 shall apply with regard to the last day of the Employment Period as extended by this sentence and on each subsequent anniversary thereof.</w:t>
      </w:r>
    </w:p>
    <w:p>
      <w:pPr>
        <w:spacing w:after="0" w:line="221" w:lineRule="exact"/>
        <w:rPr>
          <w:rFonts w:ascii="Times New Roman" w:cs="Times New Roman" w:eastAsia="Times New Roman" w:hAnsi="Times New Roman"/>
          <w:sz w:val="18"/>
          <w:szCs w:val="18"/>
          <w:color w:val="auto"/>
        </w:rPr>
      </w:pPr>
    </w:p>
    <w:p>
      <w:pPr>
        <w:jc w:val="both"/>
        <w:ind w:left="8" w:right="20" w:firstLine="639"/>
        <w:spacing w:after="0" w:line="253" w:lineRule="auto"/>
        <w:tabs>
          <w:tab w:leader="none" w:pos="115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During the Employment Period the Executive shall serve as Executive Vice President and Chief Financial Officer of the Employer. In such capacities, the Executive shall report to the Chief Executive Officer and shall have the duties, responsibilities and authorities customarily associated with such position(s) in a company the size and nature of the Employer. The Executive shall devote the Executive’s reasonable best efforts and full business time to the performance of the Executive’s duties hereunder and the advancement of the business and affairs of the Employer. Notwithstanding the foregoing, nothing herein shall preclude Executive from (i) serving as an officer or a member of charitable, educational or civic organizations; (ii) engaging in charitable activities and community affairs; (iii) managing Executive’s personal investments and affairs; and</w:t>
      </w:r>
    </w:p>
    <w:p>
      <w:pPr>
        <w:spacing w:after="0" w:line="5" w:lineRule="exact"/>
        <w:rPr>
          <w:rFonts w:ascii="Times New Roman" w:cs="Times New Roman" w:eastAsia="Times New Roman" w:hAnsi="Times New Roman"/>
          <w:sz w:val="18"/>
          <w:szCs w:val="18"/>
          <w:color w:val="auto"/>
        </w:rPr>
      </w:pPr>
    </w:p>
    <w:p>
      <w:pPr>
        <w:jc w:val="both"/>
        <w:ind w:left="8" w:right="40" w:hanging="8"/>
        <w:spacing w:after="0" w:line="252" w:lineRule="auto"/>
        <w:tabs>
          <w:tab w:leader="none" w:pos="33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engaging in limited commercial activities on Executive’s own time or while not expected to be providing services on behalf of the Employer;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such service and activities do not, in the Employer’s reasonable opinion, interfere with the performance of Executive’s duties on behalf of the Employer, create any conflict of interest as it relates to the Employer, and are not represented in a manner that suggests the Employer supports or endorses the services or activities without the advance approval of the Employer. Executive shall be responsible for complying with all policies and operating procedures of the Employer (that are provided or made available to Executive) in the performance of Executive’s duties on behalf of the Employer.</w:t>
      </w:r>
    </w:p>
    <w:p>
      <w:pPr>
        <w:spacing w:after="0" w:line="216" w:lineRule="exact"/>
        <w:rPr>
          <w:rFonts w:ascii="Times New Roman" w:cs="Times New Roman" w:eastAsia="Times New Roman" w:hAnsi="Times New Roman"/>
          <w:sz w:val="18"/>
          <w:szCs w:val="18"/>
          <w:color w:val="auto"/>
        </w:rPr>
      </w:pPr>
    </w:p>
    <w:p>
      <w:pPr>
        <w:ind w:left="1148" w:hanging="501"/>
        <w:spacing w:after="0"/>
        <w:tabs>
          <w:tab w:leader="none" w:pos="114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 of Performance</w:t>
      </w:r>
      <w:r>
        <w:rPr>
          <w:rFonts w:ascii="Times New Roman" w:cs="Times New Roman" w:eastAsia="Times New Roman" w:hAnsi="Times New Roman"/>
          <w:sz w:val="18"/>
          <w:szCs w:val="18"/>
          <w:color w:val="auto"/>
        </w:rPr>
        <w:t>. The Executive shall be based primarily at the Employer’s executive headquarters, in Phoenix, Arizona.</w:t>
      </w:r>
    </w:p>
    <w:p>
      <w:pPr>
        <w:spacing w:after="0" w:line="252" w:lineRule="exact"/>
        <w:rPr>
          <w:rFonts w:ascii="Times New Roman" w:cs="Times New Roman" w:eastAsia="Times New Roman" w:hAnsi="Times New Roman"/>
          <w:sz w:val="18"/>
          <w:szCs w:val="18"/>
          <w:color w:val="auto"/>
        </w:rPr>
      </w:pPr>
    </w:p>
    <w:p>
      <w:pPr>
        <w:ind w:left="1288" w:hanging="641"/>
        <w:spacing w:after="0"/>
        <w:tabs>
          <w:tab w:leader="none" w:pos="128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8" w:right="40" w:firstLine="1287"/>
        <w:spacing w:after="0" w:line="266" w:lineRule="auto"/>
        <w:tabs>
          <w:tab w:leader="none" w:pos="180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During the Employment Period, the Employer shall pay to the Executive a base salary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at the rate of no less than $550,000 per calendar year, less applicable deductions, and prorated for any partial year. The Base Salary shall be reviewed for increase by the Employer no less frequently</w:t>
      </w:r>
    </w:p>
    <w:p>
      <w:pPr>
        <w:sectPr>
          <w:pgSz w:w="11900" w:h="16838" w:orient="portrait"/>
          <w:cols w:equalWidth="0" w:num="1">
            <w:col w:w="11088"/>
          </w:cols>
          <w:pgMar w:left="472" w:top="104"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than annually, commencing in 2026, and shall be increased in the sole discretion of the Employer and any such adjusted Base Salary shall constitute the “Base Salary” for purposes of this Agreement. The Base Salary shall be paid in substantially equal installments in accordance with the Employer’s regular payroll procedures. The Executive’s Base Salary may not be decreased during the Employment Period.</w:t>
      </w:r>
    </w:p>
    <w:p>
      <w:pPr>
        <w:spacing w:after="0" w:line="203" w:lineRule="exact"/>
        <w:rPr>
          <w:sz w:val="20"/>
          <w:szCs w:val="20"/>
          <w:color w:val="auto"/>
        </w:rPr>
      </w:pPr>
    </w:p>
    <w:p>
      <w:pPr>
        <w:jc w:val="both"/>
        <w:ind w:right="20" w:firstLine="1287"/>
        <w:spacing w:after="0" w:line="258" w:lineRule="auto"/>
        <w:tabs>
          <w:tab w:leader="none" w:pos="17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For each fiscal year of the Employer ending during the Employment Period, the Executive shall be eligible to earn an annual cash performance bonus (an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based on performance against performance criteria determined by the Compensation Committee of the Board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The Executive’s annual target bonus opportunity for each fiscal year shall equal 85% of the Executive’s Base Salary (the “</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The Executive’s Annual Bonus for a fiscal year shall be determined by the Committee after the end of the applicable bonus period and shall be paid to the Executive when annual bonuses for that year are paid to other senior executives of the Employer generally.</w:t>
      </w:r>
    </w:p>
    <w:p>
      <w:pPr>
        <w:spacing w:after="0" w:line="210" w:lineRule="exact"/>
        <w:rPr>
          <w:rFonts w:ascii="Times New Roman" w:cs="Times New Roman" w:eastAsia="Times New Roman" w:hAnsi="Times New Roman"/>
          <w:sz w:val="18"/>
          <w:szCs w:val="18"/>
          <w:color w:val="auto"/>
        </w:rPr>
      </w:pPr>
    </w:p>
    <w:p>
      <w:pPr>
        <w:jc w:val="both"/>
        <w:ind w:firstLine="1287"/>
        <w:spacing w:after="0" w:line="254" w:lineRule="auto"/>
        <w:tabs>
          <w:tab w:leader="none" w:pos="17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 Term Incentive Equity</w:t>
      </w:r>
      <w:r>
        <w:rPr>
          <w:rFonts w:ascii="Times New Roman" w:cs="Times New Roman" w:eastAsia="Times New Roman" w:hAnsi="Times New Roman"/>
          <w:sz w:val="18"/>
          <w:szCs w:val="18"/>
          <w:color w:val="auto"/>
        </w:rPr>
        <w:t>. With respect to each fiscal year of the Employer ending during the Employment Period, the Executive shall be eligible to receive annual equity awards under the WillScot Holdings Corporation 2020 Incentive Award Plan or other long-term equity incentive plan of the Employer then in effect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70% of which shall be in the form of performance-based restricted stock units (“</w:t>
      </w:r>
      <w:r>
        <w:rPr>
          <w:rFonts w:ascii="Times New Roman" w:cs="Times New Roman" w:eastAsia="Times New Roman" w:hAnsi="Times New Roman"/>
          <w:sz w:val="18"/>
          <w:szCs w:val="18"/>
          <w:u w:val="single" w:color="auto"/>
          <w:color w:val="auto"/>
        </w:rPr>
        <w:t>PSUs</w:t>
      </w:r>
      <w:r>
        <w:rPr>
          <w:rFonts w:ascii="Times New Roman" w:cs="Times New Roman" w:eastAsia="Times New Roman" w:hAnsi="Times New Roman"/>
          <w:sz w:val="18"/>
          <w:szCs w:val="18"/>
          <w:color w:val="auto"/>
        </w:rPr>
        <w:t xml:space="preserve">) vesting over three (3) years, and 30% of which shall be in the form of restricted stock units (“RSUs”) vesting ratably over four (4) years. The level of the Executive’s participation in the Plan, if any, shall be determined in the discretion of the Committee from time to time. The target grant value of this annual award is $1,000,000, but the actual value of any grant may be higher or lower based on Committee discretion. Terms and conditions of such awards shall be governed by the terms and conditions of the Plan and the applicable award agreements. For the avoidance of doubt, the first grant to the Executive under this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with respect to the fiscal year ended December 31, 2025, shall be granted as soon as practicable following the filing of the Employer’s Form 10-K for the 2024 fiscal year and in any event, is anticipated to occur during 2025.</w:t>
      </w:r>
    </w:p>
    <w:p>
      <w:pPr>
        <w:spacing w:after="0" w:line="215" w:lineRule="exact"/>
        <w:rPr>
          <w:rFonts w:ascii="Times New Roman" w:cs="Times New Roman" w:eastAsia="Times New Roman" w:hAnsi="Times New Roman"/>
          <w:sz w:val="18"/>
          <w:szCs w:val="18"/>
          <w:color w:val="auto"/>
        </w:rPr>
      </w:pPr>
    </w:p>
    <w:p>
      <w:pPr>
        <w:ind w:right="20" w:firstLine="1287"/>
        <w:spacing w:after="0" w:line="282" w:lineRule="auto"/>
        <w:tabs>
          <w:tab w:leader="none" w:pos="17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Paid Time Off</w:t>
      </w:r>
      <w:r>
        <w:rPr>
          <w:rFonts w:ascii="Times New Roman" w:cs="Times New Roman" w:eastAsia="Times New Roman" w:hAnsi="Times New Roman"/>
          <w:sz w:val="18"/>
          <w:szCs w:val="18"/>
          <w:color w:val="auto"/>
        </w:rPr>
        <w:t>. During the Employment Period, the Executive shall be entitled to paid time off in accordance with the Employer’s applicable policy for similarly-situated executive employees, as in effect from time to time.</w:t>
      </w:r>
    </w:p>
    <w:p>
      <w:pPr>
        <w:spacing w:after="0" w:line="188" w:lineRule="exact"/>
        <w:rPr>
          <w:rFonts w:ascii="Times New Roman" w:cs="Times New Roman" w:eastAsia="Times New Roman" w:hAnsi="Times New Roman"/>
          <w:sz w:val="18"/>
          <w:szCs w:val="18"/>
          <w:color w:val="auto"/>
        </w:rPr>
      </w:pPr>
    </w:p>
    <w:p>
      <w:pPr>
        <w:jc w:val="both"/>
        <w:ind w:firstLine="1287"/>
        <w:spacing w:after="0" w:line="261" w:lineRule="auto"/>
        <w:tabs>
          <w:tab w:leader="none" w:pos="17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During the Employment Period, the Employer shall provide to the Executive employee benefits and perquisites on a basis that is comparable in all material respects to that provided to other similarly situated executives of the Employer. The Employer shall have the right to change insurance carriers and to adopt, amend, terminate, or modify employee benefit plans and arrangements at any time and without the consent of the Executive.</w:t>
      </w:r>
    </w:p>
    <w:p>
      <w:pPr>
        <w:spacing w:after="0" w:line="206" w:lineRule="exact"/>
        <w:rPr>
          <w:rFonts w:ascii="Times New Roman" w:cs="Times New Roman" w:eastAsia="Times New Roman" w:hAnsi="Times New Roman"/>
          <w:sz w:val="18"/>
          <w:szCs w:val="18"/>
          <w:color w:val="auto"/>
        </w:rPr>
      </w:pPr>
    </w:p>
    <w:p>
      <w:pPr>
        <w:jc w:val="both"/>
        <w:ind w:right="20" w:firstLine="639"/>
        <w:spacing w:after="0" w:line="261" w:lineRule="auto"/>
        <w:tabs>
          <w:tab w:leader="none" w:pos="11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Executive is expected and is authorized to incur reasonable expenses in the performance of the Executive’s duties hereunder. The Employer shall reimburse the Executive for all such expenses reasonably and actually incurred in accordance with policies which may be adopted from time to time by the Employer promptly upon periodic presentation by the Executive of an itemized account, including reasonable substantiation, of such expenses.</w:t>
      </w:r>
    </w:p>
    <w:p>
      <w:pPr>
        <w:spacing w:after="0" w:line="206" w:lineRule="exact"/>
        <w:rPr>
          <w:rFonts w:ascii="Times New Roman" w:cs="Times New Roman" w:eastAsia="Times New Roman" w:hAnsi="Times New Roman"/>
          <w:sz w:val="18"/>
          <w:szCs w:val="18"/>
          <w:color w:val="auto"/>
        </w:rPr>
      </w:pPr>
    </w:p>
    <w:p>
      <w:pPr>
        <w:jc w:val="both"/>
        <w:ind w:firstLine="639"/>
        <w:spacing w:after="0" w:line="256" w:lineRule="auto"/>
        <w:tabs>
          <w:tab w:leader="none" w:pos="11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Non-Disclosure and Non-Competition Agreement</w:t>
      </w:r>
      <w:r>
        <w:rPr>
          <w:rFonts w:ascii="Times New Roman" w:cs="Times New Roman" w:eastAsia="Times New Roman" w:hAnsi="Times New Roman"/>
          <w:sz w:val="18"/>
          <w:szCs w:val="18"/>
          <w:color w:val="auto"/>
        </w:rPr>
        <w:t>. The Employer and the Executive acknowledge and agree that during the Executive’s employment with the Employer, the Executive will have access to and may assist in developing Employer Confidential Information and will occupy a position of trust and confidence with respect to the Employer’s affairs and business and the affairs and business of the Employer Affiliates. The Executive agrees that the following obligations are necessary to preserve the confidential and proprietary nature of Employer Confidential Information and to protect the Employer and the Employer Affiliates against unfair solicitation of employees and customers, unfair competition and other actions by the Executive that may result in serious adverse consequences for the Employer and the Employer Affiliates:</w:t>
      </w:r>
    </w:p>
    <w:p>
      <w:pPr>
        <w:spacing w:after="0" w:line="214" w:lineRule="exact"/>
        <w:rPr>
          <w:rFonts w:ascii="Times New Roman" w:cs="Times New Roman" w:eastAsia="Times New Roman" w:hAnsi="Times New Roman"/>
          <w:sz w:val="18"/>
          <w:szCs w:val="18"/>
          <w:color w:val="auto"/>
        </w:rPr>
      </w:pPr>
    </w:p>
    <w:p>
      <w:pPr>
        <w:jc w:val="both"/>
        <w:ind w:firstLine="1287"/>
        <w:spacing w:after="0" w:line="261" w:lineRule="auto"/>
        <w:tabs>
          <w:tab w:leader="none" w:pos="179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w:t>
      </w:r>
      <w:r>
        <w:rPr>
          <w:rFonts w:ascii="Times New Roman" w:cs="Times New Roman" w:eastAsia="Times New Roman" w:hAnsi="Times New Roman"/>
          <w:sz w:val="18"/>
          <w:szCs w:val="18"/>
          <w:color w:val="auto"/>
        </w:rPr>
        <w:t xml:space="preserve">. During and for a period of twenty-four (24) months after the Executive’s employment with the Employer ends for any reason, the Executive will not knowingly use, disclose, or transfer any Employer Confidential Information other than as authorized in writing by the Employer or within the scope of the Executive’s duties with the Employer as determined reasonably and in good faith by the Executive. Anything herein to the contrary notwithstanding, the provisions of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shall not apply when disclosure is required by</w:t>
      </w:r>
    </w:p>
    <w:p>
      <w:pPr>
        <w:sectPr>
          <w:pgSz w:w="11900" w:h="16838" w:orient="portrait"/>
          <w:cols w:equalWidth="0" w:num="1">
            <w:col w:w="11060"/>
          </w:cols>
          <w:pgMar w:left="480" w:top="1161" w:right="359" w:bottom="1440" w:gutter="0" w:footer="0" w:header="0"/>
        </w:sectPr>
      </w:pPr>
    </w:p>
    <w:bookmarkStart w:id="7" w:name="page8"/>
    <w:bookmarkEnd w:id="7"/>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law or by any court, arbitrator, mediator or administrative or legislative body (including any committee thereof) with actual or apparent jurisdiction to order the Executive to disclose or make accessible any information or as to information that becomes generally known to the public or within the relevant trade or industry other than due to the Executive’s violation of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Further, nothing in this Agreement (including anything in </w:t>
      </w:r>
      <w:r>
        <w:rPr>
          <w:rFonts w:ascii="Times New Roman" w:cs="Times New Roman" w:eastAsia="Times New Roman" w:hAnsi="Times New Roman"/>
          <w:sz w:val="18"/>
          <w:szCs w:val="18"/>
          <w:u w:val="single" w:color="auto"/>
          <w:color w:val="auto"/>
        </w:rPr>
        <w:t>Sections 7 and 24</w:t>
      </w:r>
      <w:r>
        <w:rPr>
          <w:rFonts w:ascii="Times New Roman" w:cs="Times New Roman" w:eastAsia="Times New Roman" w:hAnsi="Times New Roman"/>
          <w:sz w:val="18"/>
          <w:szCs w:val="18"/>
          <w:color w:val="auto"/>
        </w:rPr>
        <w:t>) prohibits Executive from reporting a possible violation of federal, state, or local law or regulation to any governmental agency or entity, including but not limited to the Department of Justice, the Securities and Exchange Commission, the Congress, or any agency (including but not limited to the National Labor Relations Board or the Equal Employment Opportunity Commission) or Inspector General, or making other disclosures that are protected under any whistleblower provision of federal, state, or local law or regulation. Executive does not need the prior authorization of the Company to make any such reports or disclosures and Executive is not required to notify the Company that he made such reports or disclosures.</w:t>
      </w:r>
    </w:p>
    <w:p>
      <w:pPr>
        <w:spacing w:after="0" w:line="219" w:lineRule="exact"/>
        <w:rPr>
          <w:sz w:val="20"/>
          <w:szCs w:val="20"/>
          <w:color w:val="auto"/>
        </w:rPr>
      </w:pPr>
    </w:p>
    <w:p>
      <w:pPr>
        <w:jc w:val="both"/>
        <w:ind w:firstLine="1287"/>
        <w:spacing w:after="0" w:line="254" w:lineRule="auto"/>
        <w:tabs>
          <w:tab w:leader="none" w:pos="178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Materials</w:t>
      </w:r>
      <w:r>
        <w:rPr>
          <w:rFonts w:ascii="Times New Roman" w:cs="Times New Roman" w:eastAsia="Times New Roman" w:hAnsi="Times New Roman"/>
          <w:sz w:val="18"/>
          <w:szCs w:val="18"/>
          <w:color w:val="auto"/>
        </w:rPr>
        <w:t xml:space="preserve">. The Executive will not remove any Employer Confidential Information or any other property of the Employer or any Employer Affiliate from the Employer’s premises or make copies of such materials except for normal and customary use in the Employer’s business as determined reasonably and in good faith by the Executive. The Executive will return to the Employer all Employer Confidential Information and copies thereof and all other property of the Employer or any Employer Affiliate at any time upon the request of the Employer and in any event promptly after termination of Executive’s employment. The Executive agrees to attempt in good faith to identify and return to the Employer any copies of any Employer Confidential Information after the Executive ceases to be employed by the Employer. Anything to the contrary notwithstanding, nothing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prevent the Executive from retaining a home computer, papers and other materials of a personal nature that do not contain Employer Confidential Information.</w:t>
      </w:r>
    </w:p>
    <w:p>
      <w:pPr>
        <w:spacing w:after="0" w:line="218" w:lineRule="exact"/>
        <w:rPr>
          <w:rFonts w:ascii="Times New Roman" w:cs="Times New Roman" w:eastAsia="Times New Roman" w:hAnsi="Times New Roman"/>
          <w:sz w:val="18"/>
          <w:szCs w:val="18"/>
          <w:color w:val="auto"/>
        </w:rPr>
      </w:pPr>
    </w:p>
    <w:p>
      <w:pPr>
        <w:jc w:val="both"/>
        <w:ind w:firstLine="1287"/>
        <w:spacing w:after="0" w:line="253" w:lineRule="auto"/>
        <w:tabs>
          <w:tab w:leader="none" w:pos="17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Solicitation of Employees</w:t>
      </w:r>
      <w:r>
        <w:rPr>
          <w:rFonts w:ascii="Times New Roman" w:cs="Times New Roman" w:eastAsia="Times New Roman" w:hAnsi="Times New Roman"/>
          <w:sz w:val="18"/>
          <w:szCs w:val="18"/>
          <w:color w:val="auto"/>
        </w:rPr>
        <w:t>. During and for a period of twenty-four (24) months after the Executive’s employment with the Employer ends for any reason , the Executive shall not personally or in conjunction with others, either (i) solicit, interfere with, or endeavor to cause any Restricted Employee of the Company to leave his or her employment in order to work for a Direct Competitor (any person, entity or business that provides services or products that are intended to provide the same or substantially similar benefits or uses as the services or products sold by the Employer), or (ii) otherwise induce or attempt to induce any such Restricted Employee to terminate employment with the Company in order to work for a Director Competitor. A “Restricted Employee” is an employee of the Employer with whom Executive has a managing or reporting relationship, or a close working relationship (such as where Executive and the Restricted Employee are both officers of the Company), which could be exploited by Executive to persuade the Restricted Employee to leave his or her employment with the Company, and whom has special knowledge and/or information (including access to Confidential Information) that could cause the Employer damage or harm if he or she went to work for a Direct Competitor. Nothing in this Section 7(c) is meant to prohibit an employee of the Employer that is not a party to this Agreement from becoming employed by another organization or person.</w:t>
      </w:r>
    </w:p>
    <w:p>
      <w:pPr>
        <w:spacing w:after="0" w:line="218" w:lineRule="exact"/>
        <w:rPr>
          <w:rFonts w:ascii="Times New Roman" w:cs="Times New Roman" w:eastAsia="Times New Roman" w:hAnsi="Times New Roman"/>
          <w:sz w:val="18"/>
          <w:szCs w:val="18"/>
          <w:color w:val="auto"/>
        </w:rPr>
      </w:pPr>
    </w:p>
    <w:p>
      <w:pPr>
        <w:ind w:left="1920" w:hanging="633"/>
        <w:spacing w:after="0"/>
        <w:tabs>
          <w:tab w:leader="none" w:pos="1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w:t>
      </w:r>
    </w:p>
    <w:p>
      <w:pPr>
        <w:spacing w:after="0" w:line="265" w:lineRule="exact"/>
        <w:rPr>
          <w:rFonts w:ascii="Times New Roman" w:cs="Times New Roman" w:eastAsia="Times New Roman" w:hAnsi="Times New Roman"/>
          <w:sz w:val="18"/>
          <w:szCs w:val="18"/>
          <w:color w:val="auto"/>
        </w:rPr>
      </w:pPr>
    </w:p>
    <w:p>
      <w:pPr>
        <w:jc w:val="both"/>
        <w:ind w:firstLine="1935"/>
        <w:spacing w:after="0" w:line="253" w:lineRule="auto"/>
        <w:tabs>
          <w:tab w:leader="none" w:pos="243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Non-Compete Period, the Executive shall not, directly or indirectly, (A) solicit or encourage any client or customer of the Employer or any direct or indirect subsidiary of the Employer, or any person or entity who was such a client or customer within 12 months prior to Executive’s action, where Executive either personally dealt with or had access to Confidential Information about the client, customer, person or entity, to terminate, reduce or alter in a manner adverse to the Employer or any direct or indirect subsidiary of the Employer, any existing business arrangements with the Employer or any direct or indirect subsidiary of the Employer or to transfer existing business from the Employer or any direct or indirect subsidiary of the Employer to any other person, entity or business, (B) provide services to any entity or person in any geographic area in which the Employer or any direct or indirect subsidiary of the Employer conducts Business, or is actively planning to conduct Business, as of the date of such termination (the “</w:t>
      </w:r>
      <w:r>
        <w:rPr>
          <w:rFonts w:ascii="Times New Roman" w:cs="Times New Roman" w:eastAsia="Times New Roman" w:hAnsi="Times New Roman"/>
          <w:sz w:val="18"/>
          <w:szCs w:val="18"/>
          <w:u w:val="single" w:color="auto"/>
          <w:color w:val="auto"/>
        </w:rPr>
        <w:t>Non-Competition Area</w:t>
      </w:r>
      <w:r>
        <w:rPr>
          <w:rFonts w:ascii="Times New Roman" w:cs="Times New Roman" w:eastAsia="Times New Roman" w:hAnsi="Times New Roman"/>
          <w:sz w:val="18"/>
          <w:szCs w:val="18"/>
          <w:color w:val="auto"/>
        </w:rPr>
        <w:t xml:space="preserve">”) if (1) the entity materially competes with the Employer or any direct or indirect subsidiary of the Employer by engaging in the Business, and (2) the services to be provided by the Executive are competitive with the Business or substantially similar to those previously provided by the Executive to the Employer, or (C) own an interest in any entity, including those described in </w:t>
      </w:r>
      <w:r>
        <w:rPr>
          <w:rFonts w:ascii="Times New Roman" w:cs="Times New Roman" w:eastAsia="Times New Roman" w:hAnsi="Times New Roman"/>
          <w:sz w:val="18"/>
          <w:szCs w:val="18"/>
          <w:u w:val="single" w:color="auto"/>
          <w:color w:val="auto"/>
        </w:rPr>
        <w:t>Section 7(d)(i)(B)(1)</w:t>
      </w:r>
      <w:r>
        <w:rPr>
          <w:rFonts w:ascii="Times New Roman" w:cs="Times New Roman" w:eastAsia="Times New Roman" w:hAnsi="Times New Roman"/>
          <w:sz w:val="18"/>
          <w:szCs w:val="18"/>
          <w:color w:val="auto"/>
        </w:rPr>
        <w:t xml:space="preserve"> immediately above. The Executive agrees that, before providing services, whether as an employee or consultant, to any person, entity or business during the Non-Compete Period, the Executive will provide a copy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Agreement to such person, entity or business. The Executive acknowledges</w:t>
      </w:r>
    </w:p>
    <w:p>
      <w:pPr>
        <w:sectPr>
          <w:pgSz w:w="11900" w:h="16838" w:orient="portrait"/>
          <w:cols w:equalWidth="0" w:num="1">
            <w:col w:w="11060"/>
          </w:cols>
          <w:pgMar w:left="480" w:top="1161" w:right="359" w:bottom="1440" w:gutter="0" w:footer="0" w:header="0"/>
        </w:sectPr>
      </w:pPr>
    </w:p>
    <w:bookmarkStart w:id="8" w:name="page9"/>
    <w:bookmarkEnd w:id="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that this covenant has a unique, very substantial and immeasurable value to the Employer, that the Executive has sufficient assets and skills to provide a livelihood for the Executive while such covenant remains in force and that, as a result of the foregoing, in the event that the Executive breaches such covenant, monetary damages may be an insufficient remedy for the Employer and equitable enforcement of the covenant may be proper.</w:t>
      </w:r>
    </w:p>
    <w:p>
      <w:pPr>
        <w:spacing w:after="0" w:line="203" w:lineRule="exact"/>
        <w:rPr>
          <w:sz w:val="20"/>
          <w:szCs w:val="20"/>
          <w:color w:val="auto"/>
        </w:rPr>
      </w:pPr>
    </w:p>
    <w:p>
      <w:pPr>
        <w:jc w:val="both"/>
        <w:ind w:right="20" w:firstLine="1935"/>
        <w:spacing w:after="0" w:line="261" w:lineRule="auto"/>
        <w:tabs>
          <w:tab w:leader="none" w:pos="244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restrictions contained in </w:t>
      </w:r>
      <w:r>
        <w:rPr>
          <w:rFonts w:ascii="Times New Roman" w:cs="Times New Roman" w:eastAsia="Times New Roman" w:hAnsi="Times New Roman"/>
          <w:sz w:val="18"/>
          <w:szCs w:val="18"/>
          <w:u w:val="single" w:color="auto"/>
          <w:color w:val="auto"/>
        </w:rPr>
        <w:t>Section 7(d)(i)</w:t>
      </w:r>
      <w:r>
        <w:rPr>
          <w:rFonts w:ascii="Times New Roman" w:cs="Times New Roman" w:eastAsia="Times New Roman" w:hAnsi="Times New Roman"/>
          <w:sz w:val="18"/>
          <w:szCs w:val="18"/>
          <w:color w:val="auto"/>
        </w:rPr>
        <w:t xml:space="preserve"> shall be determined by any court of competent jurisdiction to be unenforceable by reason of their extending for too great a period of time or over too great a geographical area or by reason of their being too extensive in any other respect, </w:t>
      </w:r>
      <w:r>
        <w:rPr>
          <w:rFonts w:ascii="Times New Roman" w:cs="Times New Roman" w:eastAsia="Times New Roman" w:hAnsi="Times New Roman"/>
          <w:sz w:val="18"/>
          <w:szCs w:val="18"/>
          <w:u w:val="single" w:color="auto"/>
          <w:color w:val="auto"/>
        </w:rPr>
        <w:t>Section 7(d)(i)</w:t>
      </w:r>
      <w:r>
        <w:rPr>
          <w:rFonts w:ascii="Times New Roman" w:cs="Times New Roman" w:eastAsia="Times New Roman" w:hAnsi="Times New Roman"/>
          <w:sz w:val="18"/>
          <w:szCs w:val="18"/>
          <w:color w:val="auto"/>
        </w:rPr>
        <w:t xml:space="preserve"> shall be modified to be effective for the maximum period of time for which it may be enforceable and over the maximum geographical area as to which it may be enforceable and to the maximum extent in all other respects as to which it may be enforceable.</w:t>
      </w:r>
    </w:p>
    <w:p>
      <w:pPr>
        <w:spacing w:after="0" w:line="301" w:lineRule="exact"/>
        <w:rPr>
          <w:rFonts w:ascii="Times New Roman" w:cs="Times New Roman" w:eastAsia="Times New Roman" w:hAnsi="Times New Roman"/>
          <w:sz w:val="18"/>
          <w:szCs w:val="18"/>
          <w:color w:val="auto"/>
        </w:rPr>
      </w:pPr>
    </w:p>
    <w:p>
      <w:pPr>
        <w:jc w:val="both"/>
        <w:ind w:firstLine="1287"/>
        <w:spacing w:after="0" w:line="252" w:lineRule="auto"/>
        <w:tabs>
          <w:tab w:leader="none" w:pos="17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xml:space="preserve">. The Executive acknowledges that in the event of any breach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business interests of the Employer and the Employer Affiliates could be irreparably and unfairly injured, the full extent of the damages to the Employer and the Employer Affiliates may be impossible to ascertain, monetary damages may not be an adequate remedy for the Employer and the Employer Affiliates, and the Employer will be entitled to seek to enforce this Agreement by a temporary, preliminary and/or permanent injunction or other equitable relief, without the necessity of posting bond or security, which the Executive expressly waives. The Executive understands that the Employer may waive some of the requirements expressed in this Agreement, but that such a waiver to be effective must be made in writing and should not in any way be deemed a waiver of the Employer’s right to enforce any other requirements or provisions of this Agreement. The Executive agrees that each of the Executive’s obligations specified in this Agreement is a separate and independent covenant and that the unenforceability of any of them shall not preclude the enforcement of any other covenants in this Agreement. In signing this Agreement, the Executive gives the Employer assurance that the Executive has carefully read and considered all of the terms and conditions of this Agreement. The Executive agrees that these restraints are necessary for the reasonable and proper protection of the Employer and the Employer Affiliates and their Confidential Information and that each and every one of the restraints is reasonable in respect to subject matter, length of time and geographic area, and that these restraints, individually or in the aggregate, will not prevent the Executive from obtaining other suitable employment during the period in which the Executive is bound by the restraints. It is also agreed that each of the Employer Affiliates will have the right to enforce all of the Executive’s obligations to that affiliate under this Agreement, and is an express third-party beneficiary of these restrictions.</w:t>
      </w:r>
    </w:p>
    <w:p>
      <w:pPr>
        <w:spacing w:after="0" w:line="384" w:lineRule="exact"/>
        <w:rPr>
          <w:rFonts w:ascii="Times New Roman" w:cs="Times New Roman" w:eastAsia="Times New Roman" w:hAnsi="Times New Roman"/>
          <w:sz w:val="18"/>
          <w:szCs w:val="18"/>
          <w:color w:val="auto"/>
        </w:rPr>
      </w:pPr>
    </w:p>
    <w:p>
      <w:pPr>
        <w:jc w:val="both"/>
        <w:ind w:right="20" w:firstLine="1287"/>
        <w:spacing w:after="0" w:line="254" w:lineRule="auto"/>
        <w:tabs>
          <w:tab w:leader="none" w:pos="17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Trade Secrets/Defend Trade Secrets Act</w:t>
      </w:r>
      <w:r>
        <w:rPr>
          <w:rFonts w:ascii="Times New Roman" w:cs="Times New Roman" w:eastAsia="Times New Roman" w:hAnsi="Times New Roman"/>
          <w:sz w:val="18"/>
          <w:szCs w:val="18"/>
          <w:color w:val="auto"/>
        </w:rPr>
        <w:t>. Nothing in this Agreement diminishes or limits any protection granted by law to trade secrets or relieves Executive of any duty not to disclose, use, or misappropriate any information that is a trade secret, for as long as such information remains a trade secret. Additionally, nothing in this Agreement is intended to discourage Executive from reporting any theft of trade secrets to the appropriate government official pursuant to the Defend Trade Secrets Act of 2016 (“</w:t>
      </w:r>
      <w:r>
        <w:rPr>
          <w:rFonts w:ascii="Times New Roman" w:cs="Times New Roman" w:eastAsia="Times New Roman" w:hAnsi="Times New Roman"/>
          <w:sz w:val="18"/>
          <w:szCs w:val="18"/>
          <w:u w:val="single" w:color="auto"/>
          <w:color w:val="auto"/>
        </w:rPr>
        <w:t>DTSA</w:t>
      </w:r>
      <w:r>
        <w:rPr>
          <w:rFonts w:ascii="Times New Roman" w:cs="Times New Roman" w:eastAsia="Times New Roman" w:hAnsi="Times New Roman"/>
          <w:sz w:val="18"/>
          <w:szCs w:val="18"/>
          <w:color w:val="auto"/>
        </w:rPr>
        <w:t>”) or other applicable state or federal law. Under the DTSA, a trade secret may be disclosed to report a suspected violation of law and/or in an anti-retaliation lawsuit, as follows:</w:t>
      </w:r>
    </w:p>
    <w:p>
      <w:pPr>
        <w:spacing w:after="0" w:line="3" w:lineRule="exact"/>
        <w:rPr>
          <w:rFonts w:ascii="Times New Roman" w:cs="Times New Roman" w:eastAsia="Times New Roman" w:hAnsi="Times New Roman"/>
          <w:sz w:val="18"/>
          <w:szCs w:val="18"/>
          <w:color w:val="auto"/>
        </w:rPr>
      </w:pPr>
    </w:p>
    <w:p>
      <w:pPr>
        <w:ind w:left="2420" w:hanging="485"/>
        <w:spacing w:after="0"/>
        <w:tabs>
          <w:tab w:leader="none" w:pos="24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shall not be held criminally or civilly liable under any federal or state trade secret law for the disclosure</w:t>
      </w:r>
    </w:p>
    <w:p>
      <w:pPr>
        <w:spacing w:after="0" w:line="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of a trade secret that: (A) is made (1) in confidence to a federal, state, or local government official, either directly or indirectly, or to an attorney; and (2) solely for the purpose of reporting or investigating a suspected violation of law; or (B) is made in a complaint or other document filed in a lawsuit or other proceeding, if such filing is made under seal.</w:t>
      </w:r>
    </w:p>
    <w:p>
      <w:pPr>
        <w:spacing w:after="0" w:line="1" w:lineRule="exact"/>
        <w:rPr>
          <w:sz w:val="20"/>
          <w:szCs w:val="20"/>
          <w:color w:val="auto"/>
        </w:rPr>
      </w:pPr>
    </w:p>
    <w:p>
      <w:pPr>
        <w:jc w:val="both"/>
        <w:ind w:right="20" w:firstLine="1935"/>
        <w:spacing w:after="0" w:line="253" w:lineRule="auto"/>
        <w:tabs>
          <w:tab w:leader="none" w:pos="244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Nothing in this Agreement shall limit, curtail or diminish the Company’s statutory rights under the DTSA, any applicable state law regarding trade secrets or common law.</w:t>
      </w:r>
    </w:p>
    <w:p>
      <w:pPr>
        <w:spacing w:after="0" w:line="215" w:lineRule="exact"/>
        <w:rPr>
          <w:rFonts w:ascii="Times New Roman" w:cs="Times New Roman" w:eastAsia="Times New Roman" w:hAnsi="Times New Roman"/>
          <w:sz w:val="18"/>
          <w:szCs w:val="18"/>
          <w:color w:val="auto"/>
        </w:rPr>
      </w:pPr>
    </w:p>
    <w:p>
      <w:pPr>
        <w:ind w:left="1320" w:hanging="681"/>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w:t>
      </w:r>
    </w:p>
    <w:p>
      <w:pPr>
        <w:sectPr>
          <w:pgSz w:w="11900" w:h="16838" w:orient="portrait"/>
          <w:cols w:equalWidth="0" w:num="1">
            <w:col w:w="11060"/>
          </w:cols>
          <w:pgMar w:left="480" w:top="1161" w:right="359" w:bottom="1440" w:gutter="0" w:footer="0" w:header="0"/>
        </w:sectPr>
      </w:pPr>
    </w:p>
    <w:bookmarkStart w:id="9" w:name="page10"/>
    <w:bookmarkEnd w:id="9"/>
    <w:p>
      <w:pPr>
        <w:ind w:firstLine="1287"/>
        <w:spacing w:after="0" w:line="282" w:lineRule="auto"/>
        <w:tabs>
          <w:tab w:leader="none" w:pos="179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Terminations</w:t>
      </w:r>
      <w:r>
        <w:rPr>
          <w:rFonts w:ascii="Times New Roman" w:cs="Times New Roman" w:eastAsia="Times New Roman" w:hAnsi="Times New Roman"/>
          <w:sz w:val="18"/>
          <w:szCs w:val="18"/>
          <w:color w:val="auto"/>
        </w:rPr>
        <w:t>. The Executive’s employment hereunder may be terminated during the Employment Period under the following circumstances:</w:t>
      </w:r>
    </w:p>
    <w:p>
      <w:pPr>
        <w:spacing w:after="0" w:line="202" w:lineRule="exact"/>
        <w:rPr>
          <w:rFonts w:ascii="Times New Roman" w:cs="Times New Roman" w:eastAsia="Times New Roman" w:hAnsi="Times New Roman"/>
          <w:sz w:val="18"/>
          <w:szCs w:val="18"/>
          <w:color w:val="auto"/>
        </w:rPr>
      </w:pPr>
    </w:p>
    <w:p>
      <w:pPr>
        <w:ind w:left="2420" w:hanging="485"/>
        <w:spacing w:after="0"/>
        <w:tabs>
          <w:tab w:leader="none" w:pos="24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The Executive’s employment hereunder shall terminate automatically upon the Executive’s death.</w:t>
      </w:r>
    </w:p>
    <w:p>
      <w:pPr>
        <w:spacing w:after="0" w:line="252" w:lineRule="exact"/>
        <w:rPr>
          <w:rFonts w:ascii="Times New Roman" w:cs="Times New Roman" w:eastAsia="Times New Roman" w:hAnsi="Times New Roman"/>
          <w:sz w:val="18"/>
          <w:szCs w:val="18"/>
          <w:color w:val="auto"/>
        </w:rPr>
      </w:pPr>
    </w:p>
    <w:p>
      <w:pPr>
        <w:ind w:left="2580" w:hanging="644"/>
        <w:spacing w:after="0"/>
        <w:tabs>
          <w:tab w:leader="none" w:pos="258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the Employer</w:t>
      </w:r>
      <w:r>
        <w:rPr>
          <w:rFonts w:ascii="Times New Roman" w:cs="Times New Roman" w:eastAsia="Times New Roman" w:hAnsi="Times New Roman"/>
          <w:sz w:val="18"/>
          <w:szCs w:val="18"/>
          <w:color w:val="auto"/>
        </w:rPr>
        <w:t>. The Employer may terminate the Executive’s employment:</w:t>
      </w:r>
    </w:p>
    <w:p>
      <w:pPr>
        <w:spacing w:after="0" w:line="333" w:lineRule="exact"/>
        <w:rPr>
          <w:rFonts w:ascii="Times New Roman" w:cs="Times New Roman" w:eastAsia="Times New Roman" w:hAnsi="Times New Roman"/>
          <w:sz w:val="18"/>
          <w:szCs w:val="18"/>
          <w:color w:val="auto"/>
        </w:rPr>
      </w:pPr>
    </w:p>
    <w:p>
      <w:pPr>
        <w:jc w:val="both"/>
        <w:ind w:firstLine="2908"/>
        <w:spacing w:after="0" w:line="261" w:lineRule="auto"/>
        <w:tabs>
          <w:tab w:leader="none" w:pos="3733"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If the Executive shall have been substantially unable to perform the Executive’s material duties hereunder by reason of illness, physical or mental disability or other similar incapacity, which inability shall continue for 180 consecutive days or 270 days in any 24-month period (a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(provided, that until such termination, the Executive shall continue to receive the Executive’s compensation and benefits hereunder, reduced by any benefits payable to the Executive under any applicable disability insurance policy or plan); or</w:t>
      </w:r>
    </w:p>
    <w:p>
      <w:pPr>
        <w:spacing w:after="0" w:line="206" w:lineRule="exact"/>
        <w:rPr>
          <w:rFonts w:ascii="Times New Roman" w:cs="Times New Roman" w:eastAsia="Times New Roman" w:hAnsi="Times New Roman"/>
          <w:sz w:val="18"/>
          <w:szCs w:val="18"/>
          <w:color w:val="auto"/>
        </w:rPr>
      </w:pPr>
    </w:p>
    <w:p>
      <w:pPr>
        <w:ind w:left="3260" w:hanging="352"/>
        <w:spacing w:after="0"/>
        <w:tabs>
          <w:tab w:leader="none" w:pos="3260"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For Cause or without Cause.</w:t>
      </w:r>
    </w:p>
    <w:p>
      <w:pPr>
        <w:spacing w:after="0" w:line="346" w:lineRule="exact"/>
        <w:rPr>
          <w:rFonts w:ascii="Times New Roman" w:cs="Times New Roman" w:eastAsia="Times New Roman" w:hAnsi="Times New Roman"/>
          <w:sz w:val="18"/>
          <w:szCs w:val="18"/>
          <w:color w:val="auto"/>
        </w:rPr>
      </w:pPr>
    </w:p>
    <w:p>
      <w:pPr>
        <w:ind w:left="2440" w:hanging="505"/>
        <w:spacing w:after="0"/>
        <w:tabs>
          <w:tab w:leader="none" w:pos="244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the Executive</w:t>
      </w:r>
      <w:r>
        <w:rPr>
          <w:rFonts w:ascii="Times New Roman" w:cs="Times New Roman" w:eastAsia="Times New Roman" w:hAnsi="Times New Roman"/>
          <w:sz w:val="18"/>
          <w:szCs w:val="18"/>
          <w:color w:val="auto"/>
        </w:rPr>
        <w:t>. The Executive may terminate the Executive’s employment for any reason (including Good Reason)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for no reason.</w:t>
      </w:r>
    </w:p>
    <w:p>
      <w:pPr>
        <w:spacing w:after="0" w:line="233" w:lineRule="exact"/>
        <w:rPr>
          <w:rFonts w:ascii="Times New Roman" w:cs="Times New Roman" w:eastAsia="Times New Roman" w:hAnsi="Times New Roman"/>
          <w:sz w:val="18"/>
          <w:szCs w:val="18"/>
          <w:color w:val="auto"/>
        </w:rPr>
      </w:pPr>
    </w:p>
    <w:p>
      <w:pPr>
        <w:jc w:val="both"/>
        <w:ind w:firstLine="1287"/>
        <w:spacing w:after="0" w:line="253" w:lineRule="auto"/>
        <w:tabs>
          <w:tab w:leader="none" w:pos="178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Any termination of the Executive’s employment by the Employer or the Executive (other than because of the Executive’s death) shall be communicated by written Notice of Termination to the other party hereto in accordance with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For purposes of this Agreement, a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xml:space="preserve">” shall mean a notice which shall indicate the specific termination provision in this Agreement relied upon, if any, and set forth in reasonable detail the facts and circumstances claimed to provide a basis for termination of the Executive’s employment under the provision so indicated. Termination of the Executive’s employment shall take effect on the Date of Termination. The Executive agrees, in the event of any dispute under </w:t>
      </w:r>
      <w:r>
        <w:rPr>
          <w:rFonts w:ascii="Times New Roman" w:cs="Times New Roman" w:eastAsia="Times New Roman" w:hAnsi="Times New Roman"/>
          <w:sz w:val="18"/>
          <w:szCs w:val="18"/>
          <w:u w:val="single" w:color="auto"/>
          <w:color w:val="auto"/>
        </w:rPr>
        <w:t>Section 8(a)(ii)(A)</w:t>
      </w:r>
      <w:r>
        <w:rPr>
          <w:rFonts w:ascii="Times New Roman" w:cs="Times New Roman" w:eastAsia="Times New Roman" w:hAnsi="Times New Roman"/>
          <w:sz w:val="18"/>
          <w:szCs w:val="18"/>
          <w:color w:val="auto"/>
        </w:rPr>
        <w:t xml:space="preserve"> as to whether a Disability exists, and if requested by the Employer, to submit to a physical examination by a licensed physician selected by mutual consent of the Employer and the Executive, the cost of such examination to be paid by the Employer. The written medical opinion of such physician shall be conclusive and binding upon each of the parties hereto as to whether a Disability exists and the date when such Disability arose. This Section shall be interpreted and applied so as to comply with the provisions of the Americans with Disabilities Act and any applicable state or local laws. For the purposes of this Agreement, a voluntary termination by the Executive upon the expiration of the Employment Period due to delivery of a non-renewal notice by the Employer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treated as a termination by the Employer without Cause during the Employment Period.</w:t>
      </w:r>
    </w:p>
    <w:p>
      <w:pPr>
        <w:spacing w:after="0" w:line="216" w:lineRule="exact"/>
        <w:rPr>
          <w:rFonts w:ascii="Times New Roman" w:cs="Times New Roman" w:eastAsia="Times New Roman" w:hAnsi="Times New Roman"/>
          <w:sz w:val="18"/>
          <w:szCs w:val="18"/>
          <w:color w:val="auto"/>
        </w:rPr>
      </w:pPr>
    </w:p>
    <w:p>
      <w:pPr>
        <w:ind w:left="1280" w:hanging="641"/>
        <w:spacing w:after="0"/>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Upon Termination</w:t>
      </w:r>
      <w:r>
        <w:rPr>
          <w:rFonts w:ascii="Times New Roman" w:cs="Times New Roman" w:eastAsia="Times New Roman" w:hAnsi="Times New Roman"/>
          <w:sz w:val="18"/>
          <w:szCs w:val="18"/>
          <w:color w:val="auto"/>
        </w:rPr>
        <w:t>.</w:t>
      </w:r>
    </w:p>
    <w:p>
      <w:pPr>
        <w:spacing w:after="0" w:line="346" w:lineRule="exact"/>
        <w:rPr>
          <w:rFonts w:ascii="Times New Roman" w:cs="Times New Roman" w:eastAsia="Times New Roman" w:hAnsi="Times New Roman"/>
          <w:sz w:val="18"/>
          <w:szCs w:val="18"/>
          <w:color w:val="auto"/>
        </w:rPr>
      </w:pPr>
    </w:p>
    <w:p>
      <w:pPr>
        <w:jc w:val="both"/>
        <w:ind w:firstLine="1287"/>
        <w:spacing w:after="0" w:line="253" w:lineRule="auto"/>
        <w:tabs>
          <w:tab w:leader="none" w:pos="179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If the Employer terminates the Executive’s employment during the Employment Period because of the Executive’s Disability pursuant to </w:t>
      </w:r>
      <w:r>
        <w:rPr>
          <w:rFonts w:ascii="Times New Roman" w:cs="Times New Roman" w:eastAsia="Times New Roman" w:hAnsi="Times New Roman"/>
          <w:sz w:val="18"/>
          <w:szCs w:val="18"/>
          <w:u w:val="single" w:color="auto"/>
          <w:color w:val="auto"/>
        </w:rPr>
        <w:t>Section 8(a)(ii)(A)</w:t>
      </w:r>
      <w:r>
        <w:rPr>
          <w:rFonts w:ascii="Times New Roman" w:cs="Times New Roman" w:eastAsia="Times New Roman" w:hAnsi="Times New Roman"/>
          <w:sz w:val="18"/>
          <w:szCs w:val="18"/>
          <w:color w:val="auto"/>
        </w:rPr>
        <w:t xml:space="preserve">, the Employer shall pay to the Executive (i) the Accrued Benefits; (ii) a pro rata portion (based on the number of days during the applicable fiscal period prior to the Date of Termination) of the Annual Bonus the Executive would have earned absent such termination, with such payment to be made based on actual performance and at the time bonus payments are made to executives of the Employer generally; (iii) any outstanding equity awards granted pursuant to </w:t>
      </w:r>
      <w:r>
        <w:rPr>
          <w:rFonts w:ascii="Times New Roman" w:cs="Times New Roman" w:eastAsia="Times New Roman" w:hAnsi="Times New Roman"/>
          <w:sz w:val="18"/>
          <w:szCs w:val="18"/>
          <w:u w:val="single" w:color="auto"/>
          <w:color w:val="auto"/>
        </w:rPr>
        <w:t>Sections 5(c)</w:t>
      </w:r>
      <w:r>
        <w:rPr>
          <w:rFonts w:ascii="Times New Roman" w:cs="Times New Roman" w:eastAsia="Times New Roman" w:hAnsi="Times New Roman"/>
          <w:sz w:val="18"/>
          <w:szCs w:val="18"/>
          <w:color w:val="auto"/>
        </w:rPr>
        <w:t xml:space="preserve"> or any other outstanding equity awards granted pursuant to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xml:space="preserve"> that are subject solely to time-based vesting conditions shall immediately vest in full and any outstanding equity awards that are subject to performance-based vesting conditions shall vest based on target performance for the applicable performance period in which termination occurs; and (iv) the Executive shall be entitled to a lump sum cash payment, to be paid as soon as practicable after the Date of Termination, equal to the monthly total premium that would be incurred by the Executive to obtain and pay for continued coverage under the Employer’s health insurance plans pursuant to COBRA, as determined on the Date of Termination, multiplied by 12 (the “</w:t>
      </w:r>
      <w:r>
        <w:rPr>
          <w:rFonts w:ascii="Times New Roman" w:cs="Times New Roman" w:eastAsia="Times New Roman" w:hAnsi="Times New Roman"/>
          <w:sz w:val="18"/>
          <w:szCs w:val="18"/>
          <w:u w:val="single" w:color="auto"/>
          <w:color w:val="auto"/>
        </w:rPr>
        <w:t>Continued Coverage Payment</w:t>
      </w:r>
      <w:r>
        <w:rPr>
          <w:rFonts w:ascii="Times New Roman" w:cs="Times New Roman" w:eastAsia="Times New Roman" w:hAnsi="Times New Roman"/>
          <w:sz w:val="18"/>
          <w:szCs w:val="18"/>
          <w:color w:val="auto"/>
        </w:rPr>
        <w:t>”). Except as set forth herein, the Employer shall have no further obligation to the Executive under this Agreement.</w:t>
      </w:r>
    </w:p>
    <w:p>
      <w:pPr>
        <w:spacing w:after="0" w:line="218" w:lineRule="exact"/>
        <w:rPr>
          <w:rFonts w:ascii="Times New Roman" w:cs="Times New Roman" w:eastAsia="Times New Roman" w:hAnsi="Times New Roman"/>
          <w:sz w:val="18"/>
          <w:szCs w:val="18"/>
          <w:color w:val="auto"/>
        </w:rPr>
      </w:pPr>
    </w:p>
    <w:p>
      <w:pPr>
        <w:ind w:right="20" w:firstLine="1287"/>
        <w:spacing w:after="0" w:line="282" w:lineRule="auto"/>
        <w:tabs>
          <w:tab w:leader="none" w:pos="178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If the Executive’s employment is terminated during the Employment Period as a result of the Executive’s death, the Employer shall pay or provide to the Executive’s designated beneficiary (as on</w:t>
      </w:r>
    </w:p>
    <w:p>
      <w:pPr>
        <w:sectPr>
          <w:pgSz w:w="11900" w:h="16838" w:orient="portrait"/>
          <w:cols w:equalWidth="0" w:num="1">
            <w:col w:w="11060"/>
          </w:cols>
          <w:pgMar w:left="480" w:top="1242" w:right="359" w:bottom="1440" w:gutter="0" w:footer="0" w:header="0"/>
        </w:sectPr>
      </w:pPr>
    </w:p>
    <w:bookmarkStart w:id="10" w:name="page11"/>
    <w:bookmarkEnd w:id="10"/>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file with the Employer at such time) or if none, to the Executive’s legal representative or estate, as applicable, (i) the amounts and the accelerated vesting of outstanding equity awards set forth in </w:t>
      </w:r>
      <w:r>
        <w:rPr>
          <w:rFonts w:ascii="Times New Roman" w:cs="Times New Roman" w:eastAsia="Times New Roman" w:hAnsi="Times New Roman"/>
          <w:sz w:val="18"/>
          <w:szCs w:val="18"/>
          <w:u w:val="single" w:color="auto"/>
          <w:color w:val="auto"/>
        </w:rPr>
        <w:t>Section 9(a)(i)-(iii)</w:t>
      </w:r>
      <w:r>
        <w:rPr>
          <w:rFonts w:ascii="Times New Roman" w:cs="Times New Roman" w:eastAsia="Times New Roman" w:hAnsi="Times New Roman"/>
          <w:sz w:val="18"/>
          <w:szCs w:val="18"/>
          <w:color w:val="auto"/>
        </w:rPr>
        <w:t xml:space="preserve"> (but excluding, for the avoidance of doubt, the Continued Coverage Payment under clause (iv)); and (ii) one times the Executive’s Base Salary at the time of termination, payable in a lump sum as soon as practicable after the Date of Termination. Except as set forth herein, the Employer shall have no further obligation to the Executive under this Agreement.</w:t>
      </w:r>
    </w:p>
    <w:p>
      <w:pPr>
        <w:spacing w:after="0" w:line="207" w:lineRule="exact"/>
        <w:rPr>
          <w:sz w:val="20"/>
          <w:szCs w:val="20"/>
          <w:color w:val="auto"/>
        </w:rPr>
      </w:pPr>
    </w:p>
    <w:p>
      <w:pPr>
        <w:jc w:val="both"/>
        <w:ind w:firstLine="1286"/>
        <w:spacing w:after="0" w:line="258" w:lineRule="auto"/>
        <w:tabs>
          <w:tab w:leader="none" w:pos="17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Employer for Cause or by the Executive without Good Reason</w:t>
      </w:r>
      <w:r>
        <w:rPr>
          <w:rFonts w:ascii="Times New Roman" w:cs="Times New Roman" w:eastAsia="Times New Roman" w:hAnsi="Times New Roman"/>
          <w:sz w:val="18"/>
          <w:szCs w:val="18"/>
          <w:color w:val="auto"/>
        </w:rPr>
        <w:t xml:space="preserve">. If, during the Employment Period, the Employer terminates the Executive’s employment for Cause pursuant to </w:t>
      </w:r>
      <w:r>
        <w:rPr>
          <w:rFonts w:ascii="Times New Roman" w:cs="Times New Roman" w:eastAsia="Times New Roman" w:hAnsi="Times New Roman"/>
          <w:sz w:val="18"/>
          <w:szCs w:val="18"/>
          <w:u w:val="single" w:color="auto"/>
          <w:color w:val="auto"/>
        </w:rPr>
        <w:t>Section 8(a)(ii)(B)</w:t>
      </w:r>
      <w:r>
        <w:rPr>
          <w:rFonts w:ascii="Times New Roman" w:cs="Times New Roman" w:eastAsia="Times New Roman" w:hAnsi="Times New Roman"/>
          <w:sz w:val="18"/>
          <w:szCs w:val="18"/>
          <w:color w:val="auto"/>
        </w:rPr>
        <w:t xml:space="preserve"> or the Executive terminates the Executive’s employment without Good Reason, the Employer shall pay to the Executive the Accrued Benefits;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in the case of a termination of the Executive’s employment by the Employer for Cause, the Accrued Benefits shall not include any unpaid Annual Bonus for the fiscal year ending prior to the Date of Termination. Except as set forth herein, the Employer shall have no further obligations to the Executive under this Agreement.</w:t>
      </w:r>
    </w:p>
    <w:p>
      <w:pPr>
        <w:spacing w:after="0" w:line="210" w:lineRule="exact"/>
        <w:rPr>
          <w:rFonts w:ascii="Times New Roman" w:cs="Times New Roman" w:eastAsia="Times New Roman" w:hAnsi="Times New Roman"/>
          <w:sz w:val="18"/>
          <w:szCs w:val="18"/>
          <w:color w:val="auto"/>
        </w:rPr>
      </w:pPr>
    </w:p>
    <w:p>
      <w:pPr>
        <w:jc w:val="both"/>
        <w:ind w:firstLine="1286"/>
        <w:spacing w:after="0" w:line="253" w:lineRule="auto"/>
        <w:tabs>
          <w:tab w:leader="none" w:pos="178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Employer without Cause or by the Executive with Good Reason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Sections 9(e) and (f)</w:t>
      </w:r>
      <w:r>
        <w:rPr>
          <w:rFonts w:ascii="Times New Roman" w:cs="Times New Roman" w:eastAsia="Times New Roman" w:hAnsi="Times New Roman"/>
          <w:sz w:val="18"/>
          <w:szCs w:val="18"/>
          <w:color w:val="auto"/>
        </w:rPr>
        <w:t>, if the Employer terminates the Executive’s employment during the Employment Period for a reason other than for Cause (and other than due to death or Disability) or if the Executive terminates the Executive’s employment hereunder with Good Reason, (i) the Employer shall pay the Executive (A) the Accrued Benefits, (B) a pro rata portion (based on the number of days during the applicable fiscal period prior to the Date of Termination) of the Annual Bonus the Executive would have earned absent such termination, with such payment to be made based on actual performance and at the time bonus payments are made to executives of the Employer generally, (C) a lump sum equal to 1x the Executive’s Target Annual Bonus for the year of termination, and (D) continued Base Salary for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12 months following the Date of Termination in the case of Good Reason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18 months following the Date of Termination in the case of termination without Cause (in each applicable case, the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payable in equal installments in accordance with the Employer’s normal payroll practices (the “</w:t>
      </w:r>
      <w:r>
        <w:rPr>
          <w:rFonts w:ascii="Times New Roman" w:cs="Times New Roman" w:eastAsia="Times New Roman" w:hAnsi="Times New Roman"/>
          <w:sz w:val="18"/>
          <w:szCs w:val="18"/>
          <w:u w:val="single" w:color="auto"/>
          <w:color w:val="auto"/>
        </w:rPr>
        <w:t>Cash Severance Payment</w:t>
      </w:r>
      <w:r>
        <w:rPr>
          <w:rFonts w:ascii="Times New Roman" w:cs="Times New Roman" w:eastAsia="Times New Roman" w:hAnsi="Times New Roman"/>
          <w:sz w:val="18"/>
          <w:szCs w:val="18"/>
          <w:color w:val="auto"/>
        </w:rPr>
        <w:t xml:space="preserve">”); (ii) any outstanding equity awards granted pursuant to </w:t>
      </w:r>
      <w:r>
        <w:rPr>
          <w:rFonts w:ascii="Times New Roman" w:cs="Times New Roman" w:eastAsia="Times New Roman" w:hAnsi="Times New Roman"/>
          <w:sz w:val="18"/>
          <w:szCs w:val="18"/>
          <w:u w:val="single" w:color="auto"/>
          <w:color w:val="auto"/>
        </w:rPr>
        <w:t>Sections 5(c)</w:t>
      </w:r>
      <w:r>
        <w:rPr>
          <w:rFonts w:ascii="Times New Roman" w:cs="Times New Roman" w:eastAsia="Times New Roman" w:hAnsi="Times New Roman"/>
          <w:sz w:val="18"/>
          <w:szCs w:val="18"/>
          <w:color w:val="auto"/>
        </w:rPr>
        <w:t xml:space="preserve"> of this Agreement or any other outstanding equity awards granted pursuant to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xml:space="preserve"> shall continue to vest during the Severance Period; and (iii) the Executive shall be entitled to the Continued Coverage Payment (collectively, but excluding the Accrued Benefits, the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For clarity, to the extent any outstanding equity award is not scheduled to vest during the Severance Period, such award or portion thereof, as applicable, shall be forfeited on the Date of Termination.</w:t>
      </w:r>
    </w:p>
    <w:p>
      <w:pPr>
        <w:spacing w:after="0" w:line="214" w:lineRule="exact"/>
        <w:rPr>
          <w:rFonts w:ascii="Times New Roman" w:cs="Times New Roman" w:eastAsia="Times New Roman" w:hAnsi="Times New Roman"/>
          <w:sz w:val="18"/>
          <w:szCs w:val="18"/>
          <w:color w:val="auto"/>
        </w:rPr>
      </w:pPr>
    </w:p>
    <w:p>
      <w:pPr>
        <w:ind w:left="1940" w:hanging="654"/>
        <w:spacing w:after="0"/>
        <w:tabs>
          <w:tab w:leader="none" w:pos="1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right="20" w:firstLine="1935"/>
        <w:spacing w:after="0" w:line="258" w:lineRule="auto"/>
        <w:tabs>
          <w:tab w:leader="none" w:pos="243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9(e)(ii)</w:t>
      </w:r>
      <w:r>
        <w:rPr>
          <w:rFonts w:ascii="Times New Roman" w:cs="Times New Roman" w:eastAsia="Times New Roman" w:hAnsi="Times New Roman"/>
          <w:sz w:val="18"/>
          <w:szCs w:val="18"/>
          <w:color w:val="auto"/>
        </w:rPr>
        <w:t xml:space="preserve"> shall apply if there is (A) a termination of the Executive’s employment by the Employer for a reason other than for Cause and other than due to the Executive’s Disability or death or by the Executive for Good Reason during the 12-month period after a Change in Control; or (B) a termination of the Executive’s employment by the Employer for a reason other than for Cause and other than due to the Executive’s Disability or death prior to a Change in Control, if the termination was at the request of a third party or otherwise arose in anticipation of a Change in Control (a termination described in either clause (A) or clause (B), a “</w:t>
      </w:r>
      <w:r>
        <w:rPr>
          <w:rFonts w:ascii="Times New Roman" w:cs="Times New Roman" w:eastAsia="Times New Roman" w:hAnsi="Times New Roman"/>
          <w:sz w:val="18"/>
          <w:szCs w:val="18"/>
          <w:u w:val="single" w:color="auto"/>
          <w:color w:val="auto"/>
        </w:rPr>
        <w:t>CIC Termination</w:t>
      </w:r>
      <w:r>
        <w:rPr>
          <w:rFonts w:ascii="Times New Roman" w:cs="Times New Roman" w:eastAsia="Times New Roman" w:hAnsi="Times New Roman"/>
          <w:sz w:val="18"/>
          <w:szCs w:val="18"/>
          <w:color w:val="auto"/>
        </w:rPr>
        <w:t>”).</w:t>
      </w:r>
    </w:p>
    <w:p>
      <w:pPr>
        <w:spacing w:after="0" w:line="210" w:lineRule="exact"/>
        <w:rPr>
          <w:rFonts w:ascii="Times New Roman" w:cs="Times New Roman" w:eastAsia="Times New Roman" w:hAnsi="Times New Roman"/>
          <w:sz w:val="18"/>
          <w:szCs w:val="18"/>
          <w:color w:val="auto"/>
        </w:rPr>
      </w:pPr>
    </w:p>
    <w:p>
      <w:pPr>
        <w:jc w:val="both"/>
        <w:ind w:firstLine="1935"/>
        <w:spacing w:after="0" w:line="256" w:lineRule="auto"/>
        <w:tabs>
          <w:tab w:leader="none" w:pos="244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9(f)</w:t>
      </w:r>
      <w:r>
        <w:rPr>
          <w:rFonts w:ascii="Times New Roman" w:cs="Times New Roman" w:eastAsia="Times New Roman" w:hAnsi="Times New Roman"/>
          <w:sz w:val="18"/>
          <w:szCs w:val="18"/>
          <w:color w:val="auto"/>
        </w:rPr>
        <w:t xml:space="preserve">, if any such CIC Termination occurs, the Executive shall receive the benefits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9(d)</w:t>
      </w:r>
      <w:r>
        <w:rPr>
          <w:rFonts w:ascii="Times New Roman" w:cs="Times New Roman" w:eastAsia="Times New Roman" w:hAnsi="Times New Roman"/>
          <w:sz w:val="18"/>
          <w:szCs w:val="18"/>
          <w:color w:val="auto"/>
        </w:rPr>
        <w:t>, except that the Severance Benefits shall be modified as follows: (A) if such Change in Control is a “change in control event” under Section 409A of the Code (a “</w:t>
      </w:r>
      <w:r>
        <w:rPr>
          <w:rFonts w:ascii="Times New Roman" w:cs="Times New Roman" w:eastAsia="Times New Roman" w:hAnsi="Times New Roman"/>
          <w:sz w:val="18"/>
          <w:szCs w:val="18"/>
          <w:u w:val="single" w:color="auto"/>
          <w:color w:val="auto"/>
        </w:rPr>
        <w:t>Qualifying CIC</w:t>
      </w:r>
      <w:r>
        <w:rPr>
          <w:rFonts w:ascii="Times New Roman" w:cs="Times New Roman" w:eastAsia="Times New Roman" w:hAnsi="Times New Roman"/>
          <w:sz w:val="18"/>
          <w:szCs w:val="18"/>
          <w:color w:val="auto"/>
        </w:rPr>
        <w:t xml:space="preserve">”), the Cash Severance Payment shall be paid in a lump sum; (B) the Continued Coverage Payment shall be determined by multiplying the monthly COBRA premium by 18, instead of 12; and (C) any outstanding equity awards granted pursuant to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xml:space="preserve"> or any other outstanding equity awards granted pursuant to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xml:space="preserve"> shall immediately vest in full (without regard to any time-based or performance-based vesting conditions).</w:t>
      </w:r>
    </w:p>
    <w:p>
      <w:pPr>
        <w:spacing w:after="0" w:line="214" w:lineRule="exact"/>
        <w:rPr>
          <w:rFonts w:ascii="Times New Roman" w:cs="Times New Roman" w:eastAsia="Times New Roman" w:hAnsi="Times New Roman"/>
          <w:sz w:val="18"/>
          <w:szCs w:val="18"/>
          <w:color w:val="auto"/>
        </w:rPr>
      </w:pPr>
    </w:p>
    <w:p>
      <w:pPr>
        <w:jc w:val="both"/>
        <w:ind w:firstLine="1287"/>
        <w:spacing w:after="0" w:line="261" w:lineRule="auto"/>
        <w:tabs>
          <w:tab w:leader="none" w:pos="179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xml:space="preserve"> As a condition to receiving the Severance Benefits, the Executive must execute a release of claims substantially in the form attached hereto as Exhibit A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To be eligible for Severance Benefits, the Executive must execute and deliver the Release, and such Release must become irrevocable, within 60 days of the Date of Termination. The Severance Benefits shall be provided promptly after the Release becomes irrevocable;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to the extent the 60-day period spans two calendar years and to the</w:t>
      </w:r>
    </w:p>
    <w:p>
      <w:pPr>
        <w:sectPr>
          <w:pgSz w:w="11900" w:h="16838" w:orient="portrait"/>
          <w:cols w:equalWidth="0" w:num="1">
            <w:col w:w="11060"/>
          </w:cols>
          <w:pgMar w:left="480" w:top="116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extent required to comply with Code Section 409A, the Severance Benefits shall be provided on the 60th day following the Date of Termination.</w:t>
      </w:r>
    </w:p>
    <w:p>
      <w:pPr>
        <w:spacing w:after="0" w:line="252" w:lineRule="exact"/>
        <w:rPr>
          <w:sz w:val="20"/>
          <w:szCs w:val="20"/>
          <w:color w:val="auto"/>
        </w:rPr>
      </w:pPr>
    </w:p>
    <w:p>
      <w:pPr>
        <w:jc w:val="both"/>
        <w:ind w:right="20" w:firstLine="1287"/>
        <w:spacing w:after="0" w:line="258" w:lineRule="auto"/>
        <w:tabs>
          <w:tab w:leader="none" w:pos="178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Offset</w:t>
      </w:r>
      <w:r>
        <w:rPr>
          <w:rFonts w:ascii="Times New Roman" w:cs="Times New Roman" w:eastAsia="Times New Roman" w:hAnsi="Times New Roman"/>
          <w:sz w:val="18"/>
          <w:szCs w:val="18"/>
          <w:color w:val="auto"/>
        </w:rPr>
        <w:t>. In the event of termination of the Executive’s employment, the Executive shall be under no obligation to seek other employment and there shall be no offset against amounts due to the Executive on account of any remuneration or benefits provided by any subsequent employment the Executive may obtain. The Employer’s obligation to make any payment pursuant to, and otherwise to perform its obligations under, this Agreement shall not be affected by any offset, counterclaim or other right that the Employer or any Employer Affiliate may have against the Executive for any reason.</w:t>
      </w:r>
    </w:p>
    <w:p>
      <w:pPr>
        <w:spacing w:after="0" w:line="210" w:lineRule="exact"/>
        <w:rPr>
          <w:rFonts w:ascii="Times New Roman" w:cs="Times New Roman" w:eastAsia="Times New Roman" w:hAnsi="Times New Roman"/>
          <w:sz w:val="18"/>
          <w:szCs w:val="18"/>
          <w:color w:val="auto"/>
        </w:rPr>
      </w:pPr>
    </w:p>
    <w:p>
      <w:pPr>
        <w:jc w:val="both"/>
        <w:ind w:firstLine="639"/>
        <w:spacing w:after="0" w:line="266" w:lineRule="auto"/>
        <w:tabs>
          <w:tab w:leader="none" w:pos="114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requests, or other communications which may be or are required to be given or made by any party to any other party pursuant to this Agreement shall be in writing and shall be hand delivered, mailed by first-class registered or certified mail, return receipt requested, postage prepaid, delivered by overnight air courier, or transmitted by facsimile transmission addressed as follows:</w:t>
      </w:r>
    </w:p>
    <w:p>
      <w:pPr>
        <w:spacing w:after="0" w:line="243" w:lineRule="exact"/>
        <w:rPr>
          <w:rFonts w:ascii="Times New Roman" w:cs="Times New Roman" w:eastAsia="Times New Roman" w:hAnsi="Times New Roman"/>
          <w:sz w:val="18"/>
          <w:szCs w:val="18"/>
          <w:color w:val="auto"/>
        </w:rPr>
      </w:pPr>
    </w:p>
    <w:p>
      <w:pPr>
        <w:ind w:left="1640" w:hanging="312"/>
        <w:spacing w:after="0"/>
        <w:tabs>
          <w:tab w:leader="none" w:pos="16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Employer:</w:t>
      </w:r>
    </w:p>
    <w:p>
      <w:pPr>
        <w:spacing w:after="0" w:line="157" w:lineRule="exact"/>
        <w:rPr>
          <w:rFonts w:ascii="Times New Roman" w:cs="Times New Roman" w:eastAsia="Times New Roman" w:hAnsi="Times New Roman"/>
          <w:sz w:val="18"/>
          <w:szCs w:val="18"/>
          <w:color w:val="auto"/>
        </w:rPr>
      </w:pPr>
    </w:p>
    <w:p>
      <w:pPr>
        <w:ind w:left="1640" w:right="7160"/>
        <w:spacing w:after="0" w:line="30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WillScot Holdings Corporation 4646 E Van Buren St #400 Phoenix, AZ 85008</w:t>
      </w:r>
    </w:p>
    <w:p>
      <w:pPr>
        <w:spacing w:after="0" w:line="2" w:lineRule="exact"/>
        <w:rPr>
          <w:rFonts w:ascii="Times New Roman" w:cs="Times New Roman" w:eastAsia="Times New Roman" w:hAnsi="Times New Roman"/>
          <w:sz w:val="18"/>
          <w:szCs w:val="18"/>
          <w:color w:val="auto"/>
        </w:rPr>
      </w:pPr>
    </w:p>
    <w:p>
      <w:pPr>
        <w:ind w:left="1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General Counsel &amp; Secretary</w:t>
      </w:r>
    </w:p>
    <w:p>
      <w:pPr>
        <w:spacing w:after="0" w:line="157" w:lineRule="exact"/>
        <w:rPr>
          <w:rFonts w:ascii="Times New Roman" w:cs="Times New Roman" w:eastAsia="Times New Roman" w:hAnsi="Times New Roman"/>
          <w:sz w:val="18"/>
          <w:szCs w:val="18"/>
          <w:color w:val="auto"/>
        </w:rPr>
      </w:pPr>
    </w:p>
    <w:p>
      <w:pPr>
        <w:ind w:left="1640" w:hanging="337"/>
        <w:spacing w:after="0"/>
        <w:tabs>
          <w:tab w:leader="none" w:pos="164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Executive:</w:t>
      </w:r>
    </w:p>
    <w:p>
      <w:pPr>
        <w:spacing w:after="0" w:line="14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Matthew Jacobsen</w:t>
      </w:r>
    </w:p>
    <w:p>
      <w:pPr>
        <w:spacing w:after="0" w:line="5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To the address on file for Matthew Jacobsen with the Employer</w:t>
      </w:r>
    </w:p>
    <w:p>
      <w:pPr>
        <w:spacing w:after="0" w:line="131" w:lineRule="exact"/>
        <w:rPr>
          <w:sz w:val="20"/>
          <w:szCs w:val="20"/>
          <w:color w:val="auto"/>
        </w:rPr>
      </w:pPr>
    </w:p>
    <w:p>
      <w:pPr>
        <w:jc w:val="both"/>
        <w:ind w:firstLine="1295"/>
        <w:spacing w:after="0" w:line="258" w:lineRule="auto"/>
        <w:rPr>
          <w:sz w:val="20"/>
          <w:szCs w:val="20"/>
          <w:color w:val="auto"/>
        </w:rPr>
      </w:pPr>
      <w:r>
        <w:rPr>
          <w:rFonts w:ascii="Times New Roman" w:cs="Times New Roman" w:eastAsia="Times New Roman" w:hAnsi="Times New Roman"/>
          <w:sz w:val="18"/>
          <w:szCs w:val="18"/>
          <w:color w:val="auto"/>
        </w:rPr>
        <w:t>Each party may designate by notice in writing a new address to which any notice, demand, request or communication may thereafter be so given, served or sent. Each notice, demand, request, or communication that shall be given or made in the manner described above shall be deemed sufficiently given or made for all purposes at such time as it is delivered to the addressee (with the return receipt, the delivery receipt, confirmation of facsimile transmission or the affidavit of messenger being deemed conclusive but not exclusive evidence of such delivery) or at such time as delivery is refused by the addressee upon presentation.</w:t>
      </w:r>
    </w:p>
    <w:p>
      <w:pPr>
        <w:spacing w:after="0" w:line="210" w:lineRule="exact"/>
        <w:rPr>
          <w:sz w:val="20"/>
          <w:szCs w:val="20"/>
          <w:color w:val="auto"/>
        </w:rPr>
      </w:pPr>
    </w:p>
    <w:p>
      <w:pPr>
        <w:ind w:right="20" w:firstLine="639"/>
        <w:spacing w:after="0" w:line="282"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one or more provisions of this Agreement shall not affect the validity or enforceability of the other provisions of this Agreement, which shall remain in full force and effect.</w:t>
      </w:r>
    </w:p>
    <w:p>
      <w:pPr>
        <w:spacing w:after="0" w:line="202" w:lineRule="exact"/>
        <w:rPr>
          <w:rFonts w:ascii="Times New Roman" w:cs="Times New Roman" w:eastAsia="Times New Roman" w:hAnsi="Times New Roman"/>
          <w:sz w:val="18"/>
          <w:szCs w:val="18"/>
          <w:color w:val="auto"/>
        </w:rPr>
      </w:pPr>
    </w:p>
    <w:p>
      <w:pPr>
        <w:jc w:val="both"/>
        <w:ind w:firstLine="639"/>
        <w:spacing w:after="0" w:line="254" w:lineRule="auto"/>
        <w:tabs>
          <w:tab w:leader="none" w:pos="114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Agreements</w:t>
      </w:r>
      <w:r>
        <w:rPr>
          <w:rFonts w:ascii="Times New Roman" w:cs="Times New Roman" w:eastAsia="Times New Roman" w:hAnsi="Times New Roman"/>
          <w:sz w:val="18"/>
          <w:szCs w:val="18"/>
          <w:color w:val="auto"/>
        </w:rPr>
        <w:t>. The provisions of this Agreement shall supersede the terms of any written plan, policy, agreement, award or other arrangement of the Employer (whether entered into before or after the date hereof) (an “</w:t>
      </w:r>
      <w:r>
        <w:rPr>
          <w:rFonts w:ascii="Times New Roman" w:cs="Times New Roman" w:eastAsia="Times New Roman" w:hAnsi="Times New Roman"/>
          <w:sz w:val="18"/>
          <w:szCs w:val="18"/>
          <w:u w:val="single" w:color="auto"/>
          <w:color w:val="auto"/>
        </w:rPr>
        <w:t>Other Agreement</w:t>
      </w:r>
      <w:r>
        <w:rPr>
          <w:rFonts w:ascii="Times New Roman" w:cs="Times New Roman" w:eastAsia="Times New Roman" w:hAnsi="Times New Roman"/>
          <w:sz w:val="18"/>
          <w:szCs w:val="18"/>
          <w:color w:val="auto"/>
        </w:rPr>
        <w:t>”) to the extent application of the terms of this Agreement is more favorable to the Executive. In no event, however, shall the Executive be entitled to duplicative benefits under this Agreement and under an Other Agreement. Further, in the event that the Employer reasonably determines that it is unclear whether the provisions hereof or the provisions of an Other Agreement would result in more favorable treatment to the Executive, then the provisions hereof shall control. All amounts or benefits provided hereunder shall be subject to the Employer’s compensation recoupment (clawback) policy, as in effect from time to time. In all other respects, this Agreement constitutes the entire agreement between the parties respecting the employment of the Executive, there being no representations, warranties or commitments except as set forth herein and supersedes all prior and contemporaneous understandings, agreements, representations and warranties, both written and oral, with respect to the subject matter hereof.</w:t>
      </w:r>
    </w:p>
    <w:p>
      <w:pPr>
        <w:spacing w:after="0" w:line="215" w:lineRule="exact"/>
        <w:rPr>
          <w:rFonts w:ascii="Times New Roman" w:cs="Times New Roman" w:eastAsia="Times New Roman" w:hAnsi="Times New Roman"/>
          <w:sz w:val="18"/>
          <w:szCs w:val="18"/>
          <w:color w:val="auto"/>
        </w:rPr>
      </w:pPr>
    </w:p>
    <w:p>
      <w:pPr>
        <w:jc w:val="both"/>
        <w:ind w:firstLine="639"/>
        <w:spacing w:after="0" w:line="266" w:lineRule="auto"/>
        <w:tabs>
          <w:tab w:leader="none" w:pos="114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It is the express intention and agreement of the parties hereto that the provisions of </w:t>
      </w:r>
      <w:r>
        <w:rPr>
          <w:rFonts w:ascii="Times New Roman" w:cs="Times New Roman" w:eastAsia="Times New Roman" w:hAnsi="Times New Roman"/>
          <w:sz w:val="18"/>
          <w:szCs w:val="18"/>
          <w:u w:val="single" w:color="auto"/>
          <w:color w:val="auto"/>
        </w:rPr>
        <w:t>Sections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xml:space="preserve">, 19, </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hereof and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survive the termination of employment of the Executive. In addition, all obligations of the Employer to make payments hereunder shall survive any termination of this Agreement on the terms and conditions set forth herein.</w:t>
      </w:r>
    </w:p>
    <w:p>
      <w:pPr>
        <w:sectPr>
          <w:pgSz w:w="11900" w:h="16838" w:orient="portrait"/>
          <w:cols w:equalWidth="0" w:num="1">
            <w:col w:w="11060"/>
          </w:cols>
          <w:pgMar w:left="480" w:top="1161" w:right="359" w:bottom="1440" w:gutter="0" w:footer="0" w:header="0"/>
        </w:sectPr>
      </w:pPr>
    </w:p>
    <w:bookmarkStart w:id="12" w:name="page13"/>
    <w:bookmarkEnd w:id="12"/>
    <w:p>
      <w:pPr>
        <w:jc w:val="both"/>
        <w:ind w:left="-638" w:right="20" w:firstLine="639"/>
        <w:spacing w:after="0" w:line="255" w:lineRule="auto"/>
        <w:tabs>
          <w:tab w:leader="none" w:pos="5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The rights and obligations of the parties to this Agreement shall not be assignable or delegable, except that (i) in the event of the Executive’s death, the personal representative or legatees or distributees of the Executive’s estate, as the case may be, shall have the right to receive any amount owing and unpaid to the Executive hereunder and (ii) the rights and obligations of the Employer hereunder shall be assignable and delegable in connection with any subsequent merger, consolidation, sale of all or substantially all of the assets or equity interests of the Employer or similar transaction involving the Employer or a successor corporation. The Employer shall require any successor to the Employer to expressly assume and agree to perform this Agreement in the same manner and to the same extent that the Employer would be required to perform it if no such succession had taken place.</w:t>
      </w:r>
    </w:p>
    <w:p>
      <w:pPr>
        <w:spacing w:after="0" w:line="215" w:lineRule="exact"/>
        <w:rPr>
          <w:rFonts w:ascii="Times New Roman" w:cs="Times New Roman" w:eastAsia="Times New Roman" w:hAnsi="Times New Roman"/>
          <w:sz w:val="18"/>
          <w:szCs w:val="18"/>
          <w:color w:val="auto"/>
        </w:rPr>
      </w:pPr>
    </w:p>
    <w:p>
      <w:pPr>
        <w:ind w:left="-638" w:right="20" w:firstLine="638"/>
        <w:spacing w:after="0" w:line="282" w:lineRule="auto"/>
        <w:tabs>
          <w:tab w:leader="none" w:pos="50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Subject to any provisions hereof restricting assignment, this Agreement shall be binding upon the parties hereto and shall inure to the benefit of the parties and their respective heirs, devisees, executors, administrators, legal representatives, successors and assigns.</w:t>
      </w:r>
    </w:p>
    <w:p>
      <w:pPr>
        <w:spacing w:after="0" w:line="202" w:lineRule="exact"/>
        <w:rPr>
          <w:rFonts w:ascii="Times New Roman" w:cs="Times New Roman" w:eastAsia="Times New Roman" w:hAnsi="Times New Roman"/>
          <w:sz w:val="18"/>
          <w:szCs w:val="18"/>
          <w:color w:val="auto"/>
        </w:rPr>
      </w:pPr>
    </w:p>
    <w:p>
      <w:pPr>
        <w:jc w:val="both"/>
        <w:ind w:left="-638" w:right="20" w:firstLine="639"/>
        <w:spacing w:after="0" w:line="258" w:lineRule="auto"/>
        <w:tabs>
          <w:tab w:leader="none" w:pos="5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 This Agreement shall not be amended, altered or modified except by an instrument in writing duly executed by the party against whom enforcement is sought. Neither the waiver by either of the parties hereto of a breach of or a default under any of the provisions of this Agreement, nor the failure of either of the parties, on one or more occasions, to enforce any of the provisions of this Agreement or to exercise any right or privilege hereunder, shall thereafter be construed as a waiver of any subsequent breach or default of a similar nature, or as a waiver of any such provisions, rights or privileges hereunder.</w:t>
      </w:r>
    </w:p>
    <w:p>
      <w:pPr>
        <w:spacing w:after="0" w:line="210" w:lineRule="exact"/>
        <w:rPr>
          <w:rFonts w:ascii="Times New Roman" w:cs="Times New Roman" w:eastAsia="Times New Roman" w:hAnsi="Times New Roman"/>
          <w:sz w:val="18"/>
          <w:szCs w:val="18"/>
          <w:color w:val="auto"/>
        </w:rPr>
      </w:pPr>
    </w:p>
    <w:p>
      <w:pPr>
        <w:jc w:val="both"/>
        <w:ind w:left="-638" w:right="20" w:firstLine="639"/>
        <w:spacing w:after="0" w:line="266" w:lineRule="auto"/>
        <w:tabs>
          <w:tab w:leader="none" w:pos="5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and subsection headings contained in this Agreement are inserted for convenience of reference only, shall not be deemed to be a part of this Agreement for any purpose, and shall not in any way define or affect the meaning, construction, or scope of any of the provisions hereof.</w:t>
      </w:r>
    </w:p>
    <w:p>
      <w:pPr>
        <w:spacing w:after="0" w:line="202" w:lineRule="exact"/>
        <w:rPr>
          <w:rFonts w:ascii="Times New Roman" w:cs="Times New Roman" w:eastAsia="Times New Roman" w:hAnsi="Times New Roman"/>
          <w:sz w:val="18"/>
          <w:szCs w:val="18"/>
          <w:color w:val="auto"/>
        </w:rPr>
      </w:pPr>
    </w:p>
    <w:p>
      <w:pPr>
        <w:jc w:val="both"/>
        <w:ind w:left="-638" w:firstLine="639"/>
        <w:spacing w:after="0" w:line="258" w:lineRule="auto"/>
        <w:tabs>
          <w:tab w:leader="none" w:pos="5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the rights, and obligations of the parties hereto, and any claims or disputes relating thereto, shall be governed by and construed in accordance with the laws of the State of Arizona (but not including any choice of law rule thereof that would cause the laws of another jurisdiction to apply). In the event of a dispute concerning or arising out of this Agreement the prevailing party (meaning the party who received substantially all of the relief sought) in such action will be reimbursed by the other party for all costs (including, without limitation, reasonable attorneys’ fees) incurred in connection with any such action.</w:t>
      </w:r>
    </w:p>
    <w:p>
      <w:pPr>
        <w:spacing w:after="0" w:line="210" w:lineRule="exact"/>
        <w:rPr>
          <w:rFonts w:ascii="Times New Roman" w:cs="Times New Roman" w:eastAsia="Times New Roman" w:hAnsi="Times New Roman"/>
          <w:sz w:val="18"/>
          <w:szCs w:val="18"/>
          <w:color w:val="auto"/>
        </w:rPr>
      </w:pPr>
    </w:p>
    <w:p>
      <w:pPr>
        <w:jc w:val="both"/>
        <w:ind w:left="-638" w:right="20" w:firstLine="639"/>
        <w:spacing w:after="0" w:line="266" w:lineRule="auto"/>
        <w:tabs>
          <w:tab w:leader="none" w:pos="5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counterparts, each of which shall be an original and all of which shall be deemed to constitute one and the same instrument. This Agreement may be executed using a secure electronic signature program (such as Docusign), which shall be deemed to constitute original signatures.</w:t>
      </w:r>
    </w:p>
    <w:p>
      <w:pPr>
        <w:spacing w:after="0" w:line="202" w:lineRule="exact"/>
        <w:rPr>
          <w:rFonts w:ascii="Times New Roman" w:cs="Times New Roman" w:eastAsia="Times New Roman" w:hAnsi="Times New Roman"/>
          <w:sz w:val="18"/>
          <w:szCs w:val="18"/>
          <w:color w:val="auto"/>
        </w:rPr>
      </w:pPr>
    </w:p>
    <w:p>
      <w:pPr>
        <w:jc w:val="both"/>
        <w:ind w:left="-638" w:right="20" w:firstLine="639"/>
        <w:spacing w:after="0" w:line="266" w:lineRule="auto"/>
        <w:tabs>
          <w:tab w:leader="none" w:pos="5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The Employer may withhold from any benefit paid or provided under this Agreement all federal, state, city or other taxes as shall be required pursuant to any law or governmental regulation or ruling;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any withholding obligation arising in connection with the exercise of a stock option or the transfer of stock or other property shall be satisfied as provided under the applicable award agreement.</w:t>
      </w:r>
    </w:p>
    <w:p>
      <w:pPr>
        <w:spacing w:after="0" w:line="202" w:lineRule="exact"/>
        <w:rPr>
          <w:rFonts w:ascii="Times New Roman" w:cs="Times New Roman" w:eastAsia="Times New Roman" w:hAnsi="Times New Roman"/>
          <w:sz w:val="18"/>
          <w:szCs w:val="18"/>
          <w:color w:val="auto"/>
        </w:rPr>
      </w:pPr>
    </w:p>
    <w:p>
      <w:pPr>
        <w:jc w:val="both"/>
        <w:ind w:left="-638" w:firstLine="639"/>
        <w:spacing w:after="0" w:line="253" w:lineRule="auto"/>
        <w:tabs>
          <w:tab w:leader="none" w:pos="5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intent of the parties is that payments and benefits under this Agreement be exempt from or comply with Section 409A of the Code and the regulations and guidance promulgated thereunder (collectively “</w:t>
      </w: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and, accordingly, to the maximum extent permitted, this Agreement shall be interpreted accordingly. If the Executive notifies the Employer (with specificity as to the reason therefor) that the Executive believes that any provision of this Agreement (or of any award of compensation, including equity compensation or benefits) would cause the Executive to incur any additional tax or interest under Code Section 409A and the Employer concurs with such belief or the Employer (without any obligation whatsoever to do so) independently makes such determination, the Employer shall, after consulting with the Executive, reform such provision to attempt to comply with Code Section 409A through good faith modifications to the minimum extent reasonably appropriate to conform with Code Section 409A. To the extent that any provision hereof is modified in order to comply with Code Section 409A, such modification shall be made in good faith and shall, to the maximum extent reasonably possible, maintain the original intent and economic benefit to the Executive and the Employer of the applicable provision without violating the provisions of Code Section 409A. In no event whatsoever shall the Employer be liable for any additional tax, interest or penalty that may be imposed on the Executive by Code Section</w:t>
      </w:r>
    </w:p>
    <w:p>
      <w:pPr>
        <w:sectPr>
          <w:pgSz w:w="11900" w:h="16838" w:orient="portrait"/>
          <w:cols w:equalWidth="0" w:num="1">
            <w:col w:w="10422"/>
          </w:cols>
          <w:pgMar w:left="1118" w:top="1242" w:right="359" w:bottom="1440" w:gutter="0" w:footer="0" w:header="0"/>
        </w:sectPr>
      </w:pPr>
    </w:p>
    <w:bookmarkStart w:id="13" w:name="page14"/>
    <w:bookmarkEnd w:id="13"/>
    <w:p>
      <w:pPr>
        <w:jc w:val="both"/>
        <w:ind w:left="8"/>
        <w:spacing w:after="0" w:line="251" w:lineRule="auto"/>
        <w:rPr>
          <w:sz w:val="20"/>
          <w:szCs w:val="20"/>
          <w:color w:val="auto"/>
        </w:rPr>
      </w:pPr>
      <w:r>
        <w:rPr>
          <w:rFonts w:ascii="Times New Roman" w:cs="Times New Roman" w:eastAsia="Times New Roman" w:hAnsi="Times New Roman"/>
          <w:sz w:val="18"/>
          <w:szCs w:val="18"/>
          <w:color w:val="auto"/>
        </w:rPr>
        <w:t xml:space="preserve">409A or damages for failing to comply with Code Section 409A. With respect to any payment or benefit considered to be nonqualified deferred compensation under Code Section 409A, 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“separation from service.” Notwithstanding anything to the contrary in this Agreement, if the Executive is deemed on the date of termination to be a “specified employee” within the meaning of that term under Code Section 409A(a)(2)(B), then with regard to any payment or the provision of any benefit that is considered nonqualified deferred compensation under Code Section 409A payable on account of a “separation from service,” such payment or benefit shall not be made or provided until the date which is the earlier of (A) the expiration of the six (6)-month period measured from the date of such “separation from service” of the Executive, and (B) the date of the Executive’s death, to the extent required under Code Section 409A. Upon the expiration of the foregoing delay period, all payments and benefits delayed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(whether they would have otherwise been payable in a single sum or in installments in the absence of such delay) shall be paid or reimbursed to the Executive in a lump sum, and any remaining payments and benefits due under this Agreement shall be paid or provided in accordance with the normal payment dates specified for them herein. To the extent that reimbursements or other in-kind benefits under this Agreement constitute “nonqualified deferred compensation” for purposes of Code Section 409A, (A) all expenses or other reimbursements hereunder shall be made on or prior to the last day of the taxable year following the taxable year in which such expenses were incurred by the Executive, (B) any right to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 For purposes of Code Section 409A, the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Employer. 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w:t>
      </w:r>
    </w:p>
    <w:p>
      <w:pPr>
        <w:spacing w:after="0" w:line="232" w:lineRule="exact"/>
        <w:rPr>
          <w:sz w:val="20"/>
          <w:szCs w:val="20"/>
          <w:color w:val="auto"/>
        </w:rPr>
      </w:pPr>
    </w:p>
    <w:p>
      <w:pPr>
        <w:ind w:left="1408" w:hanging="761"/>
        <w:spacing w:after="0"/>
        <w:tabs>
          <w:tab w:leader="none" w:pos="140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280G</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8" w:firstLine="1287"/>
        <w:spacing w:after="0" w:line="253" w:lineRule="auto"/>
        <w:tabs>
          <w:tab w:leader="none" w:pos="18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or any other plan, arrangement or agreement to the contrary, if any of the payments or benefits provided or to be provided by the Employer or its affiliates to the Executive or for the Executive’s benefit pursuant to the terms of this Agreement or otherwise (“</w:t>
      </w:r>
      <w:r>
        <w:rPr>
          <w:rFonts w:ascii="Times New Roman" w:cs="Times New Roman" w:eastAsia="Times New Roman" w:hAnsi="Times New Roman"/>
          <w:sz w:val="18"/>
          <w:szCs w:val="18"/>
          <w:u w:val="single" w:color="auto"/>
          <w:color w:val="auto"/>
        </w:rPr>
        <w:t>Covered Payments</w:t>
      </w:r>
      <w:r>
        <w:rPr>
          <w:rFonts w:ascii="Times New Roman" w:cs="Times New Roman" w:eastAsia="Times New Roman" w:hAnsi="Times New Roman"/>
          <w:sz w:val="18"/>
          <w:szCs w:val="18"/>
          <w:color w:val="auto"/>
        </w:rPr>
        <w:t xml:space="preserve">”) constitute “parachute payments” within the meaning of Section 280G of the Code and would, but for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be subject to the excise tax imposed under Section 4999 of the Code (or any successor provision thereto) or any similar tax imposed by state or local law or any interest or penalties with respect to such taxes (collectively,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prior to making the Covered Payments, a calculation shall be made comparing (i) the Net Benefit (as defined below) to the Executive of the Covered Payments after payment of the Excise Tax to</w:t>
      </w:r>
    </w:p>
    <w:p>
      <w:pPr>
        <w:spacing w:after="0" w:line="5" w:lineRule="exact"/>
        <w:rPr>
          <w:rFonts w:ascii="Times New Roman" w:cs="Times New Roman" w:eastAsia="Times New Roman" w:hAnsi="Times New Roman"/>
          <w:sz w:val="18"/>
          <w:szCs w:val="18"/>
          <w:color w:val="auto"/>
        </w:rPr>
      </w:pPr>
    </w:p>
    <w:p>
      <w:pPr>
        <w:jc w:val="both"/>
        <w:ind w:left="8" w:hanging="8"/>
        <w:spacing w:after="0" w:line="251" w:lineRule="auto"/>
        <w:tabs>
          <w:tab w:leader="none" w:pos="28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Benefit to the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w:t>
      </w:r>
      <w:r>
        <w:rPr>
          <w:rFonts w:ascii="Times New Roman" w:cs="Times New Roman" w:eastAsia="Times New Roman" w:hAnsi="Times New Roman"/>
          <w:sz w:val="18"/>
          <w:szCs w:val="18"/>
          <w:u w:val="single" w:color="auto"/>
          <w:color w:val="auto"/>
        </w:rPr>
        <w:t>Net Benefit</w:t>
      </w:r>
      <w:r>
        <w:rPr>
          <w:rFonts w:ascii="Times New Roman" w:cs="Times New Roman" w:eastAsia="Times New Roman" w:hAnsi="Times New Roman"/>
          <w:sz w:val="18"/>
          <w:szCs w:val="18"/>
          <w:color w:val="auto"/>
        </w:rPr>
        <w:t>” shall mean the present value of the Covered Payments net of all federal, state, local, foreign income, employment and excise taxes. The calculation shall take into consideration all available exemptions, including to what extent (if any) to what extent (if any) such payment or benefits or portions thereof may properly be treated as “reasonable compensation for personal services rendered” by the Executive before, or after, the Change of Control, within the meaning of Code Section 280G(b)(4) and the regulations issued thereunder, including, without limitation, the valuation of the Executive’s obligations under Section 7 hereof and any other covenants to refrain from performing services.</w:t>
      </w:r>
    </w:p>
    <w:p>
      <w:pPr>
        <w:spacing w:after="0" w:line="220" w:lineRule="exact"/>
        <w:rPr>
          <w:rFonts w:ascii="Times New Roman" w:cs="Times New Roman" w:eastAsia="Times New Roman" w:hAnsi="Times New Roman"/>
          <w:sz w:val="18"/>
          <w:szCs w:val="18"/>
          <w:color w:val="auto"/>
        </w:rPr>
      </w:pPr>
    </w:p>
    <w:p>
      <w:pPr>
        <w:jc w:val="both"/>
        <w:ind w:left="8" w:firstLine="1287"/>
        <w:spacing w:after="0" w:line="266" w:lineRule="auto"/>
        <w:tabs>
          <w:tab w:leader="none" w:pos="1796"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Covered Payments shall be reduced in a manner that maximizes the Executive’s economic position. In applying this principle, the reduction shall be made in a manner consistent with the requirements of Section 409A of the Code, and where two economically equivalent amounts are subject to reduction but payable at different times, such amounts shall be reduced on a pro rata basis but not below zero.</w:t>
      </w:r>
    </w:p>
    <w:p>
      <w:pPr>
        <w:sectPr>
          <w:pgSz w:w="11900" w:h="16838" w:orient="portrait"/>
          <w:cols w:equalWidth="0" w:num="1">
            <w:col w:w="11068"/>
          </w:cols>
          <w:pgMar w:left="472" w:top="1161" w:right="359" w:bottom="1440" w:gutter="0" w:footer="0" w:header="0"/>
        </w:sectPr>
      </w:pPr>
    </w:p>
    <w:bookmarkStart w:id="14" w:name="page15"/>
    <w:bookmarkEnd w:id="14"/>
    <w:p>
      <w:pPr>
        <w:jc w:val="both"/>
        <w:ind w:firstLine="1287"/>
        <w:spacing w:after="0" w:line="254" w:lineRule="auto"/>
        <w:tabs>
          <w:tab w:leader="none" w:pos="179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determination required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be made in writing in good faith by an independent accounting firm selected by the Employer that is reasonably acceptable to the Executive (the “</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xml:space="preserve">”) which shall provide detailed supporting calculations to the Employer and the Executive as requested by the Employer or the Executive. The Employer and the Executive shall provide the Accountants with such information and documents as the Accountants may reasonably request in order to make a determination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For purposes of making the calculations and determinations required by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the Accountants may rely on reasonable, good faith assumptions and approximations concerning the application of Section 280G and Section 4999 of the Code. The Accountants’ determinations shall be final and binding on the Employer and the Executive. The Employer shall be responsible for all reasonable and customary fees and expenses incurred by the Accountants in connection with the calculations required by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18" w:lineRule="exact"/>
        <w:rPr>
          <w:rFonts w:ascii="Times New Roman" w:cs="Times New Roman" w:eastAsia="Times New Roman" w:hAnsi="Times New Roman"/>
          <w:sz w:val="18"/>
          <w:szCs w:val="18"/>
          <w:color w:val="auto"/>
        </w:rPr>
      </w:pPr>
    </w:p>
    <w:p>
      <w:pPr>
        <w:jc w:val="both"/>
        <w:ind w:firstLine="639"/>
        <w:spacing w:after="0" w:line="266" w:lineRule="auto"/>
        <w:tabs>
          <w:tab w:leader="none" w:pos="114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Employer hereby agrees to indemnify the Executive and provide Directors &amp; Officers Liability Insurance (“D&amp;O Insurance”) coverage to the Executive, in each case, on terms and conditions no less favorable than those provided to other similarly situated executive officers.</w:t>
      </w:r>
    </w:p>
    <w:p>
      <w:pPr>
        <w:spacing w:after="0" w:line="202" w:lineRule="exact"/>
        <w:rPr>
          <w:rFonts w:ascii="Times New Roman" w:cs="Times New Roman" w:eastAsia="Times New Roman" w:hAnsi="Times New Roman"/>
          <w:sz w:val="18"/>
          <w:szCs w:val="18"/>
          <w:color w:val="auto"/>
        </w:rPr>
      </w:pPr>
    </w:p>
    <w:p>
      <w:pPr>
        <w:ind w:left="1400" w:hanging="762"/>
        <w:spacing w:after="0"/>
        <w:tabs>
          <w:tab w:leader="none" w:pos="1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1295"/>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Accrued Benefits</w:t>
      </w:r>
      <w:r>
        <w:rPr>
          <w:rFonts w:ascii="Times New Roman" w:cs="Times New Roman" w:eastAsia="Times New Roman" w:hAnsi="Times New Roman"/>
          <w:sz w:val="18"/>
          <w:szCs w:val="18"/>
          <w:color w:val="auto"/>
        </w:rPr>
        <w:t xml:space="preserve">” means (i) Base Salary through the Date of Termination; (ii) any earned but unpaid Annual Bonus for the fiscal year ending prior to the Date of Termination; (iii) any amounts owing to the Executive for reimbursement of expenses properly incurred by the Executive prior to the Date of Termination and which are reimbursable in accordance with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and (iv) any other benefits or amounts due and owing to the Executive under the terms of any plan, program or arrangement of the Employer. Amounts payable pursuant to the clause (i) shall be paid promptly after the Date of Termination and all other amounts will be paid in accordance with the terms of the applicable plan, program or arrangement (as modified by this Agreement).</w:t>
      </w:r>
    </w:p>
    <w:p>
      <w:pPr>
        <w:spacing w:after="0" w:line="21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Employer.</w:t>
      </w:r>
    </w:p>
    <w:p>
      <w:pPr>
        <w:spacing w:after="0" w:line="252" w:lineRule="exact"/>
        <w:rPr>
          <w:sz w:val="20"/>
          <w:szCs w:val="20"/>
          <w:color w:val="auto"/>
        </w:rPr>
      </w:pPr>
    </w:p>
    <w:p>
      <w:pPr>
        <w:ind w:right="80" w:firstLine="1295"/>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the provision of (i) specialty rental services providing innovative modular space and portable storage solutions across North America , and (ii) modular space for the construction, education, health care, government, retail, commercial, transportation, security, retail and energy sectors.</w:t>
      </w:r>
    </w:p>
    <w:p>
      <w:pPr>
        <w:spacing w:after="0" w:line="203" w:lineRule="exact"/>
        <w:rPr>
          <w:sz w:val="20"/>
          <w:szCs w:val="20"/>
          <w:color w:val="auto"/>
        </w:rPr>
      </w:pPr>
    </w:p>
    <w:p>
      <w:pPr>
        <w:jc w:val="both"/>
        <w:ind w:firstLine="1295"/>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be limited to the following events (i) the Executive’s conviction of, or plea of nolo contendere to, a felony (other than in connection with a traffic violation) under any state or federal law, the circumstances of which are substantially related to Executive’s duties or responsibilities; (ii) the Executive’s failure to substantially perform the Executive’s essential job functions hereunder; (iii) a material act of fraud or material misconduct with respect, in each case, to the Employer or any Employer Affiliate, by the Executive; (iv) any material misconduct by the Executive that could be reasonably expected to damage the reputation or business of the Employer or any Employer Affiliate; or (v) the Executive’s material violation of this Agreement or a material written policy of the Employer. Anything herein to the contrary notwithstanding, the Executive shall not be terminated for Cause hereunder unless there is a vote of a majority of the members of the Board to terminate the Executive for Cause.</w:t>
      </w:r>
    </w:p>
    <w:p>
      <w:pPr>
        <w:spacing w:after="0" w:line="2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For the purposes of this Agreement, “Change in Control” means the occurrence of any one of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events:</w:t>
      </w:r>
    </w:p>
    <w:p>
      <w:pPr>
        <w:spacing w:after="0" w:line="247" w:lineRule="exact"/>
        <w:rPr>
          <w:sz w:val="20"/>
          <w:szCs w:val="20"/>
          <w:color w:val="auto"/>
        </w:rPr>
      </w:pPr>
    </w:p>
    <w:p>
      <w:pPr>
        <w:jc w:val="both"/>
        <w:ind w:left="440" w:firstLine="432"/>
        <w:spacing w:after="0" w:line="251" w:lineRule="auto"/>
        <w:tabs>
          <w:tab w:leader="none" w:pos="11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During any twenty-four (24) month period, individuals who, as of the beginning of such period, constitute the Board (the “</w:t>
      </w:r>
      <w:r>
        <w:rPr>
          <w:rFonts w:ascii="Times New Roman" w:cs="Times New Roman" w:eastAsia="Times New Roman" w:hAnsi="Times New Roman"/>
          <w:sz w:val="18"/>
          <w:szCs w:val="18"/>
          <w:u w:val="single" w:color="auto"/>
          <w:color w:val="auto"/>
        </w:rPr>
        <w:t>Incumbent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xml:space="preserve">”) cease for any reason to constitute at least a majority of the Board,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any person becoming a director subsequent to the beginning of such period whose election or nomination for election was approved by a vote of at least a majority of the Incumbent Directors then on the Board (either by a specific vote or by approval of the proxy statement of the Employer in which such person is named as a nominee for director, without written objection to such nomination) shall be an Incumbent Director;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individual initially elected or nominated as a director of the Employer as a result of an actual or threatened election contest with respect to directors or as a result of any other actual or threatened solicitation of proxies by or on behalf of any person other than the Board shall be deemed to be an Incumbent Director;</w:t>
      </w:r>
    </w:p>
    <w:p>
      <w:pPr>
        <w:sectPr>
          <w:pgSz w:w="11900" w:h="16838" w:orient="portrait"/>
          <w:cols w:equalWidth="0" w:num="1">
            <w:col w:w="11060"/>
          </w:cols>
          <w:pgMar w:left="480" w:top="1161" w:right="359" w:bottom="1440" w:gutter="0" w:footer="0" w:header="0"/>
        </w:sectPr>
      </w:pPr>
    </w:p>
    <w:bookmarkStart w:id="15" w:name="page16"/>
    <w:bookmarkEnd w:id="15"/>
    <w:p>
      <w:pPr>
        <w:jc w:val="both"/>
        <w:ind w:firstLine="432"/>
        <w:spacing w:after="0" w:line="250" w:lineRule="auto"/>
        <w:tabs>
          <w:tab w:leader="none" w:pos="709"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“person” (as such term is defined in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as used in Sections 13(d)(3) and 14(d)(2) of the Exchange Act) is or becomes a “beneficial owner” (as defined in Rule 13d-3 under the Exchange Act), directly or indirectly, of securities of the Employer representing 35% or more of the combined voting power of the Employer’s then outstanding securities eligible to vote for the election of the Board (the “</w:t>
      </w:r>
      <w:r>
        <w:rPr>
          <w:rFonts w:ascii="Times New Roman" w:cs="Times New Roman" w:eastAsia="Times New Roman" w:hAnsi="Times New Roman"/>
          <w:sz w:val="18"/>
          <w:szCs w:val="18"/>
          <w:u w:val="single" w:color="auto"/>
          <w:color w:val="auto"/>
        </w:rPr>
        <w:t>Employer Voting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event described in this paragraph (ii) shall not be deemed to be a Change in Control by virtue of any of the following acquisitions: (A) by the Employer or any Subsidiary; (B) by any employee benefit plan (or related trust) sponsored or maintained by the Employer or any subsidiary; (C) by any underwriter temporarily holding securities pursuant to an offering of such securities; (D) pursuant to a Non-Qualifying Transaction, as defined in paragraph (iii), or (E) by any person of Employer Voting Securities from the Employer, if a majority of the Incumbent Board approves in advance the acquisition of beneficial ownership of 35% or more of Employer Voting Securities by such person;</w:t>
      </w:r>
    </w:p>
    <w:p>
      <w:pPr>
        <w:spacing w:after="0" w:line="236" w:lineRule="exact"/>
        <w:rPr>
          <w:rFonts w:ascii="Times New Roman" w:cs="Times New Roman" w:eastAsia="Times New Roman" w:hAnsi="Times New Roman"/>
          <w:sz w:val="20"/>
          <w:szCs w:val="20"/>
          <w:color w:val="auto"/>
        </w:rPr>
      </w:pPr>
    </w:p>
    <w:p>
      <w:pPr>
        <w:jc w:val="both"/>
        <w:ind w:firstLine="432"/>
        <w:spacing w:after="0" w:line="251" w:lineRule="auto"/>
        <w:tabs>
          <w:tab w:leader="none" w:pos="135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consummation of a merger, consolidation, statutory share exchange or similar form of corporate transaction involving the Employer or any of its subsidiaries that requires the approval of the Employer’s stockholders, whether for such transaction or the issuance of securities in the transaction (a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unless immediately following such Business Combination: (A) more than 50% of the total voting power of (1) the corporation resulting from such Business Combination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or (2) if applicable, the ultimate parent corporation that directly or indirectly has beneficial ownership of 100% of the voting securities eligible to elect directors of the Surviving Corporation (the “</w:t>
      </w:r>
      <w:r>
        <w:rPr>
          <w:rFonts w:ascii="Times New Roman" w:cs="Times New Roman" w:eastAsia="Times New Roman" w:hAnsi="Times New Roman"/>
          <w:sz w:val="18"/>
          <w:szCs w:val="18"/>
          <w:u w:val="single" w:color="auto"/>
          <w:color w:val="auto"/>
        </w:rPr>
        <w:t>Parent Corporation</w:t>
      </w:r>
      <w:r>
        <w:rPr>
          <w:rFonts w:ascii="Times New Roman" w:cs="Times New Roman" w:eastAsia="Times New Roman" w:hAnsi="Times New Roman"/>
          <w:sz w:val="18"/>
          <w:szCs w:val="18"/>
          <w:color w:val="auto"/>
        </w:rPr>
        <w:t>”), is represented by Employer Voting Securities that were outstanding immediately prior to such Business Combination (or, if applicable, is represented by shares into which such Employer Voting Securities were converted pursuant to such Business Combination), and such voting power among the holders thereof is in substantially the same proportion as the voting power of such Employer Voting Securities among the holders thereof immediately prior to the Business Combination; (B) no person (other than any employee benefit plan (or related trust) sponsored or maintained by the Surviving Corporation or the Parent Corporation), is or becomes the beneficial owner, directly or indirectly, of 35% or more of the total voting power of the outstanding voting securities eligible to elect directors of the Parent Corporation (or, if there is no Parent Corporation, the Surviving Corporation) and (C) at least a majority of the members of the board of directors of the Parent Corporation (or, if there is no Parent Corporation, the Surviving Corporation) following the consummation of the Business Combination were Incumbent Directors at the time of the Board’s approval of the execution of the initial agreement providing for such Business Combination (any Business Combination which satisfies all of the criteria specified in (A), (B) and (C) above shall be deemed to be a “</w:t>
      </w:r>
      <w:r>
        <w:rPr>
          <w:rFonts w:ascii="Times New Roman" w:cs="Times New Roman" w:eastAsia="Times New Roman" w:hAnsi="Times New Roman"/>
          <w:sz w:val="18"/>
          <w:szCs w:val="18"/>
          <w:u w:val="single" w:color="auto"/>
          <w:color w:val="auto"/>
        </w:rPr>
        <w:t>Non</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Qualifying Transaction</w:t>
      </w:r>
      <w:r>
        <w:rPr>
          <w:rFonts w:ascii="Times New Roman" w:cs="Times New Roman" w:eastAsia="Times New Roman" w:hAnsi="Times New Roman"/>
          <w:sz w:val="18"/>
          <w:szCs w:val="18"/>
          <w:color w:val="auto"/>
        </w:rPr>
        <w:t>”); or</w:t>
      </w:r>
    </w:p>
    <w:p>
      <w:pPr>
        <w:spacing w:after="0" w:line="238" w:lineRule="exact"/>
        <w:rPr>
          <w:rFonts w:ascii="Times New Roman" w:cs="Times New Roman" w:eastAsia="Times New Roman" w:hAnsi="Times New Roman"/>
          <w:sz w:val="20"/>
          <w:szCs w:val="20"/>
          <w:color w:val="auto"/>
        </w:rPr>
      </w:pPr>
    </w:p>
    <w:p>
      <w:pPr>
        <w:ind w:right="20" w:firstLine="432"/>
        <w:spacing w:after="0" w:line="271" w:lineRule="auto"/>
        <w:tabs>
          <w:tab w:leader="none" w:pos="1347"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consummation of a sale of all or substantially all of the Employer’s assets or the stockholders of the Employer approve a plan of complete liquidation or dissolution of the Employer.</w:t>
      </w:r>
    </w:p>
    <w:p>
      <w:pPr>
        <w:spacing w:after="0" w:line="195" w:lineRule="exact"/>
        <w:rPr>
          <w:sz w:val="20"/>
          <w:szCs w:val="20"/>
          <w:color w:val="auto"/>
        </w:rPr>
      </w:pPr>
    </w:p>
    <w:p>
      <w:pPr>
        <w:jc w:val="both"/>
        <w:ind w:firstLine="531"/>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a Change in Control shall not be deemed to occur solely because any person acquires beneficial ownership of more than 35% of the Employer Voting Securities as a result of the acquisition of Employer Voting Securities by the Employer which reduces the number of Employer Voting Securities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after such acquisition by the Employer such person becomes the beneficial owner of additional Employer Voting Securities that increases the percentage of outstanding Employer Voting Securities beneficially owned by such person, a Change in Control of the Employer shall then occur.</w:t>
      </w:r>
    </w:p>
    <w:p>
      <w:pPr>
        <w:spacing w:after="0" w:line="3" w:lineRule="exact"/>
        <w:rPr>
          <w:sz w:val="20"/>
          <w:szCs w:val="20"/>
          <w:color w:val="auto"/>
        </w:rPr>
      </w:pPr>
    </w:p>
    <w:p>
      <w:pPr>
        <w:jc w:val="both"/>
        <w:ind w:firstLine="1386"/>
        <w:spacing w:after="0" w:line="253" w:lineRule="auto"/>
        <w:rPr>
          <w:sz w:val="20"/>
          <w:szCs w:val="20"/>
          <w:color w:val="auto"/>
        </w:rPr>
      </w:pPr>
      <w:r>
        <w:rPr>
          <w:rFonts w:ascii="Times New Roman" w:cs="Times New Roman" w:eastAsia="Times New Roman" w:hAnsi="Times New Roman"/>
          <w:sz w:val="18"/>
          <w:szCs w:val="18"/>
          <w:color w:val="auto"/>
        </w:rPr>
        <w:t>Solely with respect to any payment or benefit hereunder that constitutes "deferred compensation" subject to Code Section 409A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Employer as those terms are defined under Treasury Regulation §1.409A-3(i)(5), but only to the extent necessary to</w:t>
      </w:r>
    </w:p>
    <w:p>
      <w:pPr>
        <w:sectPr>
          <w:pgSz w:w="11900" w:h="16838" w:orient="portrait"/>
          <w:cols w:equalWidth="0" w:num="1">
            <w:col w:w="10620"/>
          </w:cols>
          <w:pgMar w:left="920" w:top="1417" w:right="359" w:bottom="1440" w:gutter="0" w:footer="0" w:header="0"/>
        </w:sectPr>
      </w:pPr>
    </w:p>
    <w:bookmarkStart w:id="16" w:name="page17"/>
    <w:bookmarkEnd w:id="16"/>
    <w:p>
      <w:pPr>
        <w:ind w:left="440"/>
        <w:spacing w:after="0" w:line="282" w:lineRule="auto"/>
        <w:rPr>
          <w:sz w:val="20"/>
          <w:szCs w:val="20"/>
          <w:color w:val="auto"/>
        </w:rPr>
      </w:pPr>
      <w:r>
        <w:rPr>
          <w:rFonts w:ascii="Times New Roman" w:cs="Times New Roman" w:eastAsia="Times New Roman" w:hAnsi="Times New Roman"/>
          <w:sz w:val="18"/>
          <w:szCs w:val="18"/>
          <w:color w:val="auto"/>
        </w:rPr>
        <w:t>establish a time or form of payment that complies with Code Section 409A, without altering the definition of Change in Control for other purposes hereunder.</w:t>
      </w:r>
    </w:p>
    <w:p>
      <w:pPr>
        <w:spacing w:after="0" w:line="1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and the regulations and guidance promulgated thereunder.</w:t>
      </w:r>
    </w:p>
    <w:p>
      <w:pPr>
        <w:spacing w:after="0" w:line="252" w:lineRule="exact"/>
        <w:rPr>
          <w:sz w:val="20"/>
          <w:szCs w:val="20"/>
          <w:color w:val="auto"/>
        </w:rPr>
      </w:pPr>
    </w:p>
    <w:p>
      <w:pPr>
        <w:jc w:val="both"/>
        <w:ind w:firstLine="1295"/>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xml:space="preserve">” means (i) if the Executive’s employment is terminated by the Executive’s death, the date of the Executive’s death; (ii) if the Executive’s employment is terminated because of the Executive’s Disability, 30 days after Notice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Executive shall not have returned to the performance of the Executive’s duties on a full-time basis during such 30-day period; or (iii) if the Executive’s employment is terminated by the Employer pursuant to </w:t>
      </w:r>
      <w:r>
        <w:rPr>
          <w:rFonts w:ascii="Times New Roman" w:cs="Times New Roman" w:eastAsia="Times New Roman" w:hAnsi="Times New Roman"/>
          <w:sz w:val="18"/>
          <w:szCs w:val="18"/>
          <w:u w:val="single" w:color="auto"/>
          <w:color w:val="auto"/>
        </w:rPr>
        <w:t>Section 8(a)(ii)(B)</w:t>
      </w:r>
      <w:r>
        <w:rPr>
          <w:rFonts w:ascii="Times New Roman" w:cs="Times New Roman" w:eastAsia="Times New Roman" w:hAnsi="Times New Roman"/>
          <w:sz w:val="18"/>
          <w:szCs w:val="18"/>
          <w:color w:val="auto"/>
        </w:rPr>
        <w:t xml:space="preserve"> or by the Executive pursuant to </w:t>
      </w:r>
      <w:r>
        <w:rPr>
          <w:rFonts w:ascii="Times New Roman" w:cs="Times New Roman" w:eastAsia="Times New Roman" w:hAnsi="Times New Roman"/>
          <w:sz w:val="18"/>
          <w:szCs w:val="18"/>
          <w:u w:val="single" w:color="auto"/>
          <w:color w:val="auto"/>
        </w:rPr>
        <w:t>Section 8(a)(iii)</w:t>
      </w:r>
      <w:r>
        <w:rPr>
          <w:rFonts w:ascii="Times New Roman" w:cs="Times New Roman" w:eastAsia="Times New Roman" w:hAnsi="Times New Roman"/>
          <w:sz w:val="18"/>
          <w:szCs w:val="18"/>
          <w:color w:val="auto"/>
        </w:rPr>
        <w:t>, the date specified in the Notice of Termination, which may not be less than 60 days after the Notice of Termination in the event the Employer is terminating the Executive without Cause or the Executive is terminating employment without Good Reason. Notwithstanding the foregoing, in the event of a Notice of Termination provided under clause (iii) above, the receiving party may waive some or all of the notice period (such waiver to be provided in writing to the other party), with the effect that the Date of Termination shall occur immediately following the end of the notice period, as so waived.</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Employer Affiliate</w:t>
      </w:r>
      <w:r>
        <w:rPr>
          <w:rFonts w:ascii="Times New Roman" w:cs="Times New Roman" w:eastAsia="Times New Roman" w:hAnsi="Times New Roman"/>
          <w:sz w:val="18"/>
          <w:szCs w:val="18"/>
          <w:color w:val="auto"/>
        </w:rPr>
        <w:t>” means any entity controlled by, in control of, or under common control with, the Employer.</w:t>
      </w:r>
    </w:p>
    <w:p>
      <w:pPr>
        <w:spacing w:after="0" w:line="252" w:lineRule="exact"/>
        <w:rPr>
          <w:sz w:val="20"/>
          <w:szCs w:val="20"/>
          <w:color w:val="auto"/>
        </w:rPr>
      </w:pPr>
    </w:p>
    <w:p>
      <w:pPr>
        <w:jc w:val="both"/>
        <w:ind w:firstLine="1295"/>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Employer Confidential Information</w:t>
      </w:r>
      <w:r>
        <w:rPr>
          <w:rFonts w:ascii="Times New Roman" w:cs="Times New Roman" w:eastAsia="Times New Roman" w:hAnsi="Times New Roman"/>
          <w:sz w:val="18"/>
          <w:szCs w:val="18"/>
          <w:color w:val="auto"/>
        </w:rPr>
        <w:t xml:space="preserve">” means information known to the Executive to constitute trade secrets or proprietary information belonging to the Employer or other confidential financial information, operating budgets, strategic plans research methods, personnel data, projects or plans, or non-public information regarding the terms of any existing or pending lending transaction between Employer and an existing or pending client or customer (as the phrase “client or customer” is defined in </w:t>
      </w:r>
      <w:r>
        <w:rPr>
          <w:rFonts w:ascii="Times New Roman" w:cs="Times New Roman" w:eastAsia="Times New Roman" w:hAnsi="Times New Roman"/>
          <w:sz w:val="18"/>
          <w:szCs w:val="18"/>
          <w:u w:val="single" w:color="auto"/>
          <w:color w:val="auto"/>
        </w:rPr>
        <w:t>Section 7(d)(i)</w:t>
      </w:r>
      <w:r>
        <w:rPr>
          <w:rFonts w:ascii="Times New Roman" w:cs="Times New Roman" w:eastAsia="Times New Roman" w:hAnsi="Times New Roman"/>
          <w:sz w:val="18"/>
          <w:szCs w:val="18"/>
          <w:color w:val="auto"/>
        </w:rPr>
        <w:t xml:space="preserve"> hereof), in each case, received by the Executive in the course of the Executive’s employment by the Employer or in connection with the Executive’s duties with the Employer. Notwithstanding anything to the contrary contained herein, the general skills, knowledge and experience gained during the Executive’s employment with the Employer, information publicly available or generally known within the industry or trade in which the Employer competes and information or knowledge possessed by the Executive prior to the Executive’s employment by the Employer, shall not be considered Employer Confidential Information.</w:t>
      </w:r>
    </w:p>
    <w:p>
      <w:pPr>
        <w:spacing w:after="0" w:line="219" w:lineRule="exact"/>
        <w:rPr>
          <w:sz w:val="20"/>
          <w:szCs w:val="20"/>
          <w:color w:val="auto"/>
        </w:rPr>
      </w:pPr>
    </w:p>
    <w:p>
      <w:pPr>
        <w:jc w:val="both"/>
        <w:ind w:firstLine="1295"/>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unless otherwise agreed to in writing by the Executive, (i) any material diminution or adverse change in the Executive’s title(s) or reporting to other than the Chief Executive Officer; (ii) a reduction in the Executive’s Base Salary or Target Bonus; (iii) a failure to grant the Executive, in any consecutive 12 month period, long term incentive equity awards having a grant date fair value (as determined by the Committee in good faith) of at least $1,000,000; (iv) a material diminution in the Executive’s authority, responsibilities or duties or material interference with the Executive’s carrying out the Executive’s duties; (v) the assignment of duties inconsistent with the Executive’s position or status with the Employer as of the date hereof; (vi) a relocation of the Executive’s primary place of employment to a location more than 75 miles from the Employer’s executive headquarters; or (vii) any action or inaction by the Employer that constitutes a material breach of the terms of this Agreement. In order to invoke a termination for Good Reason, (A) the Executive must give written notice of the occurrence of an event of Good Reason within 60 days of its occurrence, (B) the Employer must fail to cure such event within 30 days of such notice, and (C) the Executive must terminate employment within 10 days of the expiration of such cure period.</w:t>
      </w:r>
    </w:p>
    <w:p>
      <w:pPr>
        <w:spacing w:after="0" w:line="221" w:lineRule="exact"/>
        <w:rPr>
          <w:sz w:val="20"/>
          <w:szCs w:val="20"/>
          <w:color w:val="auto"/>
        </w:rPr>
      </w:pPr>
    </w:p>
    <w:p>
      <w:pPr>
        <w:jc w:val="both"/>
        <w:ind w:right="20" w:firstLine="1295"/>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Non-Compete Period</w:t>
      </w:r>
      <w:r>
        <w:rPr>
          <w:rFonts w:ascii="Times New Roman" w:cs="Times New Roman" w:eastAsia="Times New Roman" w:hAnsi="Times New Roman"/>
          <w:sz w:val="18"/>
          <w:szCs w:val="18"/>
          <w:color w:val="auto"/>
        </w:rPr>
        <w:t>” means the period commencing on the date hereof and ending eighteen months after the earlier of the expiration of the Employment Period or the Executive’s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1060"/>
          </w:cols>
          <w:pgMar w:left="480" w:top="1161" w:right="359" w:bottom="1440" w:gutter="0" w:footer="0" w:header="0"/>
        </w:sectPr>
      </w:pPr>
    </w:p>
    <w:bookmarkStart w:id="17" w:name="page18"/>
    <w:bookmarkEnd w:id="17"/>
    <w:p>
      <w:pPr>
        <w:spacing w:after="0" w:line="113" w:lineRule="exact"/>
        <w:rPr>
          <w:sz w:val="20"/>
          <w:szCs w:val="20"/>
          <w:color w:val="auto"/>
        </w:rPr>
      </w:pPr>
    </w:p>
    <w:p>
      <w:pPr>
        <w:ind w:right="660" w:firstLine="625"/>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duly executed and delivered this Agreement, or have caused this Agreement to be duly executed and delivered on their behalf.</w:t>
      </w:r>
    </w:p>
    <w:p>
      <w:pPr>
        <w:spacing w:after="0" w:line="22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WILLSCOT HOLDINGS CORPORATION</w:t>
      </w:r>
    </w:p>
    <w:p>
      <w:pPr>
        <w:spacing w:after="0" w:line="200" w:lineRule="exact"/>
        <w:rPr>
          <w:sz w:val="20"/>
          <w:szCs w:val="20"/>
          <w:color w:val="auto"/>
        </w:rPr>
      </w:pPr>
    </w:p>
    <w:p>
      <w:pPr>
        <w:spacing w:after="0" w:line="390" w:lineRule="exact"/>
        <w:rPr>
          <w:sz w:val="20"/>
          <w:szCs w:val="20"/>
          <w:color w:val="auto"/>
        </w:rPr>
      </w:pPr>
    </w:p>
    <w:tbl>
      <w:tblPr>
        <w:tblLayout w:type="fixed"/>
        <w:tblInd w:w="5020" w:type="dxa"/>
        <w:tblCellMar>
          <w:top w:w="0" w:type="dxa"/>
          <w:left w:w="0" w:type="dxa"/>
          <w:bottom w:w="0" w:type="dxa"/>
          <w:right w:w="0" w:type="dxa"/>
        </w:tblCellMar>
      </w:tblPr>
      <w:tr>
        <w:trPr>
          <w:trHeight w:val="234"/>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BRADLEY L. SOULTZ</w:t>
            </w:r>
          </w:p>
        </w:tc>
        <w:tc>
          <w:tcPr>
            <w:tcW w:w="0" w:type="dxa"/>
            <w:vAlign w:val="bottom"/>
          </w:tcPr>
          <w:p>
            <w:pPr>
              <w:spacing w:after="0"/>
              <w:rPr>
                <w:sz w:val="1"/>
                <w:szCs w:val="1"/>
                <w:color w:val="auto"/>
              </w:rPr>
            </w:pPr>
          </w:p>
        </w:tc>
      </w:tr>
      <w:tr>
        <w:trPr>
          <w:trHeight w:val="135"/>
        </w:trPr>
        <w:tc>
          <w:tcPr>
            <w:tcW w:w="1080" w:type="dxa"/>
            <w:vAlign w:val="bottom"/>
            <w:vMerge w:val="continue"/>
          </w:tcPr>
          <w:p>
            <w:pPr>
              <w:spacing w:after="0"/>
              <w:rPr>
                <w:sz w:val="11"/>
                <w:szCs w:val="11"/>
                <w:color w:val="auto"/>
              </w:rPr>
            </w:pPr>
          </w:p>
        </w:tc>
        <w:tc>
          <w:tcPr>
            <w:tcW w:w="5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10, 2024</w:t>
            </w:r>
          </w:p>
        </w:tc>
        <w:tc>
          <w:tcPr>
            <w:tcW w:w="0" w:type="dxa"/>
            <w:vAlign w:val="bottom"/>
          </w:tcPr>
          <w:p>
            <w:pPr>
              <w:spacing w:after="0"/>
              <w:rPr>
                <w:sz w:val="1"/>
                <w:szCs w:val="1"/>
                <w:color w:val="auto"/>
              </w:rPr>
            </w:pPr>
          </w:p>
        </w:tc>
      </w:tr>
      <w:tr>
        <w:trPr>
          <w:trHeight w:val="42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 Soultz</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502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EXECUTIVE</w:t>
            </w:r>
          </w:p>
        </w:tc>
        <w:tc>
          <w:tcPr>
            <w:tcW w:w="5000" w:type="dxa"/>
            <w:vAlign w:val="bottom"/>
          </w:tcPr>
          <w:p>
            <w:pPr>
              <w:spacing w:after="0"/>
              <w:rPr>
                <w:sz w:val="20"/>
                <w:szCs w:val="20"/>
                <w:color w:val="auto"/>
              </w:rPr>
            </w:pPr>
          </w:p>
        </w:tc>
      </w:tr>
      <w:tr>
        <w:trPr>
          <w:trHeight w:val="52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MATTHEW JACOBSON</w:t>
            </w:r>
          </w:p>
        </w:tc>
      </w:tr>
      <w:tr>
        <w:trPr>
          <w:trHeight w:val="42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10, 2024</w:t>
            </w:r>
          </w:p>
        </w:tc>
      </w:tr>
      <w:tr>
        <w:trPr>
          <w:trHeight w:val="38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Jacobsen</w:t>
            </w: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Signature page to Matthew Jacobsen Employment Agreement</w:t>
      </w:r>
    </w:p>
    <w:p>
      <w:pPr>
        <w:sectPr>
          <w:pgSz w:w="11900" w:h="16838" w:orient="portrait"/>
          <w:cols w:equalWidth="0" w:num="1">
            <w:col w:w="11100"/>
          </w:cols>
          <w:pgMar w:left="460" w:top="1440" w:right="339" w:bottom="1440" w:gutter="0" w:footer="0" w:header="0"/>
        </w:sectPr>
      </w:pPr>
    </w:p>
    <w:bookmarkStart w:id="18" w:name="page19"/>
    <w:bookmarkEnd w:id="18"/>
    <w:p>
      <w:pPr>
        <w:spacing w:after="0" w:line="5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8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FORM OF RELEASE</w:t>
      </w:r>
    </w:p>
    <w:p>
      <w:pPr>
        <w:spacing w:after="0" w:line="117" w:lineRule="exact"/>
        <w:rPr>
          <w:sz w:val="20"/>
          <w:szCs w:val="20"/>
          <w:color w:val="auto"/>
        </w:rPr>
      </w:pPr>
    </w:p>
    <w:p>
      <w:pPr>
        <w:jc w:val="both"/>
        <w:ind w:right="20" w:firstLine="647"/>
        <w:spacing w:after="0" w:line="268" w:lineRule="auto"/>
        <w:rPr>
          <w:sz w:val="20"/>
          <w:szCs w:val="20"/>
          <w:color w:val="auto"/>
        </w:rPr>
      </w:pPr>
      <w:r>
        <w:rPr>
          <w:rFonts w:ascii="Times New Roman" w:cs="Times New Roman" w:eastAsia="Times New Roman" w:hAnsi="Times New Roman"/>
          <w:sz w:val="18"/>
          <w:szCs w:val="18"/>
          <w:color w:val="auto"/>
        </w:rPr>
        <w:t>This Confidential Separation and Release Agreement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between Matthew Jacobsen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and WillScot Holdings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and is entered into as of . This Agreement will not become effective until the expiration of seven (7) days from Employee’s execution of this Agreement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-177165</wp:posOffset>
            </wp:positionV>
            <wp:extent cx="1314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445" cy="825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WHEREAS, Employee has been employed by Company and is a party to that certain Employment Agreement dated</w:t>
            </w:r>
          </w:p>
        </w:tc>
        <w:tc>
          <w:tcPr>
            <w:tcW w:w="12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 20 _ (the</w:t>
            </w:r>
          </w:p>
        </w:tc>
      </w:tr>
      <w:tr>
        <w:trPr>
          <w:trHeight w:val="237"/>
        </w:trPr>
        <w:tc>
          <w:tcPr>
            <w:tcW w:w="98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Employment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r>
      <w:tr>
        <w:trPr>
          <w:trHeight w:val="432"/>
        </w:trPr>
        <w:tc>
          <w:tcPr>
            <w:tcW w:w="98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WHEREAS, the Employee’s employment with Company was terminated effective as of   , 20__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7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4852035</wp:posOffset>
            </wp:positionH>
            <wp:positionV relativeFrom="paragraph">
              <wp:posOffset>-7620</wp:posOffset>
            </wp:positionV>
            <wp:extent cx="28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32" w:lineRule="exact"/>
        <w:rPr>
          <w:sz w:val="20"/>
          <w:szCs w:val="20"/>
          <w:color w:val="auto"/>
        </w:rPr>
      </w:pPr>
    </w:p>
    <w:p>
      <w:pPr>
        <w:jc w:val="both"/>
        <w:ind w:right="20" w:firstLine="647"/>
        <w:spacing w:after="0" w:line="282" w:lineRule="auto"/>
        <w:rPr>
          <w:sz w:val="20"/>
          <w:szCs w:val="20"/>
          <w:color w:val="auto"/>
        </w:rPr>
      </w:pPr>
      <w:r>
        <w:rPr>
          <w:rFonts w:ascii="Times New Roman" w:cs="Times New Roman" w:eastAsia="Times New Roman" w:hAnsi="Times New Roman"/>
          <w:sz w:val="18"/>
          <w:szCs w:val="18"/>
          <w:color w:val="auto"/>
        </w:rPr>
        <w:t>WHEREAS, Company and Employee desire to avoid disputes and/or litigation regarding Employee’s termination from employment or any events or circumstances preceding or coincident with the termination from employment; and</w:t>
      </w:r>
    </w:p>
    <w:p>
      <w:pPr>
        <w:spacing w:after="0" w:line="189" w:lineRule="exact"/>
        <w:rPr>
          <w:sz w:val="20"/>
          <w:szCs w:val="20"/>
          <w:color w:val="auto"/>
        </w:rPr>
      </w:pPr>
    </w:p>
    <w:p>
      <w:pPr>
        <w:jc w:val="both"/>
        <w:ind w:right="20" w:firstLine="647"/>
        <w:spacing w:after="0" w:line="282" w:lineRule="auto"/>
        <w:rPr>
          <w:sz w:val="20"/>
          <w:szCs w:val="20"/>
          <w:color w:val="auto"/>
        </w:rPr>
      </w:pPr>
      <w:r>
        <w:rPr>
          <w:rFonts w:ascii="Times New Roman" w:cs="Times New Roman" w:eastAsia="Times New Roman" w:hAnsi="Times New Roman"/>
          <w:sz w:val="18"/>
          <w:szCs w:val="18"/>
          <w:color w:val="auto"/>
        </w:rPr>
        <w:t>WHEREAS, Company and Employee have agreed upon the terms on which Employee is willing, for sufficient and lawful consideration, to compromise any claims known and unknown which Employee may have against Company.</w:t>
      </w:r>
    </w:p>
    <w:p>
      <w:pPr>
        <w:spacing w:after="0" w:line="202" w:lineRule="exact"/>
        <w:rPr>
          <w:sz w:val="20"/>
          <w:szCs w:val="20"/>
          <w:color w:val="auto"/>
        </w:rPr>
      </w:pPr>
    </w:p>
    <w:p>
      <w:pPr>
        <w:jc w:val="both"/>
        <w:ind w:right="20" w:firstLine="647"/>
        <w:spacing w:after="0" w:line="266" w:lineRule="auto"/>
        <w:rPr>
          <w:sz w:val="20"/>
          <w:szCs w:val="20"/>
          <w:color w:val="auto"/>
        </w:rPr>
      </w:pPr>
      <w:r>
        <w:rPr>
          <w:rFonts w:ascii="Times New Roman" w:cs="Times New Roman" w:eastAsia="Times New Roman" w:hAnsi="Times New Roman"/>
          <w:sz w:val="18"/>
          <w:szCs w:val="18"/>
          <w:color w:val="auto"/>
        </w:rPr>
        <w:t>WHEREAS, the parties desire to settle fully and finally, in the manner set forth herein, all differences between them which have arisen, or which may arise, prior to, or at the time of, the execution of this Agreement, including, but in no way limited to, any and all claims and controversies arising out of the employment relationship between Employee and Company, and the termination thereof;</w:t>
      </w:r>
    </w:p>
    <w:p>
      <w:pPr>
        <w:spacing w:after="0" w:line="203" w:lineRule="exact"/>
        <w:rPr>
          <w:sz w:val="20"/>
          <w:szCs w:val="20"/>
          <w:color w:val="auto"/>
        </w:rPr>
      </w:pPr>
    </w:p>
    <w:p>
      <w:pPr>
        <w:jc w:val="both"/>
        <w:ind w:firstLine="647"/>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these recitals and the promises and agreements set forth in this Agreement, Employee’s employment with Company will terminate upon the following terms:</w:t>
      </w:r>
    </w:p>
    <w:p>
      <w:pPr>
        <w:spacing w:after="0" w:line="189" w:lineRule="exact"/>
        <w:rPr>
          <w:sz w:val="20"/>
          <w:szCs w:val="20"/>
          <w:color w:val="auto"/>
        </w:rPr>
      </w:pPr>
    </w:p>
    <w:p>
      <w:pPr>
        <w:jc w:val="both"/>
        <w:ind w:left="500" w:firstLine="644"/>
        <w:spacing w:after="0" w:line="252" w:lineRule="auto"/>
        <w:tabs>
          <w:tab w:leader="none" w:pos="17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General Release of Employee</w:t>
      </w:r>
      <w:r>
        <w:rPr>
          <w:rFonts w:ascii="Times New Roman" w:cs="Times New Roman" w:eastAsia="Times New Roman" w:hAnsi="Times New Roman"/>
          <w:sz w:val="18"/>
          <w:szCs w:val="18"/>
          <w:color w:val="auto"/>
        </w:rPr>
        <w:t>: Employee for himself or herself and on behalf of Employee’s attorneys, heirs, assigns, successors, executors, and administrators, each in their capacity as such, IRREVOCABLY AND UNCONDITIONALLY RELEASES, ACQUITS AND FOREVER DISCHARGES Company and any current or former stockholders, directors, parent, subsidiary, affiliated, and related corporations, firms, associations, partnerships, and entities, and their successors and assigns, each in their capacity as such, from any and all claims and causes of action whatsoever, whether known or unknown or whether connected with Employee’s employment by Company or not, which may have arisen, or which may arise, prior to, or at the time of, the execution of this Agreement, including, but not limited to, any claim or cause of action arising out of any contract, express or implied, any covenant of good faith and fair dealing, express or implied, any tort (whether intentional or released in this agreement), or under Title VII of the Civil Rights Act of 1964, the Age Discrimination in Employment Act, the Americans with Disabilities Act, the Worker Adjustment and Retraining Notification (WARN) Act, the Older Workers Benefit Protection Act, or any other municipal, local, state, or federal law, common or statutory, but excluding any claims the Employee may have with respect to the Company’s obligations under the Employment Agreement, any claims relating to vested benefits under any Company employee benefit plan (including without limitation any such plan subject to the Employee Retirement Income Security Act of 1974, as amended) and any claims which Employee cannot release as a matter of applicable law. Furthermore, neither this Agreement nor the Employment Agreement shall apply to, modify or in any way supersede obligations arising from any of (i) the terms of directors and officers insurance or (ii) any indemnification agreement for the benefit of the Employee as a result of the Employee’s position as a director or officer of the Company or one of its affiliates. Notwithstanding anything to the contrary in this Agreement, this Agreement does not waive any claims or rights: (x) that may arise after the date on which you sign this Agreement, including the right to enforce this Agreement; (y) that cannot be released as a</w:t>
      </w:r>
    </w:p>
    <w:p>
      <w:pPr>
        <w:sectPr>
          <w:pgSz w:w="11900" w:h="16838" w:orient="portrait"/>
          <w:cols w:equalWidth="0" w:num="1">
            <w:col w:w="11060"/>
          </w:cols>
          <w:pgMar w:left="480" w:top="1440" w:right="35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matter of law, including your rights to COBRA, workers compensation, and unemployment insurance (the application for which shall not be contested by the Company); and/or (z) to accrued, vested benefits under any employee benefit, stock, savings, insurance, or pension plan of the Company.</w:t>
      </w:r>
    </w:p>
    <w:p>
      <w:pPr>
        <w:spacing w:after="0" w:line="203" w:lineRule="exact"/>
        <w:rPr>
          <w:sz w:val="20"/>
          <w:szCs w:val="20"/>
          <w:color w:val="auto"/>
        </w:rPr>
      </w:pPr>
    </w:p>
    <w:p>
      <w:pPr>
        <w:jc w:val="both"/>
        <w:ind w:right="20" w:firstLine="837"/>
        <w:spacing w:after="0" w:line="273" w:lineRule="auto"/>
        <w:tabs>
          <w:tab w:leader="none" w:pos="1245"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Release by the Company</w:t>
      </w:r>
      <w:r>
        <w:rPr>
          <w:rFonts w:ascii="Times New Roman" w:cs="Times New Roman" w:eastAsia="Times New Roman" w:hAnsi="Times New Roman"/>
          <w:sz w:val="17"/>
          <w:szCs w:val="17"/>
          <w:color w:val="auto"/>
        </w:rPr>
        <w:t>: Except for the obligations and restrictive covenants of the Executive under this Agreement or otherwise under other agreements entered into between the Company and Executive, the Company, for itself and (with respect to claims that relate to the Company’s business) its employees, executives, directors, executors, administrators, successors, attorneys, agents, representatives, and assigns, hereby fully and forever release and discharge Employee, her heirs, family members, executors, administrators, successors, attorneys, agents, representatives, and assigns, and any other person or entity associated with Employee, present, future, or former, known or unknown, from any and all claims, demands, causes of action, charges and grievances, which the Company now owns or holds or has at any time before this date owned or held against Employee related to her employment with the Company or her separation from employment with the Company.</w:t>
      </w:r>
    </w:p>
    <w:p>
      <w:pPr>
        <w:spacing w:after="0" w:line="198" w:lineRule="exact"/>
        <w:rPr>
          <w:rFonts w:ascii="Times New Roman" w:cs="Times New Roman" w:eastAsia="Times New Roman" w:hAnsi="Times New Roman"/>
          <w:sz w:val="17"/>
          <w:szCs w:val="17"/>
          <w:color w:val="auto"/>
        </w:rPr>
      </w:pPr>
    </w:p>
    <w:p>
      <w:pPr>
        <w:jc w:val="both"/>
        <w:ind w:firstLine="643"/>
        <w:spacing w:after="0" w:line="255"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Sue</w:t>
      </w:r>
      <w:r>
        <w:rPr>
          <w:rFonts w:ascii="Times New Roman" w:cs="Times New Roman" w:eastAsia="Times New Roman" w:hAnsi="Times New Roman"/>
          <w:sz w:val="18"/>
          <w:szCs w:val="18"/>
          <w:color w:val="auto"/>
        </w:rPr>
        <w:t>: Employee also COVENANTS NOT TO SUE, OR OTHERWISE PARTICIPATE IN ANY ACTION OR CLASS ACTION against Company or any of the released parties based upon any of the claims released in this Agreement. Notwithstanding the foregoing, Employee shall not be considered in breach of this provision with respect to any of the following: the Employee reports possible violations of law to any government agency or entity, including but not limited to the Department of Justice, the Securities and Exchange Commission, the Congress, and any agency Inspector General, makes other disclosures under the whistleblower provisions of federal or state law or regulation, participates in any action in connection therewith, or receives any monetary awards for any such disclosures or otherwise participates or cooperates in connection with any whistleblower activity protected by law.</w:t>
      </w:r>
    </w:p>
    <w:p>
      <w:pPr>
        <w:spacing w:after="0" w:line="215" w:lineRule="exact"/>
        <w:rPr>
          <w:rFonts w:ascii="Times New Roman" w:cs="Times New Roman" w:eastAsia="Times New Roman" w:hAnsi="Times New Roman"/>
          <w:sz w:val="18"/>
          <w:szCs w:val="18"/>
          <w:color w:val="auto"/>
        </w:rPr>
      </w:pPr>
    </w:p>
    <w:p>
      <w:pPr>
        <w:jc w:val="both"/>
        <w:ind w:firstLine="643"/>
        <w:spacing w:after="0" w:line="261"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Terms</w:t>
      </w:r>
      <w:r>
        <w:rPr>
          <w:rFonts w:ascii="Times New Roman" w:cs="Times New Roman" w:eastAsia="Times New Roman" w:hAnsi="Times New Roman"/>
          <w:sz w:val="18"/>
          <w:szCs w:val="18"/>
          <w:color w:val="auto"/>
        </w:rPr>
        <w:t>: Upon the expiration of seven (7) days from Employee’s execution of this Agreement and provided that this Agreement has become effective in accordance with its terms, in consideration for the promises, covenants, agreements, and releases set forth herein and in the Employment Agreement, Company agrees to pay Employee the Severance Benefits as defined in and pursuant to the Employment Agreement (the “</w:t>
      </w:r>
      <w:r>
        <w:rPr>
          <w:rFonts w:ascii="Times New Roman" w:cs="Times New Roman" w:eastAsia="Times New Roman" w:hAnsi="Times New Roman"/>
          <w:sz w:val="18"/>
          <w:szCs w:val="18"/>
          <w:b w:val="1"/>
          <w:bCs w:val="1"/>
          <w:i w:val="1"/>
          <w:iCs w:val="1"/>
          <w:color w:val="auto"/>
        </w:rPr>
        <w:t>Severance Benefits</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right="20" w:firstLine="643"/>
        <w:spacing w:after="0" w:line="258"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Revoke</w:t>
      </w:r>
      <w:r>
        <w:rPr>
          <w:rFonts w:ascii="Times New Roman" w:cs="Times New Roman" w:eastAsia="Times New Roman" w:hAnsi="Times New Roman"/>
          <w:sz w:val="18"/>
          <w:szCs w:val="18"/>
          <w:color w:val="auto"/>
        </w:rPr>
        <w:t>: Employee may revoke this Agreement by notice to Company, in writing, received within seven (7) days of the date of its execution by Employee (the “</w:t>
      </w:r>
      <w:r>
        <w:rPr>
          <w:rFonts w:ascii="Times New Roman" w:cs="Times New Roman" w:eastAsia="Times New Roman" w:hAnsi="Times New Roman"/>
          <w:sz w:val="18"/>
          <w:szCs w:val="18"/>
          <w:b w:val="1"/>
          <w:bCs w:val="1"/>
          <w:i w:val="1"/>
          <w:iCs w:val="1"/>
          <w:color w:val="auto"/>
        </w:rPr>
        <w:t>Revocation Period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Employee agrees that Employee will not receive the benefits provided by this Agreement if Employee revokes this Agreement. Employee also acknowledges and agrees that if Company has not received from Employee notice of Employee’s revocation of this Agreement prior to the expiration of the Revocation Period, Employee will have forever waived Employee’s right to revoke this Agreement, and this Agreement shall thereafter be enforceable and have full force and effect.</w:t>
      </w:r>
    </w:p>
    <w:p>
      <w:pPr>
        <w:spacing w:after="0" w:line="223" w:lineRule="exact"/>
        <w:rPr>
          <w:rFonts w:ascii="Times New Roman" w:cs="Times New Roman" w:eastAsia="Times New Roman" w:hAnsi="Times New Roman"/>
          <w:sz w:val="18"/>
          <w:szCs w:val="18"/>
          <w:color w:val="auto"/>
        </w:rPr>
      </w:pPr>
    </w:p>
    <w:p>
      <w:pPr>
        <w:jc w:val="both"/>
        <w:ind w:right="20" w:firstLine="643"/>
        <w:spacing w:after="0" w:line="258"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 Employee acknowledges and agrees that: (A) except as to any Accrued Benefits or Severance Benefits which remain unpaid as of the date of this Agreement, no additional consideration, including salary, wages, bonuses or equity awards as described in the Employment Agreement, is to be paid to him by Company in connection with this Agreement; (B) except as provided by this Agreement, Employee has no contractual right or claim to the Severance Benefits; and (C) payments pursuant to this Agreement shall terminate immediately if Employee materially breaches any of the material provisions of this Agreement or the Employment Agreement.</w:t>
      </w:r>
    </w:p>
    <w:p>
      <w:pPr>
        <w:spacing w:after="0" w:line="210" w:lineRule="exact"/>
        <w:rPr>
          <w:rFonts w:ascii="Times New Roman" w:cs="Times New Roman" w:eastAsia="Times New Roman" w:hAnsi="Times New Roman"/>
          <w:sz w:val="18"/>
          <w:szCs w:val="18"/>
          <w:color w:val="auto"/>
        </w:rPr>
      </w:pPr>
    </w:p>
    <w:p>
      <w:pPr>
        <w:ind w:right="20" w:firstLine="643"/>
        <w:spacing w:after="0" w:line="282"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Non-Admissions</w:t>
      </w:r>
      <w:r>
        <w:rPr>
          <w:rFonts w:ascii="Times New Roman" w:cs="Times New Roman" w:eastAsia="Times New Roman" w:hAnsi="Times New Roman"/>
          <w:sz w:val="18"/>
          <w:szCs w:val="18"/>
          <w:color w:val="auto"/>
        </w:rPr>
        <w:t>: Employee acknowledges that by entering into this Agreement, Company does not admit, and does specifically deny, any violation of any local, state, or federal law.</w:t>
      </w:r>
    </w:p>
    <w:p>
      <w:pPr>
        <w:spacing w:after="0" w:line="188" w:lineRule="exact"/>
        <w:rPr>
          <w:rFonts w:ascii="Times New Roman" w:cs="Times New Roman" w:eastAsia="Times New Roman" w:hAnsi="Times New Roman"/>
          <w:sz w:val="18"/>
          <w:szCs w:val="18"/>
          <w:color w:val="auto"/>
        </w:rPr>
      </w:pPr>
    </w:p>
    <w:p>
      <w:pPr>
        <w:ind w:right="20" w:firstLine="643"/>
        <w:spacing w:after="0" w:line="282"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Employee agrees that Employee shall not directly or indirectly disclose the terms, amount or fact of this Agreement to anyone other than Employee’s immediate family or counsel,</w:t>
      </w:r>
    </w:p>
    <w:p>
      <w:pPr>
        <w:sectPr>
          <w:pgSz w:w="11900" w:h="16838" w:orient="portrait"/>
          <w:cols w:equalWidth="0" w:num="1">
            <w:col w:w="10560"/>
          </w:cols>
          <w:pgMar w:left="980" w:top="1417" w:right="359" w:bottom="1440" w:gutter="0" w:footer="0" w:header="0"/>
        </w:sectPr>
      </w:pPr>
    </w:p>
    <w:bookmarkStart w:id="20" w:name="page21"/>
    <w:bookmarkEnd w:id="20"/>
    <w:p>
      <w:pPr>
        <w:ind w:left="500" w:right="20"/>
        <w:spacing w:after="0" w:line="282" w:lineRule="auto"/>
        <w:rPr>
          <w:sz w:val="20"/>
          <w:szCs w:val="20"/>
          <w:color w:val="auto"/>
        </w:rPr>
      </w:pPr>
      <w:r>
        <w:rPr>
          <w:rFonts w:ascii="Times New Roman" w:cs="Times New Roman" w:eastAsia="Times New Roman" w:hAnsi="Times New Roman"/>
          <w:sz w:val="18"/>
          <w:szCs w:val="18"/>
          <w:color w:val="auto"/>
        </w:rPr>
        <w:t>bankers or financial advisors, except as such disclosure may be required for accounting or tax reporting purposes or as otherwise may be required by law.</w:t>
      </w:r>
    </w:p>
    <w:p>
      <w:pPr>
        <w:spacing w:after="0" w:line="189" w:lineRule="exact"/>
        <w:rPr>
          <w:sz w:val="20"/>
          <w:szCs w:val="20"/>
          <w:color w:val="auto"/>
        </w:rPr>
      </w:pPr>
    </w:p>
    <w:p>
      <w:pPr>
        <w:jc w:val="both"/>
        <w:ind w:left="500" w:firstLine="643"/>
        <w:spacing w:after="0" w:line="256" w:lineRule="auto"/>
        <w:tabs>
          <w:tab w:leader="none" w:pos="17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xml:space="preserve">: Each party agrees that it will not make any statements, written or verbal, or cause or encourage others to make any statements, written or verbal, that defame, disparage or in any way criticize the personal or business reputation, practices or conduct of the other including, in the case of Company, its employees, directors and stockholders;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foregoing shall not apply to (i) any truthful disclosure made in any legal proceedings or (ii) the reporting of possible violations of law to any government agency or entity, including but not limited to the Department of Justice, the Securities and Exchange Commission, the Congress, and any agency Inspector General, or making other disclosures under the whistleblower provisions of federal or state law or regulation, or providing cooperation with respect thereto.</w:t>
      </w:r>
    </w:p>
    <w:p>
      <w:pPr>
        <w:spacing w:after="0" w:line="214" w:lineRule="exact"/>
        <w:rPr>
          <w:rFonts w:ascii="Times New Roman" w:cs="Times New Roman" w:eastAsia="Times New Roman" w:hAnsi="Times New Roman"/>
          <w:sz w:val="18"/>
          <w:szCs w:val="18"/>
          <w:color w:val="auto"/>
        </w:rPr>
      </w:pPr>
    </w:p>
    <w:p>
      <w:pPr>
        <w:jc w:val="both"/>
        <w:ind w:left="500" w:right="20" w:firstLine="643"/>
        <w:spacing w:after="0" w:line="261" w:lineRule="auto"/>
        <w:tabs>
          <w:tab w:leader="none" w:pos="17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 of Restrictions; Confidential Information</w:t>
      </w:r>
      <w:r>
        <w:rPr>
          <w:rFonts w:ascii="Times New Roman" w:cs="Times New Roman" w:eastAsia="Times New Roman" w:hAnsi="Times New Roman"/>
          <w:sz w:val="18"/>
          <w:szCs w:val="18"/>
          <w:color w:val="auto"/>
        </w:rPr>
        <w:t>: Employee acknowledges and agrees that Employee has continuing non-competition, non-solicitation and non-disclosure obligations under the Employment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Employee acknowledges and reaffirms Employee’s obligation to continue abide fully and completely with all post-employment provisions of the Employment Agreement and agrees that nothing in this Agreement shall operate to excuse or otherwise relieve Employee of such obligations.</w:t>
      </w:r>
    </w:p>
    <w:p>
      <w:pPr>
        <w:spacing w:after="0" w:line="206" w:lineRule="exact"/>
        <w:rPr>
          <w:rFonts w:ascii="Times New Roman" w:cs="Times New Roman" w:eastAsia="Times New Roman" w:hAnsi="Times New Roman"/>
          <w:sz w:val="18"/>
          <w:szCs w:val="18"/>
          <w:color w:val="auto"/>
        </w:rPr>
      </w:pPr>
    </w:p>
    <w:p>
      <w:pPr>
        <w:jc w:val="both"/>
        <w:ind w:left="500" w:right="20" w:firstLine="643"/>
        <w:spacing w:after="0" w:line="266" w:lineRule="auto"/>
        <w:tabs>
          <w:tab w:leader="none" w:pos="179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to be illegal, invalid, or unenforceable, such provision shall be fully severable and/or construed in remaining part to the full extent allowed by law, with the remaining provisions of this Agreement continuing in full force and effect.</w:t>
      </w:r>
    </w:p>
    <w:p>
      <w:pPr>
        <w:spacing w:after="0" w:line="202" w:lineRule="exact"/>
        <w:rPr>
          <w:rFonts w:ascii="Times New Roman" w:cs="Times New Roman" w:eastAsia="Times New Roman" w:hAnsi="Times New Roman"/>
          <w:sz w:val="18"/>
          <w:szCs w:val="18"/>
          <w:color w:val="auto"/>
        </w:rPr>
      </w:pPr>
    </w:p>
    <w:p>
      <w:pPr>
        <w:jc w:val="both"/>
        <w:ind w:left="500" w:right="20" w:firstLine="643"/>
        <w:spacing w:after="0" w:line="266" w:lineRule="auto"/>
        <w:tabs>
          <w:tab w:leader="none" w:pos="178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along with the Employment Agreement, constitute the entire agreement between the Employee and Company, and supersede all prior and contemporaneous negotiations and agreements, oral or written. This Agreement cannot be changed or terminated except pursuant to a written agreement executed by the parties.</w:t>
      </w:r>
    </w:p>
    <w:p>
      <w:pPr>
        <w:spacing w:after="0" w:line="216" w:lineRule="exact"/>
        <w:rPr>
          <w:rFonts w:ascii="Times New Roman" w:cs="Times New Roman" w:eastAsia="Times New Roman" w:hAnsi="Times New Roman"/>
          <w:sz w:val="18"/>
          <w:szCs w:val="18"/>
          <w:color w:val="auto"/>
        </w:rPr>
      </w:pPr>
    </w:p>
    <w:p>
      <w:pPr>
        <w:ind w:left="500" w:firstLine="643"/>
        <w:spacing w:after="0" w:line="282" w:lineRule="auto"/>
        <w:tabs>
          <w:tab w:leader="none" w:pos="179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Arizona, except where preempted by federal law.</w:t>
      </w:r>
    </w:p>
    <w:p>
      <w:pPr>
        <w:spacing w:after="0" w:line="188" w:lineRule="exact"/>
        <w:rPr>
          <w:rFonts w:ascii="Times New Roman" w:cs="Times New Roman" w:eastAsia="Times New Roman" w:hAnsi="Times New Roman"/>
          <w:sz w:val="18"/>
          <w:szCs w:val="18"/>
          <w:color w:val="auto"/>
        </w:rPr>
      </w:pPr>
    </w:p>
    <w:p>
      <w:pPr>
        <w:jc w:val="both"/>
        <w:ind w:left="500" w:firstLine="643"/>
        <w:spacing w:after="0" w:line="253" w:lineRule="auto"/>
        <w:tabs>
          <w:tab w:leader="none" w:pos="179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Statement of Understanding</w:t>
      </w:r>
      <w:r>
        <w:rPr>
          <w:rFonts w:ascii="Times New Roman" w:cs="Times New Roman" w:eastAsia="Times New Roman" w:hAnsi="Times New Roman"/>
          <w:sz w:val="18"/>
          <w:szCs w:val="18"/>
          <w:color w:val="auto"/>
        </w:rPr>
        <w:t>: By executing this Agreement, Employee acknowledges that (a) Employee has had at least [twenty-one (21)][ forty-five (45) days], in accordance with the Age Discrimination in Employment Act, as amended, (the “</w:t>
      </w:r>
      <w:r>
        <w:rPr>
          <w:rFonts w:ascii="Times New Roman" w:cs="Times New Roman" w:eastAsia="Times New Roman" w:hAnsi="Times New Roman"/>
          <w:sz w:val="18"/>
          <w:szCs w:val="18"/>
          <w:b w:val="1"/>
          <w:bCs w:val="1"/>
          <w:i w:val="1"/>
          <w:iCs w:val="1"/>
          <w:color w:val="auto"/>
        </w:rPr>
        <w:t>ADEA</w:t>
      </w:r>
      <w:r>
        <w:rPr>
          <w:rFonts w:ascii="Times New Roman" w:cs="Times New Roman" w:eastAsia="Times New Roman" w:hAnsi="Times New Roman"/>
          <w:sz w:val="18"/>
          <w:szCs w:val="18"/>
          <w:color w:val="auto"/>
        </w:rPr>
        <w:t xml:space="preserve">”) to consider the terms of this Agreement </w:t>
      </w:r>
      <w:r>
        <w:rPr>
          <w:rFonts w:ascii="Times New Roman" w:cs="Times New Roman" w:eastAsia="Times New Roman" w:hAnsi="Times New Roman"/>
          <w:sz w:val="18"/>
          <w:szCs w:val="18"/>
          <w:b w:val="1"/>
          <w:bCs w:val="1"/>
          <w:color w:val="auto"/>
        </w:rPr>
        <w:t>(and any attachment necessary or desirable in accordance with the ADEA)</w:t>
      </w:r>
      <w:r>
        <w:rPr>
          <w:rFonts w:ascii="Times New Roman" w:cs="Times New Roman" w:eastAsia="Times New Roman" w:hAnsi="Times New Roman"/>
          <w:sz w:val="18"/>
          <w:szCs w:val="18"/>
          <w:color w:val="auto"/>
        </w:rPr>
        <w:t xml:space="preserve"> and has considered its terms for such a period of time or has knowingly and voluntarily waived Employee’s right to do so by executing this Agreement and returning it to Company; (b) Employee has been advised by Company to consult with an attorney regarding the terms of this Agreement; (c) Employee has consulted with, or has had sufficient opportunity to consult with, an attorney of Employee’s own choosing regarding the terms of this Agreement; (d) any and all questions regarding the terms of this Agreement have been asked and answered to Employee’s complete satisfaction; (e) Employee has read this Agreement and fully understands its terms and their import; (f) except as provided by this Agreement, Employee has no contractual right or claim to the benefits and payments described herein; (g) the consideration provided for herein is good and valuable; and (h) Employee is entering into this Agreement voluntarily, of Employee’s own free will, and without any coercion, undue influence, threat, or intimidation of any kind or type whatsoever.</w:t>
      </w:r>
    </w:p>
    <w:p>
      <w:pPr>
        <w:spacing w:after="0" w:line="30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HAVING READ AND UNDERSTOOD THIS AGREEMENT, CONSULTED COUNSEL OR VOLUNTARILY ELECTED NOT TO CONSULT COUNSEL, AND HAVING HAD SUFFICIENT TIME TO CONSIDER WHETHER TO ENTER INTO THIS AGREEMENT, THE UNDERSIGNED HEREBY EXECUTE THIS AGREEMENT ON THE DATES SET FORTH BELOW.</w:t>
      </w:r>
    </w:p>
    <w:p>
      <w:pPr>
        <w:sectPr>
          <w:pgSz w:w="11900" w:h="16838" w:orient="portrait"/>
          <w:cols w:equalWidth="0" w:num="1">
            <w:col w:w="11060"/>
          </w:cols>
          <w:pgMar w:left="480" w:top="1417" w:right="359" w:bottom="1440" w:gutter="0" w:footer="0" w:header="0"/>
        </w:sectPr>
      </w:pPr>
    </w:p>
    <w:bookmarkStart w:id="21" w:name="page22"/>
    <w:bookmarkEnd w:id="21"/>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EMPLOYEE</w:t>
            </w:r>
          </w:p>
        </w:tc>
        <w:tc>
          <w:tcPr>
            <w:tcW w:w="618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WILLSCOT HOLDINGS CORPORATION§</w:t>
            </w:r>
          </w:p>
        </w:tc>
        <w:tc>
          <w:tcPr>
            <w:tcW w:w="0" w:type="dxa"/>
            <w:vAlign w:val="bottom"/>
          </w:tcPr>
          <w:p>
            <w:pPr>
              <w:spacing w:after="0"/>
              <w:rPr>
                <w:sz w:val="1"/>
                <w:szCs w:val="1"/>
                <w:color w:val="auto"/>
              </w:rPr>
            </w:pPr>
          </w:p>
        </w:tc>
      </w:tr>
      <w:tr>
        <w:trPr>
          <w:trHeight w:val="446"/>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tc>
        <w:tc>
          <w:tcPr>
            <w:tcW w:w="6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05"/>
        </w:trPr>
        <w:tc>
          <w:tcPr>
            <w:tcW w:w="468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4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Matthew Jacobsen</w:t>
            </w:r>
          </w:p>
        </w:tc>
        <w:tc>
          <w:tcPr>
            <w:tcW w:w="17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Name:</w:t>
            </w:r>
          </w:p>
        </w:tc>
        <w:tc>
          <w:tcPr>
            <w:tcW w:w="4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Date:_____________________________________</w:t>
            </w:r>
          </w:p>
        </w:tc>
        <w:tc>
          <w:tcPr>
            <w:tcW w:w="17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680" w:type="dxa"/>
            <w:vAlign w:val="bottom"/>
          </w:tcPr>
          <w:p>
            <w:pPr>
              <w:spacing w:after="0"/>
              <w:rPr>
                <w:sz w:val="24"/>
                <w:szCs w:val="24"/>
                <w:color w:val="auto"/>
              </w:rPr>
            </w:pPr>
          </w:p>
        </w:tc>
        <w:tc>
          <w:tcPr>
            <w:tcW w:w="17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Date:</w:t>
            </w:r>
          </w:p>
        </w:tc>
        <w:tc>
          <w:tcPr>
            <w:tcW w:w="4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60"/>
      </w:cols>
      <w:pgMar w:left="400" w:top="144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decimal"/>
      <w:start w:val="4"/>
    </w:lvl>
  </w:abstractNum>
  <w:abstractNum w:abstractNumId="3">
    <w:nsid w:val="3F2DBA31"/>
    <w:multiLevelType w:val="hybridMultilevel"/>
    <w:lvl w:ilvl="0">
      <w:lvlJc w:val="left"/>
      <w:lvlText w:val="%1."/>
      <w:numFmt w:val="decimal"/>
      <w:start w:val="5"/>
    </w:lvl>
  </w:abstractNum>
  <w:abstractNum w:abstractNumId="4">
    <w:nsid w:val="7C83E458"/>
    <w:multiLevelType w:val="hybridMultilevel"/>
    <w:lvl w:ilvl="0">
      <w:lvlJc w:val="left"/>
      <w:lvlText w:val="%1."/>
      <w:numFmt w:val="decimal"/>
      <w:start w:val="6"/>
    </w:lvl>
  </w:abstractNum>
  <w:abstractNum w:abstractNumId="5">
    <w:nsid w:val="257130A3"/>
    <w:multiLevelType w:val="hybridMultilevel"/>
    <w:lvl w:ilvl="0">
      <w:lvlJc w:val="left"/>
      <w:lvlText w:val="(%1)"/>
      <w:numFmt w:val="lowerLetter"/>
      <w:start w:val="3"/>
    </w:lvl>
  </w:abstractNum>
  <w:abstractNum w:abstractNumId="6">
    <w:nsid w:val="62BBD95A"/>
    <w:multiLevelType w:val="hybridMultilevel"/>
    <w:lvl w:ilvl="0">
      <w:lvlJc w:val="left"/>
      <w:lvlText w:val="%1."/>
      <w:numFmt w:val="decimal"/>
      <w:start w:val="7"/>
    </w:lvl>
  </w:abstractNum>
  <w:abstractNum w:abstractNumId="7">
    <w:nsid w:val="436C6125"/>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8">
    <w:nsid w:val="628C895D"/>
    <w:multiLevelType w:val="hybridMultilevel"/>
    <w:lvl w:ilvl="0">
      <w:lvlJc w:val="left"/>
      <w:lvlText w:val="(%1)"/>
      <w:numFmt w:val="lowerRoman"/>
      <w:start w:val="4"/>
    </w:lvl>
    <w:lvl w:ilvl="1">
      <w:lvlJc w:val="left"/>
      <w:lvlText w:val="%2."/>
      <w:numFmt w:val="decimal"/>
      <w:start w:val="4"/>
    </w:lvl>
    <w:lvl w:ilvl="2">
      <w:lvlJc w:val="left"/>
      <w:lvlText w:val="(%3)"/>
      <w:numFmt w:val="lowerLetter"/>
      <w:start w:val="1"/>
    </w:lvl>
  </w:abstractNum>
  <w:abstractNum w:abstractNumId="9">
    <w:nsid w:val="333AB105"/>
    <w:multiLevelType w:val="hybridMultilevel"/>
    <w:lvl w:ilvl="0">
      <w:lvlJc w:val="left"/>
      <w:lvlText w:val="%1"/>
      <w:numFmt w:val="decimal"/>
      <w:start w:val="1"/>
    </w:lvl>
    <w:lvl w:ilvl="1">
      <w:lvlJc w:val="left"/>
      <w:lvlText w:val="(%2)"/>
      <w:numFmt w:val="lowerLetter"/>
      <w:start w:val="2"/>
    </w:lvl>
  </w:abstractNum>
  <w:abstractNum w:abstractNumId="10">
    <w:nsid w:val="721DA317"/>
    <w:multiLevelType w:val="hybridMultilevel"/>
    <w:lvl w:ilvl="0">
      <w:lvlJc w:val="left"/>
      <w:lvlText w:val="%1."/>
      <w:numFmt w:val="decimal"/>
      <w:start w:val="6"/>
    </w:lvl>
    <w:lvl w:ilvl="1">
      <w:lvlJc w:val="left"/>
      <w:lvlText w:val="(%2)"/>
      <w:numFmt w:val="lowerLetter"/>
      <w:start w:val="1"/>
    </w:lvl>
  </w:abstractNum>
  <w:abstractNum w:abstractNumId="11">
    <w:nsid w:val="2443A858"/>
    <w:multiLevelType w:val="hybridMultilevel"/>
    <w:lvl w:ilvl="0">
      <w:lvlJc w:val="left"/>
      <w:lvlText w:val="(%1)"/>
      <w:numFmt w:val="lowerLetter"/>
      <w:start w:val="2"/>
    </w:lvl>
    <w:lvl w:ilvl="1">
      <w:lvlJc w:val="left"/>
      <w:lvlText w:val="(%2)"/>
      <w:numFmt w:val="lowerLetter"/>
      <w:start w:val="9"/>
    </w:lvl>
  </w:abstractNum>
  <w:abstractNum w:abstractNumId="12">
    <w:nsid w:val="2D1D5AE9"/>
    <w:multiLevelType w:val="hybridMultilevel"/>
    <w:lvl w:ilvl="0">
      <w:lvlJc w:val="left"/>
      <w:lvlText w:val="%1"/>
      <w:numFmt w:val="lowerLetter"/>
      <w:start w:val="1"/>
    </w:lvl>
    <w:lvl w:ilvl="1">
      <w:lvlJc w:val="left"/>
      <w:lvlText w:val="(%2)"/>
      <w:numFmt w:val="lowerLetter"/>
      <w:start w:val="35"/>
    </w:lvl>
  </w:abstractNum>
  <w:abstractNum w:abstractNumId="13">
    <w:nsid w:val="6763845E"/>
    <w:multiLevelType w:val="hybridMultilevel"/>
    <w:lvl w:ilvl="0">
      <w:lvlJc w:val="left"/>
      <w:lvlText w:val="(%1)"/>
      <w:numFmt w:val="lowerLetter"/>
      <w:start w:val="5"/>
    </w:lvl>
    <w:lvl w:ilvl="1">
      <w:lvlJc w:val="left"/>
      <w:lvlText w:val="(%2)"/>
      <w:numFmt w:val="lowerLetter"/>
      <w:start w:val="9"/>
    </w:lvl>
  </w:abstractNum>
  <w:abstractNum w:abstractNumId="14">
    <w:nsid w:val="75A2A8D4"/>
    <w:multiLevelType w:val="hybridMultilevel"/>
    <w:lvl w:ilvl="0">
      <w:lvlJc w:val="left"/>
      <w:lvlText w:val="%1"/>
      <w:numFmt w:val="decimal"/>
      <w:start w:val="1"/>
    </w:lvl>
    <w:lvl w:ilvl="1">
      <w:lvlJc w:val="left"/>
      <w:lvlText w:val="(%2)"/>
      <w:numFmt w:val="lowerRoman"/>
      <w:start w:val="2"/>
    </w:lvl>
  </w:abstractNum>
  <w:abstractNum w:abstractNumId="15">
    <w:nsid w:val="8EDBDAB"/>
    <w:multiLevelType w:val="hybridMultilevel"/>
    <w:lvl w:ilvl="0">
      <w:lvlJc w:val="left"/>
      <w:lvlText w:val="%1."/>
      <w:numFmt w:val="decimal"/>
      <w:start w:val="8"/>
    </w:lvl>
    <w:lvl w:ilvl="1">
      <w:lvlJc w:val="left"/>
      <w:lvlText w:val="%2"/>
      <w:numFmt w:val="lowerRoman"/>
      <w:start w:val="1"/>
    </w:lvl>
  </w:abstractNum>
  <w:abstractNum w:abstractNumId="16">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7">
    <w:nsid w:val="4353D0CD"/>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8">
    <w:nsid w:val="B03E0C6"/>
    <w:multiLevelType w:val="hybridMultilevel"/>
    <w:lvl w:ilvl="0">
      <w:lvlJc w:val="left"/>
      <w:lvlText w:val="(%1)"/>
      <w:numFmt w:val="lowerLetter"/>
      <w:start w:val="3"/>
    </w:lvl>
    <w:lvl w:ilvl="1">
      <w:lvlJc w:val="left"/>
      <w:lvlText w:val="(%2)"/>
      <w:numFmt w:val="lowerRoman"/>
      <w:start w:val="1"/>
    </w:lvl>
  </w:abstractNum>
  <w:abstractNum w:abstractNumId="19">
    <w:nsid w:val="189A769B"/>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20">
    <w:nsid w:val="54E49EB4"/>
    <w:multiLevelType w:val="hybridMultilevel"/>
    <w:lvl w:ilvl="0">
      <w:lvlJc w:val="left"/>
      <w:lvlText w:val="%1."/>
      <w:numFmt w:val="decimal"/>
      <w:start w:val="10"/>
    </w:lvl>
    <w:lvl w:ilvl="1">
      <w:lvlJc w:val="left"/>
      <w:lvlText w:val="(%2)"/>
      <w:numFmt w:val="lowerLetter"/>
      <w:start w:val="9"/>
    </w:lvl>
    <w:lvl w:ilvl="2">
      <w:lvlJc w:val="left"/>
      <w:lvlText w:val="(%3)"/>
      <w:numFmt w:val="lowerLetter"/>
      <w:start w:val="35"/>
    </w:lvl>
  </w:abstractNum>
  <w:abstractNum w:abstractNumId="21">
    <w:nsid w:val="71F32454"/>
    <w:multiLevelType w:val="hybridMultilevel"/>
    <w:lvl w:ilvl="0">
      <w:lvlJc w:val="left"/>
      <w:lvlText w:val="%1."/>
      <w:numFmt w:val="decimal"/>
      <w:start w:val="11"/>
    </w:lvl>
  </w:abstractNum>
  <w:abstractNum w:abstractNumId="22">
    <w:nsid w:val="2CA88611"/>
    <w:multiLevelType w:val="hybridMultilevel"/>
    <w:lvl w:ilvl="0">
      <w:lvlJc w:val="left"/>
      <w:lvlText w:val="%1."/>
      <w:numFmt w:val="decimal"/>
      <w:start w:val="14"/>
    </w:lvl>
  </w:abstractNum>
  <w:abstractNum w:abstractNumId="23">
    <w:nsid w:val="836C40E"/>
    <w:multiLevelType w:val="hybridMultilevel"/>
    <w:lvl w:ilvl="0">
      <w:lvlJc w:val="left"/>
      <w:lvlText w:val="%1"/>
      <w:numFmt w:val="lowerLetter"/>
      <w:start w:val="1"/>
    </w:lvl>
    <w:lvl w:ilvl="1">
      <w:lvlJc w:val="left"/>
      <w:lvlText w:val="%2."/>
      <w:numFmt w:val="decimal"/>
      <w:start w:val="22"/>
    </w:lvl>
    <w:lvl w:ilvl="2">
      <w:lvlJc w:val="left"/>
      <w:lvlText w:val="(%3)"/>
      <w:numFmt w:val="lowerLetter"/>
      <w:start w:val="1"/>
    </w:lvl>
  </w:abstractNum>
  <w:abstractNum w:abstractNumId="24">
    <w:nsid w:val="2901D82"/>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25">
    <w:nsid w:val="3A95F874"/>
    <w:multiLevelType w:val="hybridMultilevel"/>
    <w:lvl w:ilvl="0">
      <w:lvlJc w:val="left"/>
      <w:lvlText w:val="%1"/>
      <w:numFmt w:val="decimal"/>
      <w:start w:val="1"/>
    </w:lvl>
    <w:lvl w:ilvl="1">
      <w:lvlJc w:val="left"/>
      <w:lvlText w:val="(%2)"/>
      <w:numFmt w:val="lowerLetter"/>
      <w:start w:val="3"/>
    </w:lvl>
  </w:abstractNum>
  <w:abstractNum w:abstractNumId="26">
    <w:nsid w:val="8138641"/>
    <w:multiLevelType w:val="hybridMultilevel"/>
    <w:lvl w:ilvl="0">
      <w:lvlJc w:val="left"/>
      <w:lvlText w:val="%1."/>
      <w:numFmt w:val="decimal"/>
      <w:start w:val="23"/>
    </w:lvl>
    <w:lvl w:ilvl="1">
      <w:lvlJc w:val="left"/>
      <w:lvlText w:val="%2"/>
      <w:numFmt w:val="lowerLetter"/>
      <w:start w:val="1"/>
    </w:lvl>
  </w:abstractNum>
  <w:abstractNum w:abstractNumId="27">
    <w:nsid w:val="1E7FF521"/>
    <w:multiLevelType w:val="hybridMultilevel"/>
    <w:lvl w:ilvl="0">
      <w:lvlJc w:val="left"/>
      <w:lvlText w:val="(%1)"/>
      <w:numFmt w:val="lowerRoman"/>
      <w:start w:val="1"/>
    </w:lvl>
  </w:abstractNum>
  <w:abstractNum w:abstractNumId="28">
    <w:nsid w:val="7C3DBD3D"/>
    <w:multiLevelType w:val="hybridMultilevel"/>
    <w:lvl w:ilvl="0">
      <w:lvlJc w:val="left"/>
      <w:lvlText w:val="(%1)"/>
      <w:numFmt w:val="lowerRoman"/>
      <w:start w:val="2"/>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1"/>
    </w:lvl>
    <w:lvl w:ilvl="1">
      <w:lvlJc w:val="left"/>
      <w:lvlText w:val="(%2)"/>
      <w:numFmt w:val="lowerLetter"/>
      <w:start w:val="2"/>
    </w:lvl>
  </w:abstractNum>
  <w:abstractNum w:abstractNumId="31">
    <w:nsid w:val="22221A70"/>
    <w:multiLevelType w:val="hybridMultilevel"/>
    <w:lvl w:ilvl="0">
      <w:lvlJc w:val="left"/>
      <w:lvlText w:val="%1."/>
      <w:numFmt w:val="decimal"/>
      <w:start w:val="2"/>
    </w:lvl>
    <w:lvl w:ilvl="1">
      <w:lvlJc w:val="left"/>
      <w:lvlText w:val="%2"/>
      <w:numFmt w:val="lowerLetter"/>
      <w:start w:val="1"/>
    </w:lvl>
  </w:abstractNum>
  <w:abstractNum w:abstractNumId="32">
    <w:nsid w:val="4516DDE9"/>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2024-12-11T07:11:13Z</dcterms:created>
  <dcterms:modified xsi:type="dcterms:W3CDTF">2024-12-11T07:11:13Z</dcterms:modified>
</cp:coreProperties>
</file>