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598170</wp:posOffset>
            </wp:positionH>
            <wp:positionV relativeFrom="page">
              <wp:posOffset>530860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498475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11"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20" w:lineRule="exact"/>
        <w:rPr>
          <w:sz w:val="24"/>
          <w:szCs w:val="24"/>
          <w:color w:val="auto"/>
        </w:rPr>
      </w:pPr>
    </w:p>
    <w:p>
      <w:pPr>
        <w:ind w:left="3920" w:right="2680" w:hanging="3208"/>
        <w:spacing w:after="0" w:line="403"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6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116840</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212"/>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8"/>
                <w:szCs w:val="18"/>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213"/>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8"/>
                <w:szCs w:val="18"/>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341"/>
        </w:trPr>
        <w:tc>
          <w:tcPr>
            <w:tcW w:w="3940" w:type="dxa"/>
            <w:vAlign w:val="bottom"/>
          </w:tcPr>
          <w:p>
            <w:pPr>
              <w:spacing w:after="0"/>
              <w:rPr>
                <w:sz w:val="24"/>
                <w:szCs w:val="2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4"/>
                <w:szCs w:val="24"/>
                <w:color w:val="auto"/>
              </w:rPr>
            </w:pPr>
          </w:p>
        </w:tc>
      </w:tr>
      <w:tr>
        <w:trPr>
          <w:trHeight w:val="219"/>
        </w:trPr>
        <w:tc>
          <w:tcPr>
            <w:tcW w:w="3940" w:type="dxa"/>
            <w:vAlign w:val="bottom"/>
          </w:tcPr>
          <w:p>
            <w:pPr>
              <w:spacing w:after="0"/>
              <w:rPr>
                <w:sz w:val="19"/>
                <w:szCs w:val="19"/>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9"/>
                <w:szCs w:val="19"/>
                <w:color w:val="auto"/>
              </w:rPr>
            </w:pPr>
          </w:p>
        </w:tc>
      </w:tr>
      <w:tr>
        <w:trPr>
          <w:trHeight w:val="213"/>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8"/>
                <w:szCs w:val="18"/>
                <w:color w:val="auto"/>
              </w:rPr>
            </w:pPr>
          </w:p>
        </w:tc>
      </w:tr>
      <w:tr>
        <w:trPr>
          <w:trHeight w:val="496"/>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213"/>
        </w:trPr>
        <w:tc>
          <w:tcPr>
            <w:tcW w:w="3940" w:type="dxa"/>
            <w:vAlign w:val="bottom"/>
          </w:tcPr>
          <w:p>
            <w:pPr>
              <w:spacing w:after="0"/>
              <w:rPr>
                <w:sz w:val="18"/>
                <w:szCs w:val="18"/>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8"/>
                <w:szCs w:val="18"/>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503"/>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9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226"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3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76" w:right="339" w:bottom="1440" w:gutter="0" w:footer="0" w:header="0"/>
          <w:type w:val="continuous"/>
        </w:sectPr>
      </w:pPr>
    </w:p>
    <w:p>
      <w:pPr>
        <w:spacing w:after="0" w:line="230" w:lineRule="exact"/>
        <w:rPr>
          <w:sz w:val="24"/>
          <w:szCs w:val="24"/>
          <w:color w:val="auto"/>
        </w:rPr>
      </w:pPr>
    </w:p>
    <w:p>
      <w:pPr>
        <w:ind w:firstLine="619"/>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360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182,075,083 shares at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819785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38670" cy="262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42"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June 30, 2025 and December 31,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(Loss) for the Three and Six Months Ended June 30, 2025 and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Changes in Equity for the 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Cash Flows for the Six Months Ended June 30, 2025 and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4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89"/>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2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1580" w:type="dxa"/>
            <w:vAlign w:val="bottom"/>
          </w:tcPr>
          <w:p>
            <w:pPr>
              <w:spacing w:after="0"/>
              <w:rPr>
                <w:sz w:val="20"/>
                <w:szCs w:val="20"/>
                <w:color w:val="auto"/>
              </w:rPr>
            </w:pPr>
            <w:r>
              <w:rPr>
                <w:rFonts w:ascii="Arial" w:cs="Arial" w:eastAsia="Arial" w:hAnsi="Arial"/>
                <w:sz w:val="34"/>
                <w:szCs w:val="34"/>
                <w:b w:val="1"/>
                <w:bCs w:val="1"/>
                <w:color w:val="auto"/>
              </w:rPr>
              <w:t>ITEM 1.</w:t>
            </w:r>
          </w:p>
        </w:tc>
        <w:tc>
          <w:tcPr>
            <w:tcW w:w="5960" w:type="dxa"/>
            <w:vAlign w:val="bottom"/>
          </w:tcPr>
          <w:p>
            <w:pPr>
              <w:spacing w:after="0"/>
              <w:rPr>
                <w:sz w:val="20"/>
                <w:szCs w:val="20"/>
                <w:color w:val="auto"/>
              </w:rPr>
            </w:pPr>
            <w:r>
              <w:rPr>
                <w:rFonts w:ascii="Arial" w:cs="Arial" w:eastAsia="Arial" w:hAnsi="Arial"/>
                <w:sz w:val="34"/>
                <w:szCs w:val="34"/>
                <w:b w:val="1"/>
                <w:bCs w:val="1"/>
                <w:color w:val="auto"/>
              </w:rPr>
              <w:t>Financial Statements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1580" w:type="dxa"/>
            <w:vAlign w:val="bottom"/>
          </w:tcPr>
          <w:p>
            <w:pPr>
              <w:spacing w:after="0"/>
              <w:rPr>
                <w:sz w:val="24"/>
                <w:szCs w:val="24"/>
                <w:color w:val="auto"/>
              </w:rPr>
            </w:pPr>
          </w:p>
        </w:tc>
        <w:tc>
          <w:tcPr>
            <w:tcW w:w="5960" w:type="dxa"/>
            <w:vAlign w:val="bottom"/>
          </w:tcPr>
          <w:p>
            <w:pPr>
              <w:ind w:left="2560"/>
              <w:spacing w:after="0"/>
              <w:rPr>
                <w:sz w:val="20"/>
                <w:szCs w:val="20"/>
                <w:color w:val="auto"/>
              </w:rPr>
            </w:pPr>
            <w:r>
              <w:rPr>
                <w:rFonts w:ascii="Arial" w:cs="Arial" w:eastAsia="Arial" w:hAnsi="Arial"/>
                <w:sz w:val="22"/>
                <w:szCs w:val="22"/>
                <w:color w:val="1D2758"/>
              </w:rPr>
              <w:t>WillScot Holdings Corporation</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6240" w:type="dxa"/>
            <w:vAlign w:val="bottom"/>
            <w:gridSpan w:val="2"/>
          </w:tcPr>
          <w:p>
            <w:pPr>
              <w:jc w:val="right"/>
              <w:ind w:right="43"/>
              <w:spacing w:after="0"/>
              <w:rPr>
                <w:sz w:val="20"/>
                <w:szCs w:val="20"/>
                <w:color w:val="auto"/>
              </w:rPr>
            </w:pPr>
            <w:r>
              <w:rPr>
                <w:rFonts w:ascii="Arial" w:cs="Arial" w:eastAsia="Arial" w:hAnsi="Arial"/>
                <w:sz w:val="22"/>
                <w:szCs w:val="22"/>
                <w:color w:val="1D2758"/>
              </w:rPr>
              <w:t>Condensed Consolidated Balance Sheets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580" w:type="dxa"/>
            <w:vAlign w:val="bottom"/>
          </w:tcPr>
          <w:p>
            <w:pPr>
              <w:spacing w:after="0"/>
              <w:rPr>
                <w:sz w:val="6"/>
                <w:szCs w:val="6"/>
                <w:color w:val="auto"/>
              </w:rPr>
            </w:pPr>
          </w:p>
        </w:tc>
        <w:tc>
          <w:tcPr>
            <w:tcW w:w="5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580" w:type="dxa"/>
            <w:vAlign w:val="bottom"/>
            <w:shd w:val="clear" w:color="auto" w:fill="1D2758"/>
          </w:tcPr>
          <w:p>
            <w:pPr>
              <w:spacing w:after="0"/>
              <w:rPr>
                <w:sz w:val="17"/>
                <w:szCs w:val="17"/>
                <w:color w:val="auto"/>
              </w:rPr>
            </w:pPr>
          </w:p>
        </w:tc>
        <w:tc>
          <w:tcPr>
            <w:tcW w:w="596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jc w:val="center"/>
              <w:ind w:right="360"/>
              <w:spacing w:after="0"/>
              <w:rPr>
                <w:sz w:val="20"/>
                <w:szCs w:val="20"/>
                <w:color w:val="auto"/>
              </w:rPr>
            </w:pPr>
            <w:r>
              <w:rPr>
                <w:rFonts w:ascii="Arial" w:cs="Arial" w:eastAsia="Arial" w:hAnsi="Arial"/>
                <w:sz w:val="15"/>
                <w:szCs w:val="15"/>
                <w:b w:val="1"/>
                <w:bCs w:val="1"/>
                <w:color w:val="FFFFFF"/>
              </w:rPr>
              <w:t>June 30, 2025</w:t>
            </w:r>
          </w:p>
        </w:tc>
        <w:tc>
          <w:tcPr>
            <w:tcW w:w="160" w:type="dxa"/>
            <w:vAlign w:val="bottom"/>
            <w:shd w:val="clear" w:color="auto" w:fill="1D2758"/>
          </w:tcPr>
          <w:p>
            <w:pPr>
              <w:spacing w:after="0"/>
              <w:rPr>
                <w:sz w:val="17"/>
                <w:szCs w:val="17"/>
                <w:color w:val="auto"/>
              </w:rPr>
            </w:pPr>
          </w:p>
        </w:tc>
        <w:tc>
          <w:tcPr>
            <w:tcW w:w="164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111"/>
        </w:trPr>
        <w:tc>
          <w:tcPr>
            <w:tcW w:w="75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amounts)</w:t>
            </w:r>
          </w:p>
        </w:tc>
        <w:tc>
          <w:tcPr>
            <w:tcW w:w="280" w:type="dxa"/>
            <w:vAlign w:val="bottom"/>
            <w:shd w:val="clear" w:color="auto" w:fill="1D2758"/>
          </w:tcPr>
          <w:p>
            <w:pPr>
              <w:spacing w:after="0"/>
              <w:rPr>
                <w:sz w:val="9"/>
                <w:szCs w:val="9"/>
                <w:color w:val="auto"/>
              </w:rPr>
            </w:pPr>
          </w:p>
        </w:tc>
        <w:tc>
          <w:tcPr>
            <w:tcW w:w="1620" w:type="dxa"/>
            <w:vAlign w:val="bottom"/>
            <w:gridSpan w:val="2"/>
            <w:vMerge w:val="restart"/>
            <w:shd w:val="clear" w:color="auto" w:fill="1D2758"/>
          </w:tcPr>
          <w:p>
            <w:pPr>
              <w:jc w:val="center"/>
              <w:ind w:right="380"/>
              <w:spacing w:after="0"/>
              <w:rPr>
                <w:sz w:val="20"/>
                <w:szCs w:val="20"/>
                <w:color w:val="auto"/>
              </w:rPr>
            </w:pPr>
            <w:r>
              <w:rPr>
                <w:rFonts w:ascii="Arial" w:cs="Arial" w:eastAsia="Arial" w:hAnsi="Arial"/>
                <w:sz w:val="15"/>
                <w:szCs w:val="15"/>
                <w:b w:val="1"/>
                <w:bCs w:val="1"/>
                <w:color w:val="FFFFFF"/>
              </w:rPr>
              <w:t>(unaudited)</w:t>
            </w:r>
          </w:p>
        </w:tc>
        <w:tc>
          <w:tcPr>
            <w:tcW w:w="160" w:type="dxa"/>
            <w:vAlign w:val="bottom"/>
            <w:shd w:val="clear" w:color="auto" w:fill="1D2758"/>
          </w:tcPr>
          <w:p>
            <w:pPr>
              <w:spacing w:after="0"/>
              <w:rPr>
                <w:sz w:val="9"/>
                <w:szCs w:val="9"/>
                <w:color w:val="auto"/>
              </w:rPr>
            </w:pPr>
          </w:p>
        </w:tc>
        <w:tc>
          <w:tcPr>
            <w:tcW w:w="1640" w:type="dxa"/>
            <w:vAlign w:val="bottom"/>
            <w:vMerge w:val="continue"/>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540" w:type="dxa"/>
            <w:vAlign w:val="bottom"/>
            <w:gridSpan w:val="2"/>
            <w:vMerge w:val="continue"/>
            <w:shd w:val="clear" w:color="auto" w:fill="1D2758"/>
          </w:tcPr>
          <w:p>
            <w:pPr>
              <w:spacing w:after="0"/>
              <w:rPr>
                <w:sz w:val="9"/>
                <w:szCs w:val="9"/>
                <w:color w:val="auto"/>
              </w:rPr>
            </w:pPr>
          </w:p>
        </w:tc>
        <w:tc>
          <w:tcPr>
            <w:tcW w:w="280" w:type="dxa"/>
            <w:vAlign w:val="bottom"/>
            <w:shd w:val="clear" w:color="auto" w:fill="1D2758"/>
          </w:tcPr>
          <w:p>
            <w:pPr>
              <w:spacing w:after="0"/>
              <w:rPr>
                <w:sz w:val="9"/>
                <w:szCs w:val="9"/>
                <w:color w:val="auto"/>
              </w:rPr>
            </w:pPr>
          </w:p>
        </w:tc>
        <w:tc>
          <w:tcPr>
            <w:tcW w:w="1620" w:type="dxa"/>
            <w:vAlign w:val="bottom"/>
            <w:gridSpan w:val="2"/>
            <w:vMerge w:val="continue"/>
            <w:shd w:val="clear" w:color="auto" w:fill="1D2758"/>
          </w:tcPr>
          <w:p>
            <w:pPr>
              <w:spacing w:after="0"/>
              <w:rPr>
                <w:sz w:val="9"/>
                <w:szCs w:val="9"/>
                <w:color w:val="auto"/>
              </w:rPr>
            </w:pPr>
          </w:p>
        </w:tc>
        <w:tc>
          <w:tcPr>
            <w:tcW w:w="160" w:type="dxa"/>
            <w:vAlign w:val="bottom"/>
            <w:shd w:val="clear" w:color="auto" w:fill="1D2758"/>
          </w:tcPr>
          <w:p>
            <w:pPr>
              <w:spacing w:after="0"/>
              <w:rPr>
                <w:sz w:val="9"/>
                <w:szCs w:val="9"/>
                <w:color w:val="auto"/>
              </w:rPr>
            </w:pPr>
          </w:p>
        </w:tc>
        <w:tc>
          <w:tcPr>
            <w:tcW w:w="16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596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12,850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9,001</w:t>
            </w:r>
          </w:p>
        </w:tc>
        <w:tc>
          <w:tcPr>
            <w:tcW w:w="0" w:type="dxa"/>
            <w:vAlign w:val="bottom"/>
          </w:tcPr>
          <w:p>
            <w:pPr>
              <w:spacing w:after="0"/>
              <w:rPr>
                <w:sz w:val="1"/>
                <w:szCs w:val="1"/>
                <w:color w:val="auto"/>
              </w:rPr>
            </w:pPr>
          </w:p>
        </w:tc>
      </w:tr>
      <w:tr>
        <w:trPr>
          <w:trHeight w:val="214"/>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Trade receivables, net of allowances for credit losses at June 30, 2025 and December 31, 2024 of</w:t>
            </w:r>
          </w:p>
        </w:tc>
        <w:tc>
          <w:tcPr>
            <w:tcW w:w="28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$88,360 and $101,693, respectively</w:t>
            </w:r>
          </w:p>
        </w:tc>
        <w:tc>
          <w:tcPr>
            <w:tcW w:w="280" w:type="dxa"/>
            <w:vAlign w:val="bottom"/>
            <w:shd w:val="clear" w:color="auto" w:fill="DDDDDD"/>
          </w:tcPr>
          <w:p>
            <w:pPr>
              <w:spacing w:after="0"/>
              <w:rPr>
                <w:sz w:val="18"/>
                <w:szCs w:val="18"/>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414,137</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430,381</w:t>
            </w:r>
          </w:p>
        </w:tc>
        <w:tc>
          <w:tcPr>
            <w:tcW w:w="0" w:type="dxa"/>
            <w:vAlign w:val="bottom"/>
          </w:tcPr>
          <w:p>
            <w:pPr>
              <w:spacing w:after="0"/>
              <w:rPr>
                <w:sz w:val="1"/>
                <w:szCs w:val="1"/>
                <w:color w:val="auto"/>
              </w:rPr>
            </w:pPr>
          </w:p>
        </w:tc>
      </w:tr>
      <w:tr>
        <w:trPr>
          <w:trHeight w:val="225"/>
        </w:trPr>
        <w:tc>
          <w:tcPr>
            <w:tcW w:w="15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5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46,546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54,814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67,751</w:t>
            </w:r>
          </w:p>
        </w:tc>
        <w:tc>
          <w:tcPr>
            <w:tcW w:w="0" w:type="dxa"/>
            <w:vAlign w:val="bottom"/>
          </w:tcPr>
          <w:p>
            <w:pPr>
              <w:spacing w:after="0"/>
              <w:rPr>
                <w:sz w:val="1"/>
                <w:szCs w:val="1"/>
                <w:color w:val="auto"/>
              </w:rPr>
            </w:pPr>
          </w:p>
        </w:tc>
      </w:tr>
      <w:tr>
        <w:trPr>
          <w:trHeight w:val="225"/>
        </w:trPr>
        <w:tc>
          <w:tcPr>
            <w:tcW w:w="15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596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1,953</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2,904</w:t>
            </w:r>
          </w:p>
        </w:tc>
        <w:tc>
          <w:tcPr>
            <w:tcW w:w="0" w:type="dxa"/>
            <w:vAlign w:val="bottom"/>
          </w:tcPr>
          <w:p>
            <w:pPr>
              <w:spacing w:after="0"/>
              <w:rPr>
                <w:sz w:val="1"/>
                <w:szCs w:val="1"/>
                <w:color w:val="auto"/>
              </w:rPr>
            </w:pPr>
          </w:p>
        </w:tc>
      </w:tr>
      <w:tr>
        <w:trPr>
          <w:trHeight w:val="232"/>
        </w:trPr>
        <w:tc>
          <w:tcPr>
            <w:tcW w:w="7540" w:type="dxa"/>
            <w:vAlign w:val="bottom"/>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530,300</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557,510</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Rental equipment,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3,424,524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375,296</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363,073</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Operating lease assets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259,266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266,761</w:t>
            </w:r>
          </w:p>
        </w:tc>
        <w:tc>
          <w:tcPr>
            <w:tcW w:w="0" w:type="dxa"/>
            <w:vAlign w:val="bottom"/>
          </w:tcPr>
          <w:p>
            <w:pPr>
              <w:spacing w:after="0"/>
              <w:rPr>
                <w:sz w:val="1"/>
                <w:szCs w:val="1"/>
                <w:color w:val="auto"/>
              </w:rPr>
            </w:pPr>
          </w:p>
        </w:tc>
      </w:tr>
      <w:tr>
        <w:trPr>
          <w:trHeight w:val="239"/>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596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1,257,264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1,201,353</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246,794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251,164</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shd w:val="clear" w:color="auto" w:fill="DDDDDD"/>
          </w:tcPr>
          <w:p>
            <w:pPr>
              <w:spacing w:after="0"/>
              <w:rPr>
                <w:sz w:val="20"/>
                <w:szCs w:val="20"/>
                <w:color w:val="auto"/>
              </w:rPr>
            </w:pP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11,259</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17,111</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DDDDDD"/>
            </w:tcBorders>
            <w:gridSpan w:val="2"/>
          </w:tcPr>
          <w:p>
            <w:pPr>
              <w:ind w:left="440"/>
              <w:spacing w:after="0"/>
              <w:rPr>
                <w:sz w:val="20"/>
                <w:szCs w:val="20"/>
                <w:color w:val="auto"/>
              </w:rPr>
            </w:pPr>
            <w:r>
              <w:rPr>
                <w:rFonts w:ascii="Arial" w:cs="Arial" w:eastAsia="Arial" w:hAnsi="Arial"/>
                <w:sz w:val="15"/>
                <w:szCs w:val="15"/>
                <w:color w:val="auto"/>
              </w:rPr>
              <w:t>Total long-term assets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5,574,403</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5,477,401</w:t>
            </w:r>
          </w:p>
        </w:tc>
        <w:tc>
          <w:tcPr>
            <w:tcW w:w="0" w:type="dxa"/>
            <w:vAlign w:val="bottom"/>
          </w:tcPr>
          <w:p>
            <w:pPr>
              <w:spacing w:after="0"/>
              <w:rPr>
                <w:sz w:val="1"/>
                <w:szCs w:val="1"/>
                <w:color w:val="auto"/>
              </w:rPr>
            </w:pPr>
          </w:p>
        </w:tc>
      </w:tr>
      <w:tr>
        <w:trPr>
          <w:trHeight w:val="250"/>
        </w:trPr>
        <w:tc>
          <w:tcPr>
            <w:tcW w:w="1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5960" w:type="dxa"/>
            <w:vAlign w:val="bottom"/>
            <w:tcBorders>
              <w:bottom w:val="single" w:sz="8" w:color="DDDDDD"/>
            </w:tcBorders>
            <w:shd w:val="clear" w:color="auto" w:fill="DDDDDD"/>
          </w:tcPr>
          <w:p>
            <w:pPr>
              <w:spacing w:after="0"/>
              <w:rPr>
                <w:sz w:val="21"/>
                <w:szCs w:val="21"/>
                <w:color w:val="auto"/>
              </w:rPr>
            </w:pPr>
          </w:p>
        </w:tc>
        <w:tc>
          <w:tcPr>
            <w:tcW w:w="280" w:type="dxa"/>
            <w:vAlign w:val="bottom"/>
            <w:tcBorders>
              <w:bottom w:val="single" w:sz="8" w:color="auto"/>
            </w:tcBorders>
            <w:shd w:val="clear" w:color="auto" w:fill="DDDDDD"/>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6,104,703</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0"/>
        </w:trPr>
        <w:tc>
          <w:tcPr>
            <w:tcW w:w="15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59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5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6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596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115,628</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96,597</w:t>
            </w:r>
          </w:p>
        </w:tc>
        <w:tc>
          <w:tcPr>
            <w:tcW w:w="0" w:type="dxa"/>
            <w:vAlign w:val="bottom"/>
          </w:tcPr>
          <w:p>
            <w:pPr>
              <w:spacing w:after="0"/>
              <w:rPr>
                <w:sz w:val="1"/>
                <w:szCs w:val="1"/>
                <w:color w:val="auto"/>
              </w:rPr>
            </w:pPr>
          </w:p>
        </w:tc>
      </w:tr>
      <w:tr>
        <w:trPr>
          <w:trHeight w:val="225"/>
        </w:trPr>
        <w:tc>
          <w:tcPr>
            <w:tcW w:w="15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5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161,965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121,583</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43,060</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25,062</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240,251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250,790</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67,873</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66,378</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gridSpan w:val="2"/>
          </w:tcPr>
          <w:p>
            <w:pPr>
              <w:ind w:left="220"/>
              <w:spacing w:after="0"/>
              <w:rPr>
                <w:sz w:val="20"/>
                <w:szCs w:val="20"/>
                <w:color w:val="auto"/>
              </w:rPr>
            </w:pPr>
            <w:r>
              <w:rPr>
                <w:rFonts w:ascii="Arial" w:cs="Arial" w:eastAsia="Arial" w:hAnsi="Arial"/>
                <w:sz w:val="15"/>
                <w:szCs w:val="15"/>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26,928</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24,598</w:t>
            </w:r>
          </w:p>
        </w:tc>
        <w:tc>
          <w:tcPr>
            <w:tcW w:w="0" w:type="dxa"/>
            <w:vAlign w:val="bottom"/>
          </w:tcPr>
          <w:p>
            <w:pPr>
              <w:spacing w:after="0"/>
              <w:rPr>
                <w:sz w:val="1"/>
                <w:szCs w:val="1"/>
                <w:color w:val="auto"/>
              </w:rPr>
            </w:pPr>
          </w:p>
        </w:tc>
      </w:tr>
      <w:tr>
        <w:trPr>
          <w:trHeight w:val="232"/>
        </w:trPr>
        <w:tc>
          <w:tcPr>
            <w:tcW w:w="7540" w:type="dxa"/>
            <w:vAlign w:val="bottom"/>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655,705</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585,008</w:t>
            </w:r>
          </w:p>
        </w:tc>
        <w:tc>
          <w:tcPr>
            <w:tcW w:w="0" w:type="dxa"/>
            <w:vAlign w:val="bottom"/>
          </w:tcPr>
          <w:p>
            <w:pPr>
              <w:spacing w:after="0"/>
              <w:rPr>
                <w:sz w:val="1"/>
                <w:szCs w:val="1"/>
                <w:color w:val="auto"/>
              </w:rPr>
            </w:pPr>
          </w:p>
        </w:tc>
      </w:tr>
      <w:tr>
        <w:trPr>
          <w:trHeight w:val="225"/>
        </w:trPr>
        <w:tc>
          <w:tcPr>
            <w:tcW w:w="15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5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3,672,856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3,683,502</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499,936</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505,913</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192,552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200,875</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shd w:val="clear" w:color="auto" w:fill="DDDDDD"/>
          </w:tcPr>
          <w:p>
            <w:pPr>
              <w:spacing w:after="0"/>
              <w:rPr>
                <w:sz w:val="20"/>
                <w:szCs w:val="20"/>
                <w:color w:val="auto"/>
              </w:rPr>
            </w:pP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49,059</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41,020</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DDDDDD"/>
            </w:tcBorders>
            <w:gridSpan w:val="2"/>
          </w:tcPr>
          <w:p>
            <w:pPr>
              <w:ind w:left="440"/>
              <w:spacing w:after="0"/>
              <w:rPr>
                <w:sz w:val="20"/>
                <w:szCs w:val="20"/>
                <w:color w:val="auto"/>
              </w:rPr>
            </w:pPr>
            <w:r>
              <w:rPr>
                <w:rFonts w:ascii="Arial" w:cs="Arial" w:eastAsia="Arial" w:hAnsi="Arial"/>
                <w:sz w:val="15"/>
                <w:szCs w:val="15"/>
                <w:color w:val="auto"/>
              </w:rPr>
              <w:t>Long-term liabilities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4,414,403</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4,431,310</w:t>
            </w:r>
          </w:p>
        </w:tc>
        <w:tc>
          <w:tcPr>
            <w:tcW w:w="0" w:type="dxa"/>
            <w:vAlign w:val="bottom"/>
          </w:tcPr>
          <w:p>
            <w:pPr>
              <w:spacing w:after="0"/>
              <w:rPr>
                <w:sz w:val="1"/>
                <w:szCs w:val="1"/>
                <w:color w:val="auto"/>
              </w:rPr>
            </w:pPr>
          </w:p>
        </w:tc>
      </w:tr>
      <w:tr>
        <w:trPr>
          <w:trHeight w:val="232"/>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596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5,070,108</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5,016,318</w:t>
            </w:r>
          </w:p>
        </w:tc>
        <w:tc>
          <w:tcPr>
            <w:tcW w:w="0" w:type="dxa"/>
            <w:vAlign w:val="bottom"/>
          </w:tcPr>
          <w:p>
            <w:pPr>
              <w:spacing w:after="0"/>
              <w:rPr>
                <w:sz w:val="1"/>
                <w:szCs w:val="1"/>
                <w:color w:val="auto"/>
              </w:rPr>
            </w:pPr>
          </w:p>
        </w:tc>
      </w:tr>
      <w:tr>
        <w:trPr>
          <w:trHeight w:val="207"/>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Preferred Stock: $0.0001 par, 1,000,000 shares authorized and zero shares issued and outstanding at</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June 30, 2025 and December 31, 2024</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Common Stock: $0.0001 par, 500,000,000 shares authorized and 182,236,993 and 183,564,899 shares</w:t>
            </w:r>
          </w:p>
        </w:tc>
        <w:tc>
          <w:tcPr>
            <w:tcW w:w="28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issued and outstanding at June 30, 2025 and December 31, 2024, respectively</w:t>
            </w:r>
          </w:p>
        </w:tc>
        <w:tc>
          <w:tcPr>
            <w:tcW w:w="280" w:type="dxa"/>
            <w:vAlign w:val="bottom"/>
            <w:shd w:val="clear" w:color="auto" w:fill="DDDDDD"/>
          </w:tcPr>
          <w:p>
            <w:pPr>
              <w:spacing w:after="0"/>
              <w:rPr>
                <w:sz w:val="18"/>
                <w:szCs w:val="18"/>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25"/>
        </w:trPr>
        <w:tc>
          <w:tcPr>
            <w:tcW w:w="7540" w:type="dxa"/>
            <w:vAlign w:val="bottom"/>
            <w:gridSpan w:val="2"/>
          </w:tcPr>
          <w:p>
            <w:pPr>
              <w:ind w:left="220"/>
              <w:spacing w:after="0"/>
              <w:rPr>
                <w:sz w:val="20"/>
                <w:szCs w:val="20"/>
                <w:color w:val="auto"/>
              </w:rPr>
            </w:pPr>
            <w:r>
              <w:rPr>
                <w:rFonts w:ascii="Arial" w:cs="Arial" w:eastAsia="Arial" w:hAnsi="Arial"/>
                <w:sz w:val="15"/>
                <w:szCs w:val="15"/>
                <w:color w:val="auto"/>
              </w:rPr>
              <w:t>Additional paid-in-capital</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1,756,797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1,836,165</w:t>
            </w:r>
          </w:p>
        </w:tc>
        <w:tc>
          <w:tcPr>
            <w:tcW w:w="0" w:type="dxa"/>
            <w:vAlign w:val="bottom"/>
          </w:tcPr>
          <w:p>
            <w:pPr>
              <w:spacing w:after="0"/>
              <w:rPr>
                <w:sz w:val="1"/>
                <w:szCs w:val="1"/>
                <w:color w:val="auto"/>
              </w:rPr>
            </w:pPr>
          </w:p>
        </w:tc>
      </w:tr>
      <w:tr>
        <w:trPr>
          <w:trHeight w:val="239"/>
        </w:trPr>
        <w:tc>
          <w:tcPr>
            <w:tcW w:w="754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DDDDDD"/>
          </w:tcPr>
          <w:p>
            <w:pPr>
              <w:spacing w:after="0"/>
              <w:rPr>
                <w:sz w:val="20"/>
                <w:szCs w:val="20"/>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(66,251)</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25"/>
        </w:trPr>
        <w:tc>
          <w:tcPr>
            <w:tcW w:w="15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Accumulated deficit</w:t>
            </w:r>
          </w:p>
        </w:tc>
        <w:tc>
          <w:tcPr>
            <w:tcW w:w="596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(655,970)</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(746,964)</w:t>
            </w:r>
          </w:p>
        </w:tc>
        <w:tc>
          <w:tcPr>
            <w:tcW w:w="0" w:type="dxa"/>
            <w:vAlign w:val="bottom"/>
          </w:tcPr>
          <w:p>
            <w:pPr>
              <w:spacing w:after="0"/>
              <w:rPr>
                <w:sz w:val="1"/>
                <w:szCs w:val="1"/>
                <w:color w:val="auto"/>
              </w:rPr>
            </w:pPr>
          </w:p>
        </w:tc>
      </w:tr>
      <w:tr>
        <w:trPr>
          <w:trHeight w:val="232"/>
        </w:trPr>
        <w:tc>
          <w:tcPr>
            <w:tcW w:w="7540" w:type="dxa"/>
            <w:vAlign w:val="bottom"/>
            <w:gridSpan w:val="2"/>
            <w:shd w:val="clear" w:color="auto" w:fill="DDDDDD"/>
          </w:tcPr>
          <w:p>
            <w:pPr>
              <w:ind w:left="20"/>
              <w:spacing w:after="0"/>
              <w:rPr>
                <w:sz w:val="20"/>
                <w:szCs w:val="20"/>
                <w:color w:val="auto"/>
              </w:rPr>
            </w:pPr>
            <w:r>
              <w:rPr>
                <w:rFonts w:ascii="Arial" w:cs="Arial" w:eastAsia="Arial" w:hAnsi="Arial"/>
                <w:sz w:val="15"/>
                <w:szCs w:val="15"/>
                <w:color w:val="auto"/>
              </w:rPr>
              <w:t>Total shareholders' equity</w:t>
            </w:r>
          </w:p>
        </w:tc>
        <w:tc>
          <w:tcPr>
            <w:tcW w:w="280" w:type="dxa"/>
            <w:vAlign w:val="bottom"/>
            <w:tcBorders>
              <w:bottom w:val="single" w:sz="8" w:color="auto"/>
            </w:tcBorders>
            <w:shd w:val="clear" w:color="auto" w:fill="DDDDDD"/>
          </w:tcPr>
          <w:p>
            <w:pPr>
              <w:spacing w:after="0"/>
              <w:rPr>
                <w:sz w:val="20"/>
                <w:szCs w:val="20"/>
                <w:color w:val="auto"/>
              </w:rPr>
            </w:pP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1,034,595</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18"/>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6,104,703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 w:name="page4"/>
    <w:bookmarkEnd w:id="3"/>
    <w:p>
      <w:pPr>
        <w:ind w:left="444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ind w:left="308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22"/>
          <w:szCs w:val="22"/>
          <w:color w:val="1D2758"/>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amounts)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442,916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458,592</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877,306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919,193</w:t>
            </w: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108,452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108,147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197,113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208,509</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21,620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44,057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34,877</w:t>
            </w:r>
          </w:p>
        </w:tc>
      </w:tr>
      <w:tr>
        <w:trPr>
          <w:trHeight w:val="232"/>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16,095</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30,158</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29,192</w:t>
            </w:r>
          </w:p>
        </w:tc>
      </w:tr>
      <w:tr>
        <w:trPr>
          <w:trHeight w:val="225"/>
        </w:trPr>
        <w:tc>
          <w:tcPr>
            <w:tcW w:w="47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589,083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604,590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1,148,634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1,191,771</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95,338</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98,248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183,408</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200,642</w:t>
            </w: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88,154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81,170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161,950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159,012</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13,552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28,750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21,631</w:t>
            </w: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7,525</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9,085</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15,694</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15,961</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88,444</w:t>
            </w:r>
          </w:p>
        </w:tc>
        <w:tc>
          <w:tcPr>
            <w:tcW w:w="8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75,611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162,396</w:t>
            </w:r>
          </w:p>
        </w:tc>
        <w:tc>
          <w:tcPr>
            <w:tcW w:w="8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150,519</w:t>
            </w:r>
          </w:p>
        </w:tc>
      </w:tr>
      <w:tr>
        <w:trPr>
          <w:trHeight w:val="232"/>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296,070</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327,118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596,436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644,006</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145,023</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180,793</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302,169</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349,107</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24,188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47,328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36,055</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Currency (gains) losses,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38</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924</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461</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1,555</w:t>
            </w: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Operating income (loss)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126,900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246,334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124,714</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58,977</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55,548</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117,446</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112,136</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Income (loss) before income tax</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67,923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128,888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12,578</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19,984</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(13,929)</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37,894</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3,189</w:t>
            </w:r>
          </w:p>
        </w:tc>
      </w:tr>
      <w:tr>
        <w:trPr>
          <w:trHeight w:val="232"/>
        </w:trPr>
        <w:tc>
          <w:tcPr>
            <w:tcW w:w="47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47,939</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90,994</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9,389</w:t>
            </w:r>
          </w:p>
        </w:tc>
      </w:tr>
      <w:tr>
        <w:trPr>
          <w:trHeight w:val="20"/>
        </w:trPr>
        <w:tc>
          <w:tcPr>
            <w:tcW w:w="474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7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Earnings (loss)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0.50</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0.05</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Diluted</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0.26</w:t>
            </w:r>
          </w:p>
        </w:tc>
        <w:tc>
          <w:tcPr>
            <w:tcW w:w="80" w:type="dxa"/>
            <w:vAlign w:val="bottom"/>
          </w:tcPr>
          <w:p>
            <w:pPr>
              <w:spacing w:after="0"/>
              <w:rPr>
                <w:sz w:val="19"/>
                <w:szCs w:val="19"/>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0.49</w:t>
            </w:r>
          </w:p>
        </w:tc>
        <w:tc>
          <w:tcPr>
            <w:tcW w:w="80" w:type="dxa"/>
            <w:vAlign w:val="bottom"/>
          </w:tcPr>
          <w:p>
            <w:pPr>
              <w:spacing w:after="0"/>
              <w:rPr>
                <w:sz w:val="19"/>
                <w:szCs w:val="19"/>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0.05</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Basic</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182,468,243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189,680,091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183,071,055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189,908,812</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183,439,165</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189,680,091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184,367,127</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192,409,616</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Income (Loss)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26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c>
          <w:tcPr>
            <w:tcW w:w="0" w:type="dxa"/>
            <w:vAlign w:val="bottom"/>
          </w:tcPr>
          <w:p>
            <w:pPr>
              <w:spacing w:after="0"/>
              <w:rPr>
                <w:sz w:val="1"/>
                <w:szCs w:val="1"/>
                <w:color w:val="auto"/>
              </w:rPr>
            </w:pPr>
          </w:p>
        </w:tc>
      </w:tr>
      <w:tr>
        <w:trPr>
          <w:trHeight w:val="214"/>
        </w:trPr>
        <w:tc>
          <w:tcPr>
            <w:tcW w:w="474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620" w:type="dxa"/>
            <w:vAlign w:val="bottom"/>
            <w:gridSpan w:val="3"/>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June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5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9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vMerge w:val="restart"/>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187"/>
        </w:trPr>
        <w:tc>
          <w:tcPr>
            <w:tcW w:w="4740" w:type="dxa"/>
            <w:vAlign w:val="bottom"/>
            <w:shd w:val="clear" w:color="auto" w:fill="1D2758"/>
          </w:tcPr>
          <w:p>
            <w:pPr>
              <w:spacing w:after="0"/>
              <w:rPr>
                <w:sz w:val="16"/>
                <w:szCs w:val="16"/>
                <w:color w:val="auto"/>
              </w:rPr>
            </w:pPr>
          </w:p>
        </w:tc>
        <w:tc>
          <w:tcPr>
            <w:tcW w:w="980" w:type="dxa"/>
            <w:vAlign w:val="bottom"/>
            <w:vMerge w:val="continue"/>
            <w:shd w:val="clear" w:color="auto" w:fill="1D2758"/>
          </w:tcPr>
          <w:p>
            <w:pPr>
              <w:spacing w:after="0"/>
              <w:rPr>
                <w:sz w:val="16"/>
                <w:szCs w:val="16"/>
                <w:color w:val="auto"/>
              </w:rPr>
            </w:pPr>
          </w:p>
        </w:tc>
        <w:tc>
          <w:tcPr>
            <w:tcW w:w="5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960" w:type="dxa"/>
            <w:vAlign w:val="bottom"/>
            <w:vMerge w:val="continue"/>
            <w:shd w:val="clear" w:color="auto" w:fill="1D2758"/>
          </w:tcPr>
          <w:p>
            <w:pPr>
              <w:spacing w:after="0"/>
              <w:rPr>
                <w:sz w:val="16"/>
                <w:szCs w:val="16"/>
                <w:color w:val="auto"/>
              </w:rPr>
            </w:pPr>
          </w:p>
        </w:tc>
        <w:tc>
          <w:tcPr>
            <w:tcW w:w="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200" w:type="dxa"/>
            <w:vAlign w:val="bottom"/>
            <w:vMerge w:val="continue"/>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1120" w:type="dxa"/>
            <w:vAlign w:val="bottom"/>
            <w:vMerge w:val="continue"/>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980" w:type="dxa"/>
            <w:vAlign w:val="bottom"/>
            <w:shd w:val="clear" w:color="auto" w:fill="DBDBDB"/>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47,939</w:t>
            </w:r>
          </w:p>
        </w:tc>
        <w:tc>
          <w:tcPr>
            <w:tcW w:w="80" w:type="dxa"/>
            <w:vAlign w:val="bottom"/>
            <w:shd w:val="clear" w:color="auto" w:fill="DBDBDB"/>
          </w:tcPr>
          <w:p>
            <w:pPr>
              <w:spacing w:after="0"/>
              <w:rPr>
                <w:sz w:val="20"/>
                <w:szCs w:val="20"/>
                <w:color w:val="auto"/>
              </w:rPr>
            </w:pPr>
          </w:p>
        </w:tc>
        <w:tc>
          <w:tcPr>
            <w:tcW w:w="96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90,994</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9,389</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translation adjustment, net of income tax expense</w:t>
            </w:r>
          </w:p>
        </w:tc>
        <w:tc>
          <w:tcPr>
            <w:tcW w:w="9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of $0</w:t>
            </w:r>
          </w:p>
        </w:tc>
        <w:tc>
          <w:tcPr>
            <w:tcW w:w="980" w:type="dxa"/>
            <w:vAlign w:val="bottom"/>
            <w:shd w:val="clear" w:color="auto" w:fill="DBDBDB"/>
          </w:tcPr>
          <w:p>
            <w:pPr>
              <w:spacing w:after="0"/>
              <w:rPr>
                <w:sz w:val="18"/>
                <w:szCs w:val="18"/>
                <w:color w:val="auto"/>
              </w:rPr>
            </w:pPr>
          </w:p>
        </w:tc>
        <w:tc>
          <w:tcPr>
            <w:tcW w:w="5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16,278</w:t>
            </w:r>
          </w:p>
        </w:tc>
        <w:tc>
          <w:tcPr>
            <w:tcW w:w="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(4,154)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16,439</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(9,702)</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5"/>
                <w:szCs w:val="15"/>
                <w:color w:val="auto"/>
              </w:rPr>
              <w:t>Net (loss) gain on derivatives, net of income tax (benefit) expense of</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5"/>
                <w:szCs w:val="15"/>
                <w:color w:val="auto"/>
              </w:rPr>
              <w:t>$(1,298) and $535 for the three months ended June 30, 2025 and</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Arial" w:cs="Arial" w:eastAsia="Arial" w:hAnsi="Arial"/>
                <w:sz w:val="15"/>
                <w:szCs w:val="15"/>
                <w:color w:val="auto"/>
              </w:rPr>
              <w:t>2024, respectively, and $(3,991) and $5,050 for the six months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ended June 30, 2025 and 2024, respectively</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(3,922)</w:t>
            </w:r>
          </w:p>
        </w:tc>
        <w:tc>
          <w:tcPr>
            <w:tcW w:w="80" w:type="dxa"/>
            <w:vAlign w:val="bottom"/>
            <w:tcBorders>
              <w:bottom w:val="single" w:sz="8" w:color="DBDBDB"/>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(12,063)</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15,164</w:t>
            </w:r>
          </w:p>
        </w:tc>
        <w:tc>
          <w:tcPr>
            <w:tcW w:w="0" w:type="dxa"/>
            <w:vAlign w:val="bottom"/>
          </w:tcPr>
          <w:p>
            <w:pPr>
              <w:spacing w:after="0"/>
              <w:rPr>
                <w:sz w:val="1"/>
                <w:szCs w:val="1"/>
                <w:color w:val="auto"/>
              </w:rPr>
            </w:pPr>
          </w:p>
        </w:tc>
      </w:tr>
      <w:tr>
        <w:trPr>
          <w:trHeight w:val="225"/>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98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12,356</w:t>
            </w:r>
          </w:p>
        </w:tc>
        <w:tc>
          <w:tcPr>
            <w:tcW w:w="80" w:type="dxa"/>
            <w:vAlign w:val="bottom"/>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4,376</w:t>
            </w:r>
          </w:p>
        </w:tc>
        <w:tc>
          <w:tcPr>
            <w:tcW w:w="8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5,462</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5"/>
                <w:szCs w:val="15"/>
                <w:color w:val="auto"/>
              </w:rPr>
              <w:t>Total comprehensive income (loss)</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60,295</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(49,381)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95,370</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center"/>
        <w:ind w:left="340" w:right="2700"/>
        <w:spacing w:after="0" w:line="355" w:lineRule="auto"/>
        <w:rPr>
          <w:sz w:val="20"/>
          <w:szCs w:val="20"/>
          <w:color w:val="auto"/>
        </w:rPr>
      </w:pPr>
      <w:r>
        <w:rPr>
          <w:rFonts w:ascii="Arial" w:cs="Arial" w:eastAsia="Arial" w:hAnsi="Arial"/>
          <w:sz w:val="22"/>
          <w:szCs w:val="22"/>
          <w:color w:val="1D2758"/>
        </w:rPr>
        <w:t>WillScot Holdings Corporation Condensed Consolidated Statements of Changes in Equity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shd w:val="clear" w:color="auto" w:fill="1D2758"/>
          </w:tcPr>
          <w:p>
            <w:pPr>
              <w:spacing w:after="0"/>
              <w:rPr>
                <w:sz w:val="20"/>
                <w:szCs w:val="20"/>
                <w:color w:val="auto"/>
              </w:rPr>
            </w:pPr>
          </w:p>
        </w:tc>
        <w:tc>
          <w:tcPr>
            <w:tcW w:w="3420" w:type="dxa"/>
            <w:vAlign w:val="bottom"/>
            <w:gridSpan w:val="5"/>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Six Months Ended June 30, 2025</w:t>
            </w:r>
          </w:p>
        </w:tc>
        <w:tc>
          <w:tcPr>
            <w:tcW w:w="140" w:type="dxa"/>
            <w:vAlign w:val="bottom"/>
            <w:shd w:val="clear" w:color="auto" w:fill="1D2758"/>
          </w:tcPr>
          <w:p>
            <w:pPr>
              <w:spacing w:after="0"/>
              <w:rPr>
                <w:sz w:val="20"/>
                <w:szCs w:val="20"/>
                <w:color w:val="auto"/>
              </w:rPr>
            </w:pPr>
          </w:p>
        </w:tc>
        <w:tc>
          <w:tcPr>
            <w:tcW w:w="110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4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1D2758"/>
          </w:tcPr>
          <w:p>
            <w:pPr>
              <w:spacing w:after="0"/>
              <w:rPr>
                <w:sz w:val="15"/>
                <w:szCs w:val="15"/>
                <w:color w:val="auto"/>
              </w:rPr>
            </w:pPr>
          </w:p>
        </w:tc>
        <w:tc>
          <w:tcPr>
            <w:tcW w:w="2020" w:type="dxa"/>
            <w:vAlign w:val="bottom"/>
            <w:gridSpan w:val="2"/>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Other</w:t>
            </w:r>
          </w:p>
        </w:tc>
        <w:tc>
          <w:tcPr>
            <w:tcW w:w="2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3"/>
        </w:trPr>
        <w:tc>
          <w:tcPr>
            <w:tcW w:w="4280" w:type="dxa"/>
            <w:vAlign w:val="bottom"/>
            <w:shd w:val="clear" w:color="auto" w:fill="1D2758"/>
          </w:tcPr>
          <w:p>
            <w:pPr>
              <w:spacing w:after="0"/>
              <w:rPr>
                <w:sz w:val="16"/>
                <w:szCs w:val="16"/>
                <w:color w:val="auto"/>
              </w:rPr>
            </w:pPr>
          </w:p>
        </w:tc>
        <w:tc>
          <w:tcPr>
            <w:tcW w:w="2020" w:type="dxa"/>
            <w:vAlign w:val="bottom"/>
            <w:gridSpan w:val="2"/>
            <w:vMerge w:val="continue"/>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Comprehensive</w:t>
            </w:r>
          </w:p>
        </w:tc>
        <w:tc>
          <w:tcPr>
            <w:tcW w:w="1160" w:type="dxa"/>
            <w:vAlign w:val="bottom"/>
            <w:gridSpan w:val="2"/>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20"/>
        </w:trPr>
        <w:tc>
          <w:tcPr>
            <w:tcW w:w="42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4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8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9"/>
                <w:szCs w:val="19"/>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19"/>
                <w:szCs w:val="19"/>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Loss</w:t>
            </w:r>
          </w:p>
        </w:tc>
        <w:tc>
          <w:tcPr>
            <w:tcW w:w="240" w:type="dxa"/>
            <w:vAlign w:val="bottom"/>
            <w:shd w:val="clear" w:color="auto" w:fill="1D2758"/>
          </w:tcPr>
          <w:p>
            <w:pPr>
              <w:spacing w:after="0"/>
              <w:rPr>
                <w:sz w:val="19"/>
                <w:szCs w:val="19"/>
                <w:color w:val="auto"/>
              </w:rPr>
            </w:pPr>
          </w:p>
        </w:tc>
        <w:tc>
          <w:tcPr>
            <w:tcW w:w="92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183,565</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1,836,165</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(746,964)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43,055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43,055</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0" w:type="dxa"/>
            <w:vAlign w:val="bottom"/>
          </w:tcPr>
          <w:p>
            <w:pPr>
              <w:spacing w:after="0"/>
              <w:rPr>
                <w:sz w:val="1"/>
                <w:szCs w:val="1"/>
                <w:color w:val="auto"/>
              </w:rPr>
            </w:pPr>
          </w:p>
        </w:tc>
      </w:tr>
      <w:tr>
        <w:trPr>
          <w:trHeight w:val="207"/>
        </w:trPr>
        <w:tc>
          <w:tcPr>
            <w:tcW w:w="428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8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(7,718)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(7,718)</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451</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tcPr>
          <w:p>
            <w:pPr>
              <w:jc w:val="right"/>
              <w:spacing w:after="0"/>
              <w:rPr>
                <w:sz w:val="20"/>
                <w:szCs w:val="20"/>
                <w:color w:val="auto"/>
              </w:rPr>
            </w:pPr>
            <w:r>
              <w:rPr>
                <w:rFonts w:ascii="Arial" w:cs="Arial" w:eastAsia="Arial" w:hAnsi="Arial"/>
                <w:sz w:val="15"/>
                <w:szCs w:val="15"/>
                <w:color w:val="auto"/>
              </w:rPr>
              <w:t>(1,095)</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(32,117)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(32,117)</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2025</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183,109</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1,793,859</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(78,607)</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(703,909)</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1,011,362</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47,939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47,939</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12,356</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12,356</w:t>
            </w:r>
          </w:p>
        </w:tc>
        <w:tc>
          <w:tcPr>
            <w:tcW w:w="0" w:type="dxa"/>
            <w:vAlign w:val="bottom"/>
          </w:tcPr>
          <w:p>
            <w:pPr>
              <w:spacing w:after="0"/>
              <w:rPr>
                <w:sz w:val="1"/>
                <w:szCs w:val="1"/>
                <w:color w:val="auto"/>
              </w:rPr>
            </w:pPr>
          </w:p>
        </w:tc>
      </w:tr>
      <w:tr>
        <w:trPr>
          <w:trHeight w:val="207"/>
        </w:trPr>
        <w:tc>
          <w:tcPr>
            <w:tcW w:w="428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8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63</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8,373</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tcPr>
          <w:p>
            <w:pPr>
              <w:jc w:val="right"/>
              <w:spacing w:after="0"/>
              <w:rPr>
                <w:sz w:val="20"/>
                <w:szCs w:val="20"/>
                <w:color w:val="auto"/>
              </w:rPr>
            </w:pPr>
            <w:r>
              <w:rPr>
                <w:rFonts w:ascii="Arial" w:cs="Arial" w:eastAsia="Arial" w:hAnsi="Arial"/>
                <w:sz w:val="15"/>
                <w:szCs w:val="15"/>
                <w:color w:val="auto"/>
              </w:rPr>
              <w:t>(1,533)</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(40,079)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(40,079)</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(12,899)</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(12,899)</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598</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7,808</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7,808</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2025</w:t>
            </w: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182,237</w:t>
            </w:r>
          </w:p>
        </w:tc>
        <w:tc>
          <w:tcPr>
            <w:tcW w:w="880" w:type="dxa"/>
            <w:vAlign w:val="bottom"/>
            <w:tcBorders>
              <w:bottom w:val="single" w:sz="8" w:color="auto"/>
            </w:tcBorders>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1,756,797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(66,251)</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(655,970)</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1,034,595</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2"/>
        </w:trPr>
        <w:tc>
          <w:tcPr>
            <w:tcW w:w="4340" w:type="dxa"/>
            <w:vAlign w:val="bottom"/>
            <w:shd w:val="clear" w:color="auto" w:fill="1D2758"/>
          </w:tcPr>
          <w:p>
            <w:pPr>
              <w:spacing w:after="0"/>
              <w:rPr>
                <w:sz w:val="20"/>
                <w:szCs w:val="20"/>
                <w:color w:val="auto"/>
              </w:rPr>
            </w:pPr>
          </w:p>
        </w:tc>
        <w:tc>
          <w:tcPr>
            <w:tcW w:w="3400" w:type="dxa"/>
            <w:vAlign w:val="bottom"/>
            <w:gridSpan w:val="5"/>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 June 30, 2024</w:t>
            </w:r>
          </w:p>
        </w:tc>
        <w:tc>
          <w:tcPr>
            <w:tcW w:w="120" w:type="dxa"/>
            <w:vAlign w:val="bottom"/>
            <w:shd w:val="clear" w:color="auto" w:fill="1D2758"/>
          </w:tcPr>
          <w:p>
            <w:pPr>
              <w:spacing w:after="0"/>
              <w:rPr>
                <w:sz w:val="20"/>
                <w:szCs w:val="20"/>
                <w:color w:val="auto"/>
              </w:rPr>
            </w:pPr>
          </w:p>
        </w:tc>
        <w:tc>
          <w:tcPr>
            <w:tcW w:w="11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7"/>
                <w:szCs w:val="17"/>
                <w:color w:val="auto"/>
              </w:rPr>
            </w:pPr>
          </w:p>
        </w:tc>
        <w:tc>
          <w:tcPr>
            <w:tcW w:w="9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shd w:val="clear" w:color="auto" w:fill="1D2758"/>
          </w:tcPr>
          <w:p>
            <w:pPr>
              <w:spacing w:after="0"/>
              <w:rPr>
                <w:sz w:val="16"/>
                <w:szCs w:val="16"/>
                <w:color w:val="auto"/>
              </w:rPr>
            </w:pPr>
          </w:p>
        </w:tc>
        <w:tc>
          <w:tcPr>
            <w:tcW w:w="200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98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w w:val="99"/>
              </w:rPr>
              <w:t>Other</w:t>
            </w:r>
          </w:p>
        </w:tc>
        <w:tc>
          <w:tcPr>
            <w:tcW w:w="22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9"/>
        </w:trPr>
        <w:tc>
          <w:tcPr>
            <w:tcW w:w="4340" w:type="dxa"/>
            <w:vAlign w:val="bottom"/>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80" w:type="dxa"/>
            <w:vAlign w:val="bottom"/>
            <w:shd w:val="clear" w:color="auto" w:fill="1D2758"/>
          </w:tcPr>
          <w:p>
            <w:pPr>
              <w:jc w:val="right"/>
              <w:ind w:right="123"/>
              <w:spacing w:after="0" w:line="169"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Comprehensive</w:t>
            </w:r>
          </w:p>
        </w:tc>
        <w:tc>
          <w:tcPr>
            <w:tcW w:w="1120" w:type="dxa"/>
            <w:vAlign w:val="bottom"/>
            <w:gridSpan w:val="2"/>
            <w:shd w:val="clear" w:color="auto" w:fill="1D2758"/>
          </w:tcPr>
          <w:p>
            <w:pPr>
              <w:jc w:val="right"/>
              <w:ind w:right="3"/>
              <w:spacing w:after="0" w:line="169"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45"/>
        </w:trPr>
        <w:tc>
          <w:tcPr>
            <w:tcW w:w="4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21"/>
                <w:szCs w:val="21"/>
                <w:color w:val="auto"/>
              </w:rPr>
            </w:pPr>
          </w:p>
        </w:tc>
        <w:tc>
          <w:tcPr>
            <w:tcW w:w="11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21"/>
                <w:szCs w:val="21"/>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21"/>
                <w:szCs w:val="21"/>
                <w:color w:val="auto"/>
              </w:rPr>
            </w:pPr>
          </w:p>
        </w:tc>
        <w:tc>
          <w:tcPr>
            <w:tcW w:w="90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189,967</w:t>
            </w:r>
          </w:p>
        </w:tc>
        <w:tc>
          <w:tcPr>
            <w:tcW w:w="880" w:type="dxa"/>
            <w:vAlign w:val="bottom"/>
            <w:shd w:val="clear" w:color="auto" w:fill="DBDBDB"/>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2,089,091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(775,093)</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25"/>
        </w:trPr>
        <w:tc>
          <w:tcPr>
            <w:tcW w:w="434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56,240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39"/>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7,992</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0" w:type="dxa"/>
            <w:vAlign w:val="bottom"/>
          </w:tcPr>
          <w:p>
            <w:pPr>
              <w:spacing w:after="0"/>
              <w:rPr>
                <w:sz w:val="1"/>
                <w:szCs w:val="1"/>
                <w:color w:val="auto"/>
              </w:rPr>
            </w:pPr>
          </w:p>
        </w:tc>
      </w:tr>
      <w:tr>
        <w:trPr>
          <w:trHeight w:val="194"/>
        </w:trPr>
        <w:tc>
          <w:tcPr>
            <w:tcW w:w="434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(14,524)</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39"/>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628</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9,099</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32"/>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2024</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190,598</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2,083,735</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(44,776)</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(718,853)</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1,320,126</w:t>
            </w:r>
          </w:p>
        </w:tc>
        <w:tc>
          <w:tcPr>
            <w:tcW w:w="0" w:type="dxa"/>
            <w:vAlign w:val="bottom"/>
          </w:tcPr>
          <w:p>
            <w:pPr>
              <w:spacing w:after="0"/>
              <w:rPr>
                <w:sz w:val="1"/>
                <w:szCs w:val="1"/>
                <w:color w:val="auto"/>
              </w:rPr>
            </w:pPr>
          </w:p>
        </w:tc>
      </w:tr>
      <w:tr>
        <w:trPr>
          <w:trHeight w:val="225"/>
        </w:trPr>
        <w:tc>
          <w:tcPr>
            <w:tcW w:w="434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(46,851)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(46,851)</w:t>
            </w:r>
          </w:p>
        </w:tc>
        <w:tc>
          <w:tcPr>
            <w:tcW w:w="0" w:type="dxa"/>
            <w:vAlign w:val="bottom"/>
          </w:tcPr>
          <w:p>
            <w:pPr>
              <w:spacing w:after="0"/>
              <w:rPr>
                <w:sz w:val="1"/>
                <w:szCs w:val="1"/>
                <w:color w:val="auto"/>
              </w:rPr>
            </w:pPr>
          </w:p>
        </w:tc>
      </w:tr>
      <w:tr>
        <w:trPr>
          <w:trHeight w:val="239"/>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0" w:type="dxa"/>
            <w:vAlign w:val="bottom"/>
          </w:tcPr>
          <w:p>
            <w:pPr>
              <w:spacing w:after="0"/>
              <w:rPr>
                <w:sz w:val="1"/>
                <w:szCs w:val="1"/>
                <w:color w:val="auto"/>
              </w:rPr>
            </w:pPr>
          </w:p>
        </w:tc>
      </w:tr>
      <w:tr>
        <w:trPr>
          <w:trHeight w:val="225"/>
        </w:trPr>
        <w:tc>
          <w:tcPr>
            <w:tcW w:w="434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120" w:type="dxa"/>
            <w:vAlign w:val="bottom"/>
          </w:tcPr>
          <w:p>
            <w:pPr>
              <w:jc w:val="right"/>
              <w:spacing w:after="0"/>
              <w:rPr>
                <w:sz w:val="20"/>
                <w:szCs w:val="20"/>
                <w:color w:val="auto"/>
              </w:rPr>
            </w:pPr>
            <w:r>
              <w:rPr>
                <w:rFonts w:ascii="Arial" w:cs="Arial" w:eastAsia="Arial" w:hAnsi="Arial"/>
                <w:sz w:val="15"/>
                <w:szCs w:val="15"/>
                <w:color w:val="auto"/>
              </w:rPr>
              <w:t>26</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9,614</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9,614</w:t>
            </w:r>
          </w:p>
        </w:tc>
        <w:tc>
          <w:tcPr>
            <w:tcW w:w="0" w:type="dxa"/>
            <w:vAlign w:val="bottom"/>
          </w:tcPr>
          <w:p>
            <w:pPr>
              <w:spacing w:after="0"/>
              <w:rPr>
                <w:sz w:val="1"/>
                <w:szCs w:val="1"/>
                <w:color w:val="auto"/>
              </w:rPr>
            </w:pPr>
          </w:p>
        </w:tc>
      </w:tr>
      <w:tr>
        <w:trPr>
          <w:trHeight w:val="239"/>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(2,036)</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(79,074)</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(79,075)</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188,592</w:t>
            </w:r>
          </w:p>
        </w:tc>
        <w:tc>
          <w:tcPr>
            <w:tcW w:w="880" w:type="dxa"/>
            <w:vAlign w:val="bottom"/>
            <w:tcBorders>
              <w:bottom w:val="single" w:sz="8" w:color="auto"/>
            </w:tcBorders>
            <w:shd w:val="clear" w:color="auto" w:fill="DBDBDB"/>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2,014,327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(765,704)</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1,201,336</w:t>
            </w:r>
          </w:p>
        </w:tc>
        <w:tc>
          <w:tcPr>
            <w:tcW w:w="0" w:type="dxa"/>
            <w:vAlign w:val="bottom"/>
          </w:tcPr>
          <w:p>
            <w:pPr>
              <w:spacing w:after="0"/>
              <w:rPr>
                <w:sz w:val="1"/>
                <w:szCs w:val="1"/>
                <w:color w:val="auto"/>
              </w:rPr>
            </w:pP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shd w:val="clear" w:color="auto" w:fill="1D2758"/>
          </w:tcPr>
          <w:p>
            <w:pPr>
              <w:spacing w:after="0"/>
              <w:rPr>
                <w:sz w:val="18"/>
                <w:szCs w:val="18"/>
                <w:color w:val="auto"/>
              </w:rPr>
            </w:pPr>
          </w:p>
        </w:tc>
        <w:tc>
          <w:tcPr>
            <w:tcW w:w="3000" w:type="dxa"/>
            <w:vAlign w:val="bottom"/>
            <w:gridSpan w:val="4"/>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Six Months Ended June 30,</w:t>
            </w:r>
          </w:p>
        </w:tc>
        <w:tc>
          <w:tcPr>
            <w:tcW w:w="7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70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70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40" w:type="dxa"/>
            <w:vAlign w:val="bottom"/>
            <w:shd w:val="clear" w:color="auto" w:fill="1D2758"/>
          </w:tcPr>
          <w:p>
            <w:pPr>
              <w:spacing w:after="0"/>
              <w:rPr>
                <w:sz w:val="16"/>
                <w:szCs w:val="16"/>
                <w:color w:val="auto"/>
              </w:rPr>
            </w:pPr>
          </w:p>
        </w:tc>
        <w:tc>
          <w:tcPr>
            <w:tcW w:w="1100" w:type="dxa"/>
            <w:vAlign w:val="bottom"/>
            <w:vMerge w:val="continue"/>
            <w:shd w:val="clear" w:color="auto" w:fill="1D2758"/>
          </w:tcPr>
          <w:p>
            <w:pPr>
              <w:spacing w:after="0"/>
              <w:rPr>
                <w:sz w:val="16"/>
                <w:szCs w:val="16"/>
                <w:color w:val="auto"/>
              </w:rPr>
            </w:pPr>
          </w:p>
        </w:tc>
        <w:tc>
          <w:tcPr>
            <w:tcW w:w="7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00" w:type="dxa"/>
            <w:vAlign w:val="bottom"/>
            <w:vMerge w:val="continue"/>
            <w:shd w:val="clear" w:color="auto" w:fill="1D2758"/>
          </w:tcPr>
          <w:p>
            <w:pPr>
              <w:spacing w:after="0"/>
              <w:rPr>
                <w:sz w:val="16"/>
                <w:szCs w:val="16"/>
                <w:color w:val="auto"/>
              </w:rPr>
            </w:pPr>
          </w:p>
        </w:tc>
        <w:tc>
          <w:tcPr>
            <w:tcW w:w="7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90,994</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9,389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209,724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186,574</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19,756</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23,196</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Impairment loss on intangible asset</w:t>
            </w:r>
          </w:p>
        </w:tc>
        <w:tc>
          <w:tcPr>
            <w:tcW w:w="1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(14,338)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(12,523)</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6,974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5,916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16,714</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18,713</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Deferred income tax expense (benefit)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(22,995)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Unrealized currency losses (gains), net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1,990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(12,701)</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(2,446)</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10,027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(10,512)</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80,394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54,721</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(12,346)</w:t>
            </w:r>
          </w:p>
        </w:tc>
        <w:tc>
          <w:tcPr>
            <w:tcW w:w="100" w:type="dxa"/>
            <w:vAlign w:val="bottom"/>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11,294</w:t>
            </w:r>
          </w:p>
        </w:tc>
        <w:tc>
          <w:tcPr>
            <w:tcW w:w="0" w:type="dxa"/>
            <w:vAlign w:val="bottom"/>
          </w:tcPr>
          <w:p>
            <w:pPr>
              <w:spacing w:after="0"/>
              <w:rPr>
                <w:sz w:val="1"/>
                <w:szCs w:val="1"/>
                <w:color w:val="auto"/>
              </w:rPr>
            </w:pPr>
          </w:p>
        </w:tc>
      </w:tr>
      <w:tr>
        <w:trPr>
          <w:trHeight w:val="225"/>
        </w:trPr>
        <w:tc>
          <w:tcPr>
            <w:tcW w:w="754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411,938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384,287</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(136,815)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(70,575)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(157,821)</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(137,591)</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30,332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30,668</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(10,920)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(12,801)</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1,593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Purchases of investments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(3,245)</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Maturities of marketable securities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(273,099)</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(193,329)</w:t>
            </w: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860,307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782,235</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(880,890)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(870,028)</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(7,328)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(5,220)</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Payments on finance lease obligations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(9,569)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10,040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(73,225)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(78,677)</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Dividends paid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(25,632)</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(135,942)</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(195,662)</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3,849</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12,850</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5,924</w:t>
            </w:r>
          </w:p>
        </w:tc>
        <w:tc>
          <w:tcPr>
            <w:tcW w:w="0" w:type="dxa"/>
            <w:vAlign w:val="bottom"/>
          </w:tcPr>
          <w:p>
            <w:pPr>
              <w:spacing w:after="0"/>
              <w:rPr>
                <w:sz w:val="1"/>
                <w:szCs w:val="1"/>
                <w:color w:val="auto"/>
              </w:rPr>
            </w:pP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103,689</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109,524</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10,812</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36,062</w:t>
            </w:r>
          </w:p>
        </w:tc>
        <w:tc>
          <w:tcPr>
            <w:tcW w:w="0" w:type="dxa"/>
            <w:vAlign w:val="bottom"/>
          </w:tcPr>
          <w:p>
            <w:pPr>
              <w:spacing w:after="0"/>
              <w:rPr>
                <w:sz w:val="1"/>
                <w:szCs w:val="1"/>
                <w:color w:val="auto"/>
              </w:rPr>
            </w:pPr>
          </w:p>
        </w:tc>
      </w:tr>
      <w:tr>
        <w:trPr>
          <w:trHeight w:val="218"/>
        </w:trPr>
        <w:tc>
          <w:tcPr>
            <w:tcW w:w="754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16,035</w:t>
            </w:r>
          </w:p>
        </w:tc>
        <w:tc>
          <w:tcPr>
            <w:tcW w:w="100" w:type="dxa"/>
            <w:vAlign w:val="bottom"/>
          </w:tcPr>
          <w:p>
            <w:pPr>
              <w:spacing w:after="0"/>
              <w:rPr>
                <w:sz w:val="18"/>
                <w:szCs w:val="18"/>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15,695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ind w:right="2040" w:firstLine="2044"/>
        <w:spacing w:after="0" w:line="323" w:lineRule="auto"/>
        <w:rPr>
          <w:sz w:val="20"/>
          <w:szCs w:val="20"/>
          <w:color w:val="auto"/>
        </w:rPr>
      </w:pPr>
      <w:r>
        <w:rPr>
          <w:rFonts w:ascii="Arial" w:cs="Arial" w:eastAsia="Arial" w:hAnsi="Arial"/>
          <w:sz w:val="22"/>
          <w:szCs w:val="22"/>
          <w:color w:val="1D2758"/>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(modular office complexes, mobile offices, classrooms, blast-resistant modules, clearspan structures and sanitation solutions) and portable storage products (portable storage containers and climate-controlled containers and trailers) through an integrated network of branch locations. WillScot also offers its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 Company operates a hybrid in-house and outsourced logistics and service infrastructure that provides delivery, site work, installation, disassembly, removal and other services to customers for an additional fee as part of leasing and sales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24"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jc w:val="both"/>
        <w:ind w:firstLine="619"/>
        <w:spacing w:after="0" w:line="282" w:lineRule="auto"/>
        <w:rPr>
          <w:sz w:val="20"/>
          <w:szCs w:val="20"/>
          <w:color w:val="auto"/>
        </w:rPr>
      </w:pPr>
      <w:r>
        <w:rPr>
          <w:rFonts w:ascii="Arial" w:cs="Arial" w:eastAsia="Arial" w:hAnsi="Arial"/>
          <w:sz w:val="15"/>
          <w:szCs w:val="15"/>
          <w:color w:val="auto"/>
        </w:rPr>
        <w:t>The results of operations for the three and six months ended June 30, 2025 are not necessarily indicative of the results to be expected for the full year. For further information, refer to the consolidated financial statements and notes included in the Company's Annual Report on Form 10-K for the year ended December 31, 2024.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2023-09. </w:t>
      </w:r>
      <w:r>
        <w:rPr>
          <w:rFonts w:ascii="Arial" w:cs="Arial" w:eastAsia="Arial" w:hAnsi="Arial"/>
          <w:sz w:val="15"/>
          <w:szCs w:val="15"/>
          <w:i w:val="1"/>
          <w:iCs w:val="1"/>
          <w:u w:val="single" w:color="auto"/>
          <w:color w:val="auto"/>
        </w:rPr>
        <w:t>Income Taxes (Topic 740): Improvements to Income Tax Disclosures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No. 2023-09 </w:t>
      </w:r>
      <w:r>
        <w:rPr>
          <w:rFonts w:ascii="Arial" w:cs="Arial" w:eastAsia="Arial" w:hAnsi="Arial"/>
          <w:sz w:val="15"/>
          <w:szCs w:val="15"/>
          <w:i w:val="1"/>
          <w:iCs w:val="1"/>
          <w:color w:val="auto"/>
        </w:rPr>
        <w:t>Income Taxes (Topic 740):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Income Tax Disclosures </w:t>
      </w:r>
      <w:r>
        <w:rPr>
          <w:rFonts w:ascii="Arial" w:cs="Arial" w:eastAsia="Arial" w:hAnsi="Arial"/>
          <w:sz w:val="15"/>
          <w:szCs w:val="15"/>
          <w:color w:val="auto"/>
        </w:rPr>
        <w:t>("ASU 2023-09"). ASU 2023-09 requires entities to disclose more detailed information in their reconciliation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statutory tax rate to their effective tax rate. ASU 2023-09 also requires entities to disclose more detailed information about income taxes paid, including jurisdiction; pretax income (or loss) from continuing operations; and income tax expense (or benefit). ASU 2023-09 is effective for fiscal years beginning after December 15, 2024. Early adoption is permitted. The Company is currently evaluating the impact of ASU 2023-09 on its income tax disclosures.</w:t>
      </w:r>
    </w:p>
    <w:p>
      <w:pPr>
        <w:spacing w:after="0" w:line="2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u w:val="single" w:color="auto"/>
          <w:color w:val="auto"/>
        </w:rPr>
        <w:t xml:space="preserve">ASU 2024-03. </w:t>
      </w:r>
      <w:r>
        <w:rPr>
          <w:rFonts w:ascii="Arial" w:cs="Arial" w:eastAsia="Arial" w:hAnsi="Arial"/>
          <w:sz w:val="15"/>
          <w:szCs w:val="15"/>
          <w:i w:val="1"/>
          <w:iCs w:val="1"/>
          <w:u w:val="single" w:color="auto"/>
          <w:color w:val="auto"/>
        </w:rPr>
        <w:t>Income Statement - Reporting Comprehensive Income - Expense Disaggregation Disclosures (Subtopic 220-40): Disaggregation of Income</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Statement Expenses</w:t>
      </w:r>
    </w:p>
    <w:p>
      <w:pPr>
        <w:jc w:val="both"/>
        <w:ind w:firstLine="619"/>
        <w:spacing w:after="0" w:line="267" w:lineRule="auto"/>
        <w:rPr>
          <w:sz w:val="20"/>
          <w:szCs w:val="20"/>
          <w:color w:val="auto"/>
        </w:rPr>
      </w:pPr>
      <w:r>
        <w:rPr>
          <w:rFonts w:ascii="Arial" w:cs="Arial" w:eastAsia="Arial" w:hAnsi="Arial"/>
          <w:sz w:val="15"/>
          <w:szCs w:val="15"/>
          <w:color w:val="auto"/>
        </w:rPr>
        <w:t xml:space="preserve">In November 2024, the FASB issued Accounting Standards Update No. 2024-03 </w:t>
      </w:r>
      <w:r>
        <w:rPr>
          <w:rFonts w:ascii="Arial" w:cs="Arial" w:eastAsia="Arial" w:hAnsi="Arial"/>
          <w:sz w:val="15"/>
          <w:szCs w:val="15"/>
          <w:i w:val="1"/>
          <w:iCs w:val="1"/>
          <w:color w:val="auto"/>
        </w:rPr>
        <w:t>Income Statement - Reporting Comprehensive Income - Expense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Disaggregation Disclosures (Subtopic 220-40): Disaggregation of Income Statement Expenses </w:t>
      </w:r>
      <w:r>
        <w:rPr>
          <w:rFonts w:ascii="Arial" w:cs="Arial" w:eastAsia="Arial" w:hAnsi="Arial"/>
          <w:sz w:val="15"/>
          <w:szCs w:val="15"/>
          <w:color w:val="auto"/>
        </w:rPr>
        <w:t>("ASU 2024-03"). ASU 2024-03 requires incremental disclosures</w:t>
      </w:r>
      <w:r>
        <w:rPr>
          <w:rFonts w:ascii="Arial" w:cs="Arial" w:eastAsia="Arial" w:hAnsi="Arial"/>
          <w:sz w:val="15"/>
          <w:szCs w:val="15"/>
          <w:i w:val="1"/>
          <w:iCs w:val="1"/>
          <w:color w:val="auto"/>
        </w:rPr>
        <w:t xml:space="preserve"> </w:t>
      </w:r>
      <w:r>
        <w:rPr>
          <w:rFonts w:ascii="Arial" w:cs="Arial" w:eastAsia="Arial" w:hAnsi="Arial"/>
          <w:sz w:val="15"/>
          <w:szCs w:val="15"/>
          <w:color w:val="auto"/>
        </w:rPr>
        <w:t>about specific expense categories, including but not limited to, purchases of inventory, employee compensation, depreciation, amortization, and selling expenses. The amendments are effective for annual reporting periods beginning after December 15, 2026, and interim reporting periods within annual reporting periods beginning after December 15, 2027. Early adoption is permitted, and the amendments may be applied either prospectively or retrospectively. The Company is currently evaluating ASU 2024-03 to determine its impact on the Company's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1D2758"/>
        </w:rPr>
        <w:t>NOTE 2 - Business Combination and Acquisition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During the six months ended June 30, 2025, the Company acquired a regional provider of climate-controlled containers and trailers for $115.6 million, net of cash acquired, which consisted primarily of approximately 2,100 temperature-controlled units. As of the acquisition date, the fair value of the goodwill recognized was $54.1 million, the fair value of the intangible assets acquired was $18.7 million, and the fair value of rental equipment acquired was $37.0 million. The preliminary accounting for the transaction, including the valuation of acquired rental equipment and intangible assets, is based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5"/>
          <w:szCs w:val="15"/>
          <w:color w:val="auto"/>
        </w:rPr>
        <w:t>on the best estimates of management and is subject to revision based on the final valuations. Goodwill recognized is attributable to expected operating synergies, assembled workforce, and the going concern value of the acquired business. Goodwill recorded for this acquisition is deductible for tax purposes. Revenue and earnings from the business combination following the acquisition date are not available, as the business was integrated into the Company's centralized financial and operational processes following the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six months ended June 30, 2025, the Company acquired certain assets and assumed certain liabilities of one local provider of clearspan solutions for $18.2 million in cash. As of the acquisition date, the fair value of rental equipment acquired was $16.4 million.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1D2758"/>
        </w:rPr>
        <w:t>NOTE 3 -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Areas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and six months ended June 30, 2025 and 2024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6"/>
                <w:szCs w:val="16"/>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550,716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564,980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1,081,762</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1,118,413</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Canada</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33,119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56,318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58,838</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5,248</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7,304</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10,554</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14,520</w:t>
            </w:r>
          </w:p>
        </w:tc>
      </w:tr>
      <w:tr>
        <w:trPr>
          <w:trHeight w:val="232"/>
        </w:trPr>
        <w:tc>
          <w:tcPr>
            <w:tcW w:w="47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589,083</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604,590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1,148,634</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1,191,771</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 Product and Service Lines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 The Company’s revenue by major product and service line for the three and six months ended June 30, 2025 and 2024 was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6"/>
                <w:szCs w:val="16"/>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r>
              <w:rPr>
                <w:rFonts w:ascii="Arial" w:cs="Arial" w:eastAsia="Arial" w:hAnsi="Arial"/>
                <w:sz w:val="20"/>
                <w:szCs w:val="20"/>
                <w:color w:val="auto"/>
                <w:vertAlign w:val="superscript"/>
              </w:rPr>
              <w:t>(a)</w:t>
            </w: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251,374</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253,725</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497,238</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505,872</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79,563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86,433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156,598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177,882</w:t>
            </w:r>
          </w:p>
        </w:tc>
      </w:tr>
      <w:tr>
        <w:trPr>
          <w:trHeight w:val="239"/>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(b)</w:t>
            </w: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100,030</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100,112</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196,369</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196,426</w:t>
            </w:r>
          </w:p>
        </w:tc>
      </w:tr>
      <w:tr>
        <w:trPr>
          <w:trHeight w:val="232"/>
        </w:trPr>
        <w:tc>
          <w:tcPr>
            <w:tcW w:w="47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(b)(c)</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11,949</w:t>
            </w:r>
          </w:p>
        </w:tc>
        <w:tc>
          <w:tcPr>
            <w:tcW w:w="8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18,322</w:t>
            </w:r>
          </w:p>
        </w:tc>
        <w:tc>
          <w:tcPr>
            <w:tcW w:w="1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27,101</w:t>
            </w:r>
          </w:p>
        </w:tc>
        <w:tc>
          <w:tcPr>
            <w:tcW w:w="8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39,013</w:t>
            </w:r>
          </w:p>
        </w:tc>
      </w:tr>
      <w:tr>
        <w:trPr>
          <w:trHeight w:val="225"/>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36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442,916</w:t>
            </w: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458,592</w:t>
            </w:r>
          </w:p>
        </w:tc>
        <w:tc>
          <w:tcPr>
            <w:tcW w:w="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877,306</w:t>
            </w: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919,193</w:t>
            </w:r>
          </w:p>
        </w:tc>
      </w:tr>
      <w:tr>
        <w:trPr>
          <w:trHeight w:val="225"/>
        </w:trPr>
        <w:tc>
          <w:tcPr>
            <w:tcW w:w="47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108,452</w:t>
            </w:r>
          </w:p>
        </w:tc>
        <w:tc>
          <w:tcPr>
            <w:tcW w:w="80" w:type="dxa"/>
            <w:vAlign w:val="bottom"/>
            <w:tcBorders>
              <w:bottom w:val="single" w:sz="8" w:color="DDDDDD"/>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108,147</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197,113</w:t>
            </w:r>
          </w:p>
        </w:tc>
        <w:tc>
          <w:tcPr>
            <w:tcW w:w="80" w:type="dxa"/>
            <w:vAlign w:val="bottom"/>
            <w:tcBorders>
              <w:bottom w:val="single" w:sz="8" w:color="DDDDDD"/>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208,509</w:t>
            </w:r>
          </w:p>
        </w:tc>
      </w:tr>
      <w:tr>
        <w:trPr>
          <w:trHeight w:val="232"/>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551,368</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566,739</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1,074,419</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1,127,702</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21,620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44,057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34,877</w:t>
            </w:r>
          </w:p>
        </w:tc>
      </w:tr>
      <w:tr>
        <w:trPr>
          <w:trHeight w:val="232"/>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36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16,095</w:t>
            </w:r>
          </w:p>
        </w:tc>
        <w:tc>
          <w:tcPr>
            <w:tcW w:w="80" w:type="dxa"/>
            <w:vAlign w:val="bottom"/>
            <w:shd w:val="clear" w:color="auto" w:fill="DDDDDD"/>
          </w:tcPr>
          <w:p>
            <w:pPr>
              <w:spacing w:after="0"/>
              <w:rPr>
                <w:sz w:val="20"/>
                <w:szCs w:val="20"/>
                <w:color w:val="auto"/>
              </w:rPr>
            </w:pPr>
          </w:p>
        </w:tc>
        <w:tc>
          <w:tcPr>
            <w:tcW w:w="440" w:type="dxa"/>
            <w:vAlign w:val="bottom"/>
            <w:tcBorders>
              <w:bottom w:val="single" w:sz="8" w:color="auto"/>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30,158</w:t>
            </w:r>
          </w:p>
        </w:tc>
        <w:tc>
          <w:tcPr>
            <w:tcW w:w="80" w:type="dxa"/>
            <w:vAlign w:val="bottom"/>
            <w:shd w:val="clear" w:color="auto" w:fill="DDDDDD"/>
          </w:tcPr>
          <w:p>
            <w:pPr>
              <w:spacing w:after="0"/>
              <w:rPr>
                <w:sz w:val="20"/>
                <w:szCs w:val="20"/>
                <w:color w:val="auto"/>
              </w:rPr>
            </w:pPr>
          </w:p>
        </w:tc>
        <w:tc>
          <w:tcPr>
            <w:tcW w:w="440" w:type="dxa"/>
            <w:vAlign w:val="bottom"/>
            <w:tcBorders>
              <w:bottom w:val="single" w:sz="8" w:color="auto"/>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29,192</w:t>
            </w:r>
          </w:p>
        </w:tc>
      </w:tr>
      <w:tr>
        <w:trPr>
          <w:trHeight w:val="232"/>
        </w:trPr>
        <w:tc>
          <w:tcPr>
            <w:tcW w:w="474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589,083</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604,590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1,148,634</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1,191,771</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18" w:lineRule="exact"/>
        <w:rPr>
          <w:rFonts w:ascii="Arial" w:cs="Arial" w:eastAsia="Arial" w:hAnsi="Arial"/>
          <w:sz w:val="14"/>
          <w:szCs w:val="14"/>
          <w:color w:val="auto"/>
        </w:rPr>
      </w:pPr>
    </w:p>
    <w:p>
      <w:pPr>
        <w:ind w:firstLine="3"/>
        <w:spacing w:after="0" w:line="249" w:lineRule="auto"/>
        <w:tabs>
          <w:tab w:leader="none" w:pos="20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$9.5 million and $10.1 million of service revenue for the three months ended June 30, 2025 and 2024, respectively, and $18.7 million and $20.1 million of service revenue for the six months ended June 30, 2025 and 2024, respectively.</w:t>
      </w:r>
    </w:p>
    <w:p>
      <w:pPr>
        <w:spacing w:after="0" w:line="1" w:lineRule="exact"/>
        <w:rPr>
          <w:rFonts w:ascii="Arial" w:cs="Arial" w:eastAsia="Arial" w:hAnsi="Arial"/>
          <w:sz w:val="14"/>
          <w:szCs w:val="14"/>
          <w:color w:val="auto"/>
        </w:rPr>
      </w:pPr>
    </w:p>
    <w:p>
      <w:pPr>
        <w:ind w:firstLine="3"/>
        <w:spacing w:after="0" w:line="241" w:lineRule="auto"/>
        <w:tabs>
          <w:tab w:leader="none" w:pos="22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service revenue, and other processing fees associated with leasing arrangements, and is partially offset by provisions for specific uncollectible lease receivables.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Leasing and Services Revenue</w:t>
      </w:r>
    </w:p>
    <w:p>
      <w:pPr>
        <w:spacing w:after="0" w:line="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 xml:space="preserve">The majority of revenue (74% for both the three months ended June 30, 2025 and 2024, and 75% for both the six months ended June 30, 2025 and 2024) was generated by lease income subject to the guidance of Accounting Standards Update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the sale of units subject to the guidance in Accounting Standards Update No.</w:t>
      </w:r>
    </w:p>
    <w:p>
      <w:pPr>
        <w:spacing w:after="0"/>
        <w:rPr>
          <w:sz w:val="20"/>
          <w:szCs w:val="20"/>
          <w:color w:val="auto"/>
        </w:rPr>
      </w:pPr>
      <w:r>
        <w:rPr>
          <w:rFonts w:ascii="Arial" w:cs="Arial" w:eastAsia="Arial" w:hAnsi="Arial"/>
          <w:sz w:val="15"/>
          <w:szCs w:val="15"/>
          <w:color w:val="auto"/>
        </w:rPr>
        <w:t xml:space="preserve">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jc w:val="both"/>
        <w:ind w:firstLine="619"/>
        <w:spacing w:after="0" w:line="295"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markets. The Company manages credit risk through credit approvals, credit limits, and other monitoring procedures.</w:t>
      </w:r>
    </w:p>
    <w:p>
      <w:pPr>
        <w:spacing w:after="0" w:line="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Company's allowance for credit losses reflects its estimate of the amount of receivables that the Company will be unable to collect. The estimated losses are calculated using the loss rate method based upon a review of outstanding receivables, related aging, and historical collection experience. The Company's estimate is sensitive to changing circumstances, and the Company may be required to increase or decrease its allowance in future periods in response to changing circumstances, including changes in the economy or in the particular circumstances of individual customers. Specifically identifiable lease revenue receivables and sales receivables not deemed probable of collection are recorded as a reduction of revenue. The remaining provision for credit losses is recorded as selling, general and administrative expense.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260" w:type="dxa"/>
            <w:vAlign w:val="bottom"/>
            <w:gridSpan w:val="3"/>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Three Months Ended</w:t>
            </w:r>
          </w:p>
        </w:tc>
        <w:tc>
          <w:tcPr>
            <w:tcW w:w="58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2260" w:type="dxa"/>
            <w:vAlign w:val="bottom"/>
            <w:gridSpan w:val="3"/>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June 30,</w:t>
            </w:r>
          </w:p>
        </w:tc>
        <w:tc>
          <w:tcPr>
            <w:tcW w:w="5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9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58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100,291</w:t>
            </w:r>
          </w:p>
        </w:tc>
        <w:tc>
          <w:tcPr>
            <w:tcW w:w="80" w:type="dxa"/>
            <w:vAlign w:val="bottom"/>
            <w:shd w:val="clear" w:color="auto" w:fill="DDDDDD"/>
          </w:tcPr>
          <w:p>
            <w:pPr>
              <w:spacing w:after="0"/>
              <w:rPr>
                <w:sz w:val="20"/>
                <w:szCs w:val="20"/>
                <w:color w:val="auto"/>
              </w:rPr>
            </w:pPr>
          </w:p>
        </w:tc>
        <w:tc>
          <w:tcPr>
            <w:tcW w:w="980" w:type="dxa"/>
            <w:vAlign w:val="bottom"/>
            <w:shd w:val="clear" w:color="auto" w:fill="DDDDDD"/>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86,418</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101,693</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81,656</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7,418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19,756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23,196</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 recorded as a reduction to revenue</w:t>
            </w: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(19,571)</w:t>
            </w:r>
          </w:p>
        </w:tc>
        <w:tc>
          <w:tcPr>
            <w:tcW w:w="8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(8,605)</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(33,336)</w:t>
            </w:r>
          </w:p>
        </w:tc>
        <w:tc>
          <w:tcPr>
            <w:tcW w:w="8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(15,659)</w:t>
            </w:r>
          </w:p>
        </w:tc>
      </w:tr>
      <w:tr>
        <w:trPr>
          <w:trHeight w:val="22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222</w:t>
            </w:r>
          </w:p>
        </w:tc>
        <w:tc>
          <w:tcPr>
            <w:tcW w:w="8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247</w:t>
            </w:r>
          </w:p>
        </w:tc>
        <w:tc>
          <w:tcPr>
            <w:tcW w:w="80" w:type="dxa"/>
            <w:vAlign w:val="bottom"/>
            <w:tcBorders>
              <w:bottom w:val="single" w:sz="8" w:color="DDDDDD"/>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36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88,360</w:t>
            </w:r>
          </w:p>
        </w:tc>
        <w:tc>
          <w:tcPr>
            <w:tcW w:w="80" w:type="dxa"/>
            <w:vAlign w:val="bottom"/>
            <w:tcBorders>
              <w:bottom w:val="single" w:sz="8" w:color="DDDDDD"/>
            </w:tcBorders>
            <w:shd w:val="clear" w:color="auto" w:fill="DDDDDD"/>
          </w:tcPr>
          <w:p>
            <w:pPr>
              <w:spacing w:after="0"/>
              <w:rPr>
                <w:sz w:val="21"/>
                <w:szCs w:val="21"/>
                <w:color w:val="auto"/>
              </w:rPr>
            </w:pPr>
          </w:p>
        </w:tc>
        <w:tc>
          <w:tcPr>
            <w:tcW w:w="980" w:type="dxa"/>
            <w:vAlign w:val="bottom"/>
            <w:tcBorders>
              <w:bottom w:val="single" w:sz="8" w:color="auto"/>
            </w:tcBorders>
            <w:shd w:val="clear" w:color="auto" w:fill="DDDDDD"/>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89,070</w:t>
            </w:r>
          </w:p>
        </w:tc>
        <w:tc>
          <w:tcPr>
            <w:tcW w:w="10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88,360</w:t>
            </w:r>
          </w:p>
        </w:tc>
        <w:tc>
          <w:tcPr>
            <w:tcW w:w="80" w:type="dxa"/>
            <w:vAlign w:val="bottom"/>
            <w:tcBorders>
              <w:bottom w:val="single" w:sz="8" w:color="DDDDDD"/>
            </w:tcBorders>
            <w:shd w:val="clear" w:color="auto" w:fill="DDDDDD"/>
          </w:tcPr>
          <w:p>
            <w:pPr>
              <w:spacing w:after="0"/>
              <w:rPr>
                <w:sz w:val="21"/>
                <w:szCs w:val="21"/>
                <w:color w:val="auto"/>
              </w:rPr>
            </w:pPr>
          </w:p>
        </w:tc>
        <w:tc>
          <w:tcPr>
            <w:tcW w:w="440" w:type="dxa"/>
            <w:vAlign w:val="bottom"/>
            <w:tcBorders>
              <w:bottom w:val="single" w:sz="8" w:color="auto"/>
            </w:tcBorders>
            <w:shd w:val="clear" w:color="auto" w:fill="DDDDDD"/>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89,070</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June 30, 2025 and December 31, 2024, the Company had approximately $134.8 million and $139.4 million, respectively, of deferred revenue related to service revenue billed in advance. During the three and six months ended June 30, 2025, $23.1 million and $57.8 million, respectively, of deferred revenue related to service revenue billed in advance was recognized as revenue.</w:t>
      </w:r>
    </w:p>
    <w:p>
      <w:pPr>
        <w:spacing w:after="0" w:line="21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spacing w:after="0" w:line="1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4 - Inventories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20"/>
                <w:szCs w:val="20"/>
                <w:color w:val="auto"/>
              </w:rPr>
            </w:pPr>
          </w:p>
        </w:tc>
        <w:tc>
          <w:tcPr>
            <w:tcW w:w="1800" w:type="dxa"/>
            <w:vAlign w:val="bottom"/>
            <w:gridSpan w:val="2"/>
            <w:vMerge w:val="restart"/>
            <w:shd w:val="clear" w:color="auto" w:fill="1D2758"/>
          </w:tcPr>
          <w:p>
            <w:pPr>
              <w:ind w:left="200"/>
              <w:spacing w:after="0"/>
              <w:rPr>
                <w:sz w:val="20"/>
                <w:szCs w:val="20"/>
                <w:color w:val="auto"/>
              </w:rPr>
            </w:pPr>
            <w:r>
              <w:rPr>
                <w:rFonts w:ascii="Arial" w:cs="Arial" w:eastAsia="Arial" w:hAnsi="Arial"/>
                <w:sz w:val="15"/>
                <w:szCs w:val="15"/>
                <w:b w:val="1"/>
                <w:bCs w:val="1"/>
                <w:color w:val="FFFFFF"/>
              </w:rPr>
              <w:t>June 30,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80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40,112</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39,823</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6,434</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7,650</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46,546</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1D2758"/>
        </w:rPr>
        <w:t>NOTE 5 - Rental Equipment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20"/>
                <w:szCs w:val="20"/>
                <w:color w:val="auto"/>
              </w:rPr>
            </w:pPr>
          </w:p>
        </w:tc>
        <w:tc>
          <w:tcPr>
            <w:tcW w:w="1800" w:type="dxa"/>
            <w:vAlign w:val="bottom"/>
            <w:gridSpan w:val="2"/>
            <w:vMerge w:val="restart"/>
            <w:shd w:val="clear" w:color="auto" w:fill="1D2758"/>
          </w:tcPr>
          <w:p>
            <w:pPr>
              <w:ind w:left="200"/>
              <w:spacing w:after="0"/>
              <w:rPr>
                <w:sz w:val="20"/>
                <w:szCs w:val="20"/>
                <w:color w:val="auto"/>
              </w:rPr>
            </w:pPr>
            <w:r>
              <w:rPr>
                <w:rFonts w:ascii="Arial" w:cs="Arial" w:eastAsia="Arial" w:hAnsi="Arial"/>
                <w:sz w:val="15"/>
                <w:szCs w:val="15"/>
                <w:b w:val="1"/>
                <w:bCs w:val="1"/>
                <w:color w:val="FFFFFF"/>
              </w:rPr>
              <w:t>June 30,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80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3,774,232</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3,658,086</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1,103,053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1,070,025</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3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230,165</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220,205</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20" w:type="dxa"/>
            <w:vAlign w:val="bottom"/>
          </w:tcPr>
          <w:p>
            <w:pPr>
              <w:spacing w:after="0"/>
              <w:rPr>
                <w:sz w:val="18"/>
                <w:szCs w:val="18"/>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5,107,450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4,948,316</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(1,682,926)</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(1,570,377)</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3,424,524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6 -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6"/>
        </w:trPr>
        <w:tc>
          <w:tcPr>
            <w:tcW w:w="9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20"/>
                <w:szCs w:val="20"/>
                <w:color w:val="auto"/>
              </w:rPr>
            </w:pPr>
          </w:p>
        </w:tc>
        <w:tc>
          <w:tcPr>
            <w:tcW w:w="134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680" w:type="dxa"/>
            <w:vAlign w:val="bottom"/>
            <w:shd w:val="clear" w:color="auto" w:fill="DBDBDB"/>
          </w:tcPr>
          <w:p>
            <w:pPr>
              <w:jc w:val="right"/>
              <w:ind w:right="50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1,176,635</w:t>
            </w:r>
          </w:p>
        </w:tc>
      </w:tr>
      <w:tr>
        <w:trPr>
          <w:trHeight w:val="225"/>
        </w:trPr>
        <w:tc>
          <w:tcPr>
            <w:tcW w:w="9220" w:type="dxa"/>
            <w:vAlign w:val="bottom"/>
          </w:tcPr>
          <w:p>
            <w:pPr>
              <w:ind w:left="220"/>
              <w:spacing w:after="0"/>
              <w:rPr>
                <w:sz w:val="20"/>
                <w:szCs w:val="20"/>
                <w:color w:val="auto"/>
              </w:rPr>
            </w:pPr>
            <w:r>
              <w:rPr>
                <w:rFonts w:ascii="Arial" w:cs="Arial" w:eastAsia="Arial" w:hAnsi="Arial"/>
                <w:sz w:val="15"/>
                <w:szCs w:val="15"/>
                <w:color w:val="auto"/>
              </w:rPr>
              <w:t>Additions from acquisitions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26,948</w:t>
            </w:r>
          </w:p>
        </w:tc>
      </w:tr>
      <w:tr>
        <w:trPr>
          <w:trHeight w:val="239"/>
        </w:trPr>
        <w:tc>
          <w:tcPr>
            <w:tcW w:w="9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68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(2,230)</w:t>
            </w:r>
          </w:p>
        </w:tc>
      </w:tr>
      <w:tr>
        <w:trPr>
          <w:trHeight w:val="218"/>
        </w:trPr>
        <w:tc>
          <w:tcPr>
            <w:tcW w:w="9220" w:type="dxa"/>
            <w:vAlign w:val="bottom"/>
          </w:tcPr>
          <w:p>
            <w:pPr>
              <w:ind w:left="20"/>
              <w:spacing w:after="0"/>
              <w:rPr>
                <w:sz w:val="20"/>
                <w:szCs w:val="20"/>
                <w:color w:val="auto"/>
              </w:rPr>
            </w:pPr>
            <w:r>
              <w:rPr>
                <w:rFonts w:ascii="Arial" w:cs="Arial" w:eastAsia="Arial" w:hAnsi="Arial"/>
                <w:sz w:val="15"/>
                <w:szCs w:val="15"/>
                <w:color w:val="auto"/>
              </w:rPr>
              <w:t>Balance at December 31, 2024</w:t>
            </w:r>
          </w:p>
        </w:tc>
        <w:tc>
          <w:tcPr>
            <w:tcW w:w="6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1,201,353</w:t>
            </w:r>
          </w:p>
        </w:tc>
      </w:tr>
      <w:tr>
        <w:trPr>
          <w:trHeight w:val="239"/>
        </w:trPr>
        <w:tc>
          <w:tcPr>
            <w:tcW w:w="9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Additions from acquisitions</w:t>
            </w:r>
          </w:p>
        </w:tc>
        <w:tc>
          <w:tcPr>
            <w:tcW w:w="68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54,478</w:t>
            </w:r>
          </w:p>
        </w:tc>
      </w:tr>
      <w:tr>
        <w:trPr>
          <w:trHeight w:val="225"/>
        </w:trPr>
        <w:tc>
          <w:tcPr>
            <w:tcW w:w="9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1,433</w:t>
            </w:r>
          </w:p>
        </w:tc>
      </w:tr>
      <w:tr>
        <w:trPr>
          <w:trHeight w:val="250"/>
        </w:trPr>
        <w:tc>
          <w:tcPr>
            <w:tcW w:w="9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2025</w:t>
            </w:r>
          </w:p>
        </w:tc>
        <w:tc>
          <w:tcPr>
            <w:tcW w:w="68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1,257,264</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gridSpan w:val="8"/>
          </w:tcPr>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
        </w:trPr>
        <w:tc>
          <w:tcPr>
            <w:tcW w:w="3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144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June 30, 2025</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60" w:type="dxa"/>
            <w:vAlign w:val="bottom"/>
            <w:gridSpan w:val="3"/>
            <w:shd w:val="clear" w:color="auto" w:fill="1D2758"/>
          </w:tcPr>
          <w:p>
            <w:pPr>
              <w:ind w:left="80"/>
              <w:spacing w:after="0"/>
              <w:rPr>
                <w:sz w:val="20"/>
                <w:szCs w:val="20"/>
                <w:color w:val="auto"/>
              </w:rPr>
            </w:pPr>
            <w:r>
              <w:rPr>
                <w:rFonts w:ascii="Arial" w:cs="Arial" w:eastAsia="Arial" w:hAnsi="Arial"/>
                <w:sz w:val="15"/>
                <w:szCs w:val="15"/>
                <w:b w:val="1"/>
                <w:bCs w:val="1"/>
                <w:color w:val="FFFFFF"/>
              </w:rPr>
              <w:t>Net book value</w:t>
            </w: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3.5</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234,108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(128,798)</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105,310</w:t>
            </w:r>
          </w:p>
        </w:tc>
        <w:tc>
          <w:tcPr>
            <w:tcW w:w="20" w:type="dxa"/>
            <w:vAlign w:val="bottom"/>
          </w:tcPr>
          <w:p>
            <w:pPr>
              <w:spacing w:after="0"/>
              <w:rPr>
                <w:sz w:val="19"/>
                <w:szCs w:val="19"/>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1.0</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(1,250)</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w:t>
            </w:r>
          </w:p>
        </w:tc>
        <w:tc>
          <w:tcPr>
            <w:tcW w:w="20" w:type="dxa"/>
            <w:vAlign w:val="bottom"/>
            <w:shd w:val="clear" w:color="auto" w:fill="DBDBDB"/>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2.3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(16,726)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16,234</w:t>
            </w:r>
          </w:p>
        </w:tc>
        <w:tc>
          <w:tcPr>
            <w:tcW w:w="20" w:type="dxa"/>
            <w:vAlign w:val="bottom"/>
          </w:tcPr>
          <w:p>
            <w:pPr>
              <w:spacing w:after="0"/>
              <w:rPr>
                <w:sz w:val="19"/>
                <w:szCs w:val="19"/>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r>
      <w:tr>
        <w:trPr>
          <w:trHeight w:val="251"/>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21"/>
                <w:szCs w:val="2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526,108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(146,774)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246,794</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r>
      <w:tr>
        <w:trPr>
          <w:trHeight w:val="139"/>
        </w:trPr>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560" w:type="dxa"/>
            <w:vAlign w:val="bottom"/>
            <w:gridSpan w:val="3"/>
            <w:shd w:val="clear" w:color="auto" w:fill="1D2758"/>
          </w:tcPr>
          <w:p>
            <w:pPr>
              <w:jc w:val="center"/>
              <w:ind w:right="60"/>
              <w:spacing w:after="0"/>
              <w:rPr>
                <w:sz w:val="20"/>
                <w:szCs w:val="20"/>
                <w:color w:val="auto"/>
              </w:rPr>
            </w:pPr>
            <w:r>
              <w:rPr>
                <w:rFonts w:ascii="Arial" w:cs="Arial" w:eastAsia="Arial" w:hAnsi="Arial"/>
                <w:sz w:val="15"/>
                <w:szCs w:val="15"/>
                <w:b w:val="1"/>
                <w:bCs w:val="1"/>
                <w:color w:val="FFFFFF"/>
              </w:rPr>
              <w:t>December 31, 2024</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Net book value</w:t>
            </w:r>
          </w:p>
        </w:tc>
        <w:tc>
          <w:tcPr>
            <w:tcW w:w="20" w:type="dxa"/>
            <w:vAlign w:val="bottom"/>
          </w:tcPr>
          <w:p>
            <w:pPr>
              <w:spacing w:after="0"/>
              <w:rPr>
                <w:sz w:val="20"/>
                <w:szCs w:val="20"/>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3.5</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215,408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(113,415)</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101,993</w:t>
            </w:r>
          </w:p>
        </w:tc>
        <w:tc>
          <w:tcPr>
            <w:tcW w:w="20" w:type="dxa"/>
            <w:vAlign w:val="bottom"/>
          </w:tcPr>
          <w:p>
            <w:pPr>
              <w:spacing w:after="0"/>
              <w:rPr>
                <w:sz w:val="19"/>
                <w:szCs w:val="19"/>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1.5</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20" w:type="dxa"/>
            <w:vAlign w:val="bottom"/>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23,796</w:t>
            </w:r>
          </w:p>
        </w:tc>
        <w:tc>
          <w:tcPr>
            <w:tcW w:w="20" w:type="dxa"/>
            <w:vAlign w:val="bottom"/>
          </w:tcPr>
          <w:p>
            <w:pPr>
              <w:spacing w:after="0"/>
              <w:rPr>
                <w:sz w:val="19"/>
                <w:szCs w:val="19"/>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19"/>
                <w:szCs w:val="19"/>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507,408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(123,704)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251,164</w:t>
            </w:r>
          </w:p>
        </w:tc>
        <w:tc>
          <w:tcPr>
            <w:tcW w:w="20" w:type="dxa"/>
            <w:vAlign w:val="bottom"/>
          </w:tcPr>
          <w:p>
            <w:pPr>
              <w:spacing w:after="0"/>
              <w:rPr>
                <w:sz w:val="21"/>
                <w:szCs w:val="2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12" w:name="page13"/>
    <w:bookmarkEnd w:id="12"/>
    <w:p>
      <w:pPr>
        <w:jc w:val="both"/>
        <w:ind w:firstLine="619"/>
        <w:spacing w:after="0" w:line="294" w:lineRule="auto"/>
        <w:rPr>
          <w:sz w:val="20"/>
          <w:szCs w:val="20"/>
          <w:color w:val="auto"/>
        </w:rPr>
      </w:pPr>
      <w:r>
        <w:rPr>
          <w:rFonts w:ascii="Arial" w:cs="Arial" w:eastAsia="Arial" w:hAnsi="Arial"/>
          <w:sz w:val="15"/>
          <w:szCs w:val="15"/>
          <w:color w:val="auto"/>
        </w:rPr>
        <w:t>Amortization expense related to intangible assets was $11.8 million and $7.3 million for the three months ended June 30, 2025 and 2024, respectively, and $23.1 million and $14.7 million for the six months ended June 30, 2025 and 2024,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0" w:type="dxa"/>
            <w:vAlign w:val="bottom"/>
            <w:gridSpan w:val="2"/>
          </w:tcPr>
          <w:p>
            <w:pPr>
              <w:ind w:left="620"/>
              <w:spacing w:after="0"/>
              <w:rPr>
                <w:sz w:val="20"/>
                <w:szCs w:val="20"/>
                <w:color w:val="auto"/>
              </w:rPr>
            </w:pPr>
            <w:r>
              <w:rPr>
                <w:rFonts w:ascii="Arial" w:cs="Arial" w:eastAsia="Arial" w:hAnsi="Arial"/>
                <w:sz w:val="15"/>
                <w:szCs w:val="15"/>
                <w:color w:val="auto"/>
              </w:rPr>
              <w:t>As of June 30, 2025, the expected future amortization expense for intangible assets was as follows for the years ended December 31:</w:t>
            </w:r>
          </w:p>
        </w:tc>
        <w:tc>
          <w:tcPr>
            <w:tcW w:w="1040" w:type="dxa"/>
            <w:vAlign w:val="bottom"/>
          </w:tcPr>
          <w:p>
            <w:pPr>
              <w:spacing w:after="0"/>
              <w:rPr>
                <w:sz w:val="17"/>
                <w:szCs w:val="17"/>
                <w:color w:val="auto"/>
              </w:rPr>
            </w:pPr>
          </w:p>
        </w:tc>
      </w:tr>
      <w:tr>
        <w:trPr>
          <w:trHeight w:val="66"/>
        </w:trPr>
        <w:tc>
          <w:tcPr>
            <w:tcW w:w="9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20"/>
                <w:szCs w:val="20"/>
                <w:color w:val="auto"/>
              </w:rPr>
            </w:pPr>
          </w:p>
        </w:tc>
        <w:tc>
          <w:tcPr>
            <w:tcW w:w="104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(remaining)</w:t>
            </w:r>
          </w:p>
        </w:tc>
        <w:tc>
          <w:tcPr>
            <w:tcW w:w="980" w:type="dxa"/>
            <w:vAlign w:val="bottom"/>
            <w:shd w:val="clear" w:color="auto" w:fill="DBDBDB"/>
          </w:tcPr>
          <w:p>
            <w:pPr>
              <w:jc w:val="right"/>
              <w:ind w:right="8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22,704</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40,210</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98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33,581</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2028</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18,037</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98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3,367</w:t>
            </w:r>
          </w:p>
        </w:tc>
      </w:tr>
      <w:tr>
        <w:trPr>
          <w:trHeight w:val="225"/>
        </w:trPr>
        <w:tc>
          <w:tcPr>
            <w:tcW w:w="92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3,895</w:t>
            </w:r>
          </w:p>
        </w:tc>
      </w:tr>
      <w:tr>
        <w:trPr>
          <w:trHeight w:val="257"/>
        </w:trPr>
        <w:tc>
          <w:tcPr>
            <w:tcW w:w="9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shd w:val="clear" w:color="auto" w:fill="DBDBDB"/>
          </w:tcPr>
          <w:p>
            <w:pPr>
              <w:jc w:val="right"/>
              <w:ind w:right="8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121,794</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7 -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300" w:type="dxa"/>
            <w:vAlign w:val="bottom"/>
            <w:shd w:val="clear" w:color="auto" w:fill="1D2758"/>
          </w:tcPr>
          <w:p>
            <w:pPr>
              <w:spacing w:after="0"/>
              <w:rPr>
                <w:sz w:val="20"/>
                <w:szCs w:val="20"/>
                <w:color w:val="auto"/>
              </w:rPr>
            </w:pPr>
          </w:p>
        </w:tc>
        <w:tc>
          <w:tcPr>
            <w:tcW w:w="1800" w:type="dxa"/>
            <w:vAlign w:val="bottom"/>
            <w:gridSpan w:val="3"/>
            <w:shd w:val="clear" w:color="auto" w:fill="1D2758"/>
          </w:tcPr>
          <w:p>
            <w:pPr>
              <w:ind w:left="200"/>
              <w:spacing w:after="0"/>
              <w:rPr>
                <w:sz w:val="20"/>
                <w:szCs w:val="20"/>
                <w:color w:val="auto"/>
              </w:rPr>
            </w:pPr>
            <w:r>
              <w:rPr>
                <w:rFonts w:ascii="Arial" w:cs="Arial" w:eastAsia="Arial" w:hAnsi="Arial"/>
                <w:sz w:val="15"/>
                <w:szCs w:val="15"/>
                <w:b w:val="1"/>
                <w:bCs w:val="1"/>
                <w:color w:val="FFFFFF"/>
              </w:rPr>
              <w:t>June 30, 2025</w:t>
            </w: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r>
      <w:tr>
        <w:trPr>
          <w:trHeight w:val="225"/>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rPr>
              <w:t>2027</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1,567,861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1,556,651</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496,143</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495,582</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2029</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2029</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493,025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492,467</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2030</w:t>
            </w: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493,607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2031</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tcPr>
          <w:p>
            <w:pPr>
              <w:jc w:val="center"/>
              <w:spacing w:after="0"/>
              <w:rPr>
                <w:sz w:val="20"/>
                <w:szCs w:val="20"/>
                <w:color w:val="auto"/>
              </w:rPr>
            </w:pPr>
            <w:r>
              <w:rPr>
                <w:rFonts w:ascii="Arial" w:cs="Arial" w:eastAsia="Arial" w:hAnsi="Arial"/>
                <w:sz w:val="15"/>
                <w:szCs w:val="15"/>
                <w:color w:val="auto"/>
              </w:rPr>
              <w:t>2031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494,460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494,329</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Varies</w:t>
            </w:r>
          </w:p>
        </w:tc>
        <w:tc>
          <w:tcPr>
            <w:tcW w:w="300" w:type="dxa"/>
            <w:vAlign w:val="bottom"/>
            <w:tcBorders>
              <w:bottom w:val="single" w:sz="8" w:color="auto"/>
            </w:tcBorders>
            <w:shd w:val="clear" w:color="auto" w:fill="DBDBDB"/>
          </w:tcPr>
          <w:p>
            <w:pPr>
              <w:spacing w:after="0"/>
              <w:rPr>
                <w:sz w:val="20"/>
                <w:szCs w:val="20"/>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154,688</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143,788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3,699,784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3,708,100</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spacing w:after="0"/>
              <w:rPr>
                <w:sz w:val="20"/>
                <w:szCs w:val="20"/>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24,598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3,672,856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3,683,502</w:t>
            </w:r>
          </w:p>
        </w:tc>
      </w:tr>
      <w:tr>
        <w:trPr>
          <w:trHeight w:val="26"/>
        </w:trPr>
        <w:tc>
          <w:tcPr>
            <w:tcW w:w="380" w:type="dxa"/>
            <w:vAlign w:val="bottom"/>
          </w:tcPr>
          <w:p>
            <w:pPr>
              <w:spacing w:after="0"/>
              <w:rPr>
                <w:sz w:val="2"/>
                <w:szCs w:val="2"/>
                <w:color w:val="auto"/>
              </w:rPr>
            </w:pPr>
          </w:p>
        </w:tc>
        <w:tc>
          <w:tcPr>
            <w:tcW w:w="6760" w:type="dxa"/>
            <w:vAlign w:val="bottom"/>
            <w:gridSpan w:val="3"/>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27"/>
        </w:trPr>
        <w:tc>
          <w:tcPr>
            <w:tcW w:w="380" w:type="dxa"/>
            <w:vAlign w:val="bottom"/>
          </w:tcPr>
          <w:p>
            <w:pPr>
              <w:spacing w:after="0"/>
              <w:rPr>
                <w:sz w:val="24"/>
                <w:szCs w:val="24"/>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Maturities of debt, including finance leases, during the periods subsequent to June 30, 2025 are as follows: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940" w:type="dxa"/>
            <w:vAlign w:val="bottom"/>
            <w:shd w:val="clear" w:color="auto" w:fill="1D2758"/>
          </w:tcPr>
          <w:p>
            <w:pPr>
              <w:spacing w:after="0"/>
              <w:rPr>
                <w:sz w:val="20"/>
                <w:szCs w:val="20"/>
                <w:color w:val="auto"/>
              </w:rPr>
            </w:pPr>
          </w:p>
        </w:tc>
        <w:tc>
          <w:tcPr>
            <w:tcW w:w="1880" w:type="dxa"/>
            <w:vAlign w:val="bottom"/>
            <w:shd w:val="clear" w:color="auto" w:fill="1D2758"/>
          </w:tcPr>
          <w:p>
            <w:pPr>
              <w:spacing w:after="0"/>
              <w:rPr>
                <w:sz w:val="20"/>
                <w:szCs w:val="20"/>
                <w:color w:val="auto"/>
              </w:rPr>
            </w:pPr>
          </w:p>
        </w:tc>
        <w:tc>
          <w:tcPr>
            <w:tcW w:w="300" w:type="dxa"/>
            <w:vAlign w:val="bottom"/>
            <w:shd w:val="clear" w:color="auto" w:fill="1D2758"/>
          </w:tcPr>
          <w:p>
            <w:pPr>
              <w:spacing w:after="0"/>
              <w:rPr>
                <w:sz w:val="20"/>
                <w:szCs w:val="20"/>
                <w:color w:val="auto"/>
              </w:rPr>
            </w:pPr>
          </w:p>
        </w:tc>
        <w:tc>
          <w:tcPr>
            <w:tcW w:w="170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spacing w:after="0"/>
              <w:rPr>
                <w:sz w:val="20"/>
                <w:szCs w:val="20"/>
                <w:color w:val="auto"/>
              </w:rPr>
            </w:pP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(remaining)</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20,011</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2026</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34,040</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1,612,794</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2028</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533,275</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525,396</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Thereafter</w:t>
            </w:r>
          </w:p>
        </w:tc>
        <w:tc>
          <w:tcPr>
            <w:tcW w:w="1940" w:type="dxa"/>
            <w:vAlign w:val="bottom"/>
            <w:tcBorders>
              <w:bottom w:val="single" w:sz="8" w:color="DBDBDB"/>
            </w:tcBorders>
          </w:tcPr>
          <w:p>
            <w:pPr>
              <w:spacing w:after="0"/>
              <w:rPr>
                <w:sz w:val="19"/>
                <w:szCs w:val="19"/>
                <w:color w:val="auto"/>
              </w:rPr>
            </w:pPr>
          </w:p>
        </w:tc>
        <w:tc>
          <w:tcPr>
            <w:tcW w:w="1880" w:type="dxa"/>
            <w:vAlign w:val="bottom"/>
            <w:tcBorders>
              <w:bottom w:val="single" w:sz="8" w:color="DBDBDB"/>
            </w:tcBorders>
          </w:tcPr>
          <w:p>
            <w:pPr>
              <w:spacing w:after="0"/>
              <w:rPr>
                <w:sz w:val="19"/>
                <w:szCs w:val="19"/>
                <w:color w:val="auto"/>
              </w:rPr>
            </w:pPr>
          </w:p>
        </w:tc>
        <w:tc>
          <w:tcPr>
            <w:tcW w:w="300" w:type="dxa"/>
            <w:vAlign w:val="bottom"/>
            <w:tcBorders>
              <w:bottom w:val="single" w:sz="8" w:color="DBDBDB"/>
            </w:tcBorders>
          </w:tcPr>
          <w:p>
            <w:pPr>
              <w:spacing w:after="0"/>
              <w:rPr>
                <w:sz w:val="19"/>
                <w:szCs w:val="19"/>
                <w:color w:val="auto"/>
              </w:rPr>
            </w:pPr>
          </w:p>
        </w:tc>
        <w:tc>
          <w:tcPr>
            <w:tcW w:w="17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1,034,493</w:t>
            </w:r>
          </w:p>
        </w:tc>
      </w:tr>
      <w:tr>
        <w:trPr>
          <w:trHeight w:val="250"/>
        </w:trPr>
        <w:tc>
          <w:tcPr>
            <w:tcW w:w="33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3,760,009</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294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On July 1, 2020, certain subsidiaries of the Company, including Williams Scotsman, Inc.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w:t>
      </w:r>
    </w:p>
    <w:p>
      <w:pPr>
        <w:spacing w:after="0" w:line="2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applicable margin for Canadian Bankers' Acceptance Rate, Term Secured Overnight Financing Rate ("SOFR"), British Pounds Sterling and Euro loans is 1.50%. In addition to the applicable margin, the facility includes a credit spread adjustment of 0.10%. The applicable margin for base rate and Canadian Prime Rate loans is 0.50%. The applicable margins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5"/>
          <w:szCs w:val="15"/>
          <w:color w:val="auto"/>
        </w:rPr>
        <w:t>are subject to one step down of 0.25% or one step up of 0.25% based on the Company's leverage ratio and excess availability from the prior quarter. The ABL Facility requires the payment of a commitment fee on the unused available borrowings of 0.20% annually. As of June 30, 2025, the weighted average interest rate for borrowings under the ABL Facility, as adjusted for the effects of the interest rate swap agreements, was 5.31%. Refer to Note 10 for a more detailed discussion on interest rate management.</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June 30, 2025, the Line Cap was $3.2 billion and the Company had $1.6 billion of available borrowing capacity under the ABL Facility, including $1.4 billion under the US Facility and $197.6 million under the Multicurrency Facility. Borrowing capacity under the ABL Facility is made available for up to $220.0 million of letters of credit and $220.0 million of swingline loans. At June 30, 2025, the available capacity was $193.5 million of letters of credit and $220.0 million of swingline loans. At June 30, 2025, letters of credit and bank guarantees carried fees of 1.625%. The Company had issued $26.5 million of standby letters of credit under the ABL Facility at June 30, 2025.</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had approximately $1.6 billion of outstanding borrowings under the ABL Facility at June 30, 2025. Debt issuance costs of $14.1 million and $19.0 million were included in the carrying value of the ABL Facility at June 30, 2025 and December 31, 2024, respectively. As of June 30, 2025, the Company had no outstanding principal borrowings on the Multicurrency Facility and $1.1 million of related debt issuance costs, which were recorded in other non-current assets on the condensed consolidated balance sheet.</w:t>
      </w:r>
    </w:p>
    <w:p>
      <w:pPr>
        <w:spacing w:after="0" w:line="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ABL Facility and related guarantees are secured by a first priority security interest in substantially all of the assets of WSI and the Company’s other subsidiaries that are borrowers or guarantors under the ABL Facility, subject to customary exclusions.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26, 2025, WSI completed a private offering of $500.0 million in aggregate principal amount of its 6.625% senior secured notes due 2030 (the "2030 Secured Notes") to qualified institutional buyers pursuant to Rule 144A under the Securities Act of 1933, as amended and to non-U.S. persons outside the U.S. in accordance with Regulation S under the Securities Act. The 2030 Secured Notes mature on April 15, 2030 and bear interest at a rate of 6.625% per annum. Interest is payable semi-annually on April 15 and October 15 of each year, beginning October 15, 2025. Unamortized deferred financing costs pertaining to the 2030 Secured Notes were $6.4 million as of June 30, 2025.</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27, 2025, net proceeds from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w:t>
      </w:r>
    </w:p>
    <w:p>
      <w:pPr>
        <w:spacing w:after="0" w:line="2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liens), the collateral securing the 2029 Secured Notes, 2030 Secured Notes, and the 2031 Secured Notes will be released and the 2029 Secured Notes, 2030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maintains finance leases primarily for transportation and branch operations-related equipment. At June 30, 2025 and December 31, 2024, obligations under the finance leases were $154.7 million and $143.8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 Compliance</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June 30, 2025.</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8 –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connection with the stock compensation vesting and stock option exercises described in Note 12, the Company issued 1,300,135 shares of Common Stock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Dividends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February 18, 2025, the Company's Board of Directors approved a quarterly dividend program. Under the program, subject to quarterly approval and declaration by the Board of Directors, dividends will be payable on the third Wednesday of the third month of each calendar quarter to stockholders of record as of the first Wednesday of that same month.</w:t>
      </w:r>
    </w:p>
    <w:p>
      <w:pPr>
        <w:jc w:val="both"/>
        <w:ind w:firstLine="619"/>
        <w:spacing w:after="0" w:line="312" w:lineRule="auto"/>
        <w:rPr>
          <w:sz w:val="20"/>
          <w:szCs w:val="20"/>
          <w:color w:val="auto"/>
        </w:rPr>
      </w:pPr>
      <w:r>
        <w:rPr>
          <w:rFonts w:ascii="Arial" w:cs="Arial" w:eastAsia="Arial" w:hAnsi="Arial"/>
          <w:sz w:val="15"/>
          <w:szCs w:val="15"/>
          <w:color w:val="auto"/>
        </w:rPr>
        <w:t>In February 2025, the Board of Directors declared a quarterly dividend of $0.07 per share, totaling $13.0 million. In May 2025, the Board of Directors declared a quarterly dividend of $0.07 per share, totaling $12.9 million. Dividends paid were $25.6 million for the six months ended June 30, 2025.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w:t>
      </w:r>
    </w:p>
    <w:p>
      <w:pPr>
        <w:jc w:val="both"/>
        <w:ind w:firstLine="619"/>
        <w:spacing w:after="0" w:line="291" w:lineRule="auto"/>
        <w:rPr>
          <w:sz w:val="20"/>
          <w:szCs w:val="20"/>
          <w:color w:val="auto"/>
        </w:rPr>
      </w:pPr>
      <w:r>
        <w:rPr>
          <w:rFonts w:ascii="Arial" w:cs="Arial" w:eastAsia="Arial" w:hAnsi="Arial"/>
          <w:sz w:val="15"/>
          <w:szCs w:val="15"/>
          <w:color w:val="auto"/>
        </w:rPr>
        <w:t>During the six months ended June 30, 2025, the Company repurchased 2,628,041 shares of Common Stock for $71.9 million, excluding excise tax. As of June 30, 2025, $750.0 million of the authorization for future repurchases of Common Stock remained available.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six months ended June 30, 2025 and 2024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shd w:val="clear" w:color="auto" w:fill="1D2758"/>
          </w:tcPr>
          <w:p>
            <w:pPr>
              <w:spacing w:after="0"/>
              <w:rPr>
                <w:sz w:val="20"/>
                <w:szCs w:val="20"/>
                <w:color w:val="auto"/>
              </w:rPr>
            </w:pPr>
          </w:p>
        </w:tc>
        <w:tc>
          <w:tcPr>
            <w:tcW w:w="560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4080" w:type="dxa"/>
            <w:vAlign w:val="bottom"/>
            <w:gridSpan w:val="10"/>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Six Months Ended June 30, 2025</w:t>
            </w:r>
          </w:p>
        </w:tc>
        <w:tc>
          <w:tcPr>
            <w:tcW w:w="136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1D2758"/>
          </w:tcPr>
          <w:p>
            <w:pPr>
              <w:spacing w:after="0"/>
              <w:rPr>
                <w:sz w:val="17"/>
                <w:szCs w:val="17"/>
                <w:color w:val="auto"/>
              </w:rPr>
            </w:pPr>
          </w:p>
        </w:tc>
        <w:tc>
          <w:tcPr>
            <w:tcW w:w="560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700" w:type="dxa"/>
            <w:vAlign w:val="bottom"/>
            <w:gridSpan w:val="3"/>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2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Unrealized gains</w:t>
            </w:r>
          </w:p>
        </w:tc>
        <w:tc>
          <w:tcPr>
            <w:tcW w:w="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1D2758"/>
          </w:tcPr>
          <w:p>
            <w:pPr>
              <w:spacing w:after="0"/>
              <w:rPr>
                <w:sz w:val="15"/>
                <w:szCs w:val="15"/>
                <w:color w:val="auto"/>
              </w:rPr>
            </w:pPr>
          </w:p>
        </w:tc>
        <w:tc>
          <w:tcPr>
            <w:tcW w:w="560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1700" w:type="dxa"/>
            <w:vAlign w:val="bottom"/>
            <w:gridSpan w:val="3"/>
            <w:vMerge w:val="continue"/>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(losses) on hedging</w:t>
            </w:r>
          </w:p>
        </w:tc>
        <w:tc>
          <w:tcPr>
            <w:tcW w:w="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36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1700" w:type="dxa"/>
            <w:vAlign w:val="bottom"/>
            <w:gridSpan w:val="3"/>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20" w:type="dxa"/>
            <w:vAlign w:val="bottom"/>
            <w:shd w:val="clear" w:color="auto" w:fill="1D2758"/>
          </w:tcPr>
          <w:p>
            <w:pPr>
              <w:spacing w:after="0"/>
              <w:rPr>
                <w:sz w:val="19"/>
                <w:szCs w:val="19"/>
                <w:color w:val="auto"/>
              </w:rPr>
            </w:pPr>
          </w:p>
        </w:tc>
        <w:tc>
          <w:tcPr>
            <w:tcW w:w="140" w:type="dxa"/>
            <w:vAlign w:val="bottom"/>
            <w:shd w:val="clear" w:color="auto" w:fill="1D2758"/>
          </w:tcPr>
          <w:p>
            <w:pPr>
              <w:spacing w:after="0"/>
              <w:rPr>
                <w:sz w:val="19"/>
                <w:szCs w:val="19"/>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activities</w:t>
            </w:r>
          </w:p>
        </w:tc>
        <w:tc>
          <w:tcPr>
            <w:tcW w:w="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32"/>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(80,720)</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ind w:left="1160"/>
              <w:spacing w:after="0"/>
              <w:rPr>
                <w:sz w:val="20"/>
                <w:szCs w:val="20"/>
                <w:color w:val="auto"/>
              </w:rPr>
            </w:pPr>
            <w:r>
              <w:rPr>
                <w:rFonts w:ascii="Arial" w:cs="Arial" w:eastAsia="Arial" w:hAnsi="Arial"/>
                <w:sz w:val="15"/>
                <w:szCs w:val="15"/>
                <w:color w:val="auto"/>
              </w:rPr>
              <w:t>10,093</w:t>
            </w:r>
          </w:p>
        </w:tc>
        <w:tc>
          <w:tcPr>
            <w:tcW w:w="2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center"/>
              <w:ind w:left="1103"/>
              <w:spacing w:after="0"/>
              <w:rPr>
                <w:sz w:val="20"/>
                <w:szCs w:val="20"/>
                <w:color w:val="auto"/>
              </w:rPr>
            </w:pPr>
            <w:r>
              <w:rPr>
                <w:rFonts w:ascii="Arial" w:cs="Arial" w:eastAsia="Arial" w:hAnsi="Arial"/>
                <w:sz w:val="15"/>
                <w:szCs w:val="15"/>
                <w:color w:val="auto"/>
              </w:rPr>
              <w:t>(5,710)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(5,549)</w:t>
            </w:r>
          </w:p>
        </w:tc>
        <w:tc>
          <w:tcPr>
            <w:tcW w:w="0" w:type="dxa"/>
            <w:vAlign w:val="bottom"/>
          </w:tcPr>
          <w:p>
            <w:pPr>
              <w:spacing w:after="0"/>
              <w:rPr>
                <w:sz w:val="1"/>
                <w:szCs w:val="1"/>
                <w:color w:val="auto"/>
              </w:rPr>
            </w:pPr>
          </w:p>
        </w:tc>
      </w:tr>
      <w:tr>
        <w:trPr>
          <w:trHeight w:val="239"/>
        </w:trPr>
        <w:tc>
          <w:tcPr>
            <w:tcW w:w="20" w:type="dxa"/>
            <w:vAlign w:val="bottom"/>
            <w:shd w:val="clear" w:color="auto" w:fill="DBDBDB"/>
          </w:tcPr>
          <w:p>
            <w:pPr>
              <w:spacing w:after="0"/>
              <w:rPr>
                <w:sz w:val="20"/>
                <w:szCs w:val="20"/>
                <w:color w:val="auto"/>
              </w:rPr>
            </w:pPr>
          </w:p>
        </w:tc>
        <w:tc>
          <w:tcPr>
            <w:tcW w:w="5600" w:type="dxa"/>
            <w:vAlign w:val="bottom"/>
            <w:shd w:val="clear" w:color="auto" w:fill="DBDBDB"/>
          </w:tcPr>
          <w:p>
            <w:pPr>
              <w:ind w:left="20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70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80" w:type="dxa"/>
            <w:vAlign w:val="bottom"/>
            <w:shd w:val="clear" w:color="auto" w:fill="DBDBDB"/>
          </w:tcPr>
          <w:p>
            <w:pPr>
              <w:jc w:val="center"/>
              <w:ind w:left="1103"/>
              <w:spacing w:after="0"/>
              <w:rPr>
                <w:sz w:val="20"/>
                <w:szCs w:val="20"/>
                <w:color w:val="auto"/>
              </w:rPr>
            </w:pPr>
            <w:r>
              <w:rPr>
                <w:rFonts w:ascii="Arial" w:cs="Arial" w:eastAsia="Arial" w:hAnsi="Arial"/>
                <w:sz w:val="15"/>
                <w:szCs w:val="15"/>
                <w:color w:val="auto"/>
              </w:rPr>
              <w:t>(2,431)</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0" w:type="dxa"/>
            <w:vAlign w:val="bottom"/>
          </w:tcPr>
          <w:p>
            <w:pPr>
              <w:spacing w:after="0"/>
              <w:rPr>
                <w:sz w:val="1"/>
                <w:szCs w:val="1"/>
                <w:color w:val="auto"/>
              </w:rPr>
            </w:pPr>
          </w:p>
        </w:tc>
      </w:tr>
      <w:tr>
        <w:trPr>
          <w:trHeight w:val="218"/>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Balance at March 31, 2025</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(80,559)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left="1123"/>
              <w:spacing w:after="0"/>
              <w:rPr>
                <w:sz w:val="20"/>
                <w:szCs w:val="20"/>
                <w:color w:val="auto"/>
              </w:rPr>
            </w:pPr>
            <w:r>
              <w:rPr>
                <w:rFonts w:ascii="Arial" w:cs="Arial" w:eastAsia="Arial" w:hAnsi="Arial"/>
                <w:sz w:val="15"/>
                <w:szCs w:val="15"/>
                <w:color w:val="auto"/>
              </w:rPr>
              <w:t>1,952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(78,607)</w:t>
            </w:r>
          </w:p>
        </w:tc>
        <w:tc>
          <w:tcPr>
            <w:tcW w:w="0" w:type="dxa"/>
            <w:vAlign w:val="bottom"/>
          </w:tcPr>
          <w:p>
            <w:pPr>
              <w:spacing w:after="0"/>
              <w:rPr>
                <w:sz w:val="1"/>
                <w:szCs w:val="1"/>
                <w:color w:val="auto"/>
              </w:rPr>
            </w:pPr>
          </w:p>
        </w:tc>
      </w:tr>
      <w:tr>
        <w:trPr>
          <w:trHeight w:val="239"/>
        </w:trPr>
        <w:tc>
          <w:tcPr>
            <w:tcW w:w="20" w:type="dxa"/>
            <w:vAlign w:val="bottom"/>
            <w:shd w:val="clear" w:color="auto" w:fill="DBDBDB"/>
          </w:tcPr>
          <w:p>
            <w:pPr>
              <w:spacing w:after="0"/>
              <w:rPr>
                <w:sz w:val="20"/>
                <w:szCs w:val="20"/>
                <w:color w:val="auto"/>
              </w:rPr>
            </w:pPr>
          </w:p>
        </w:tc>
        <w:tc>
          <w:tcPr>
            <w:tcW w:w="5600" w:type="dxa"/>
            <w:vAlign w:val="bottom"/>
            <w:shd w:val="clear" w:color="auto" w:fill="DBDBDB"/>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16,278</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80" w:type="dxa"/>
            <w:vAlign w:val="bottom"/>
            <w:shd w:val="clear" w:color="auto" w:fill="DBDBDB"/>
          </w:tcPr>
          <w:p>
            <w:pPr>
              <w:jc w:val="center"/>
              <w:ind w:left="1103"/>
              <w:spacing w:after="0"/>
              <w:rPr>
                <w:sz w:val="20"/>
                <w:szCs w:val="20"/>
                <w:color w:val="auto"/>
              </w:rPr>
            </w:pPr>
            <w:r>
              <w:rPr>
                <w:rFonts w:ascii="Arial" w:cs="Arial" w:eastAsia="Arial" w:hAnsi="Arial"/>
                <w:sz w:val="15"/>
                <w:szCs w:val="15"/>
                <w:color w:val="auto"/>
              </w:rPr>
              <w:t>(1,469)</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14,809</w:t>
            </w:r>
          </w:p>
        </w:tc>
        <w:tc>
          <w:tcPr>
            <w:tcW w:w="0" w:type="dxa"/>
            <w:vAlign w:val="bottom"/>
          </w:tcPr>
          <w:p>
            <w:pPr>
              <w:spacing w:after="0"/>
              <w:rPr>
                <w:sz w:val="1"/>
                <w:szCs w:val="1"/>
                <w:color w:val="auto"/>
              </w:rPr>
            </w:pPr>
          </w:p>
        </w:tc>
      </w:tr>
      <w:tr>
        <w:trPr>
          <w:trHeight w:val="225"/>
        </w:trPr>
        <w:tc>
          <w:tcPr>
            <w:tcW w:w="20" w:type="dxa"/>
            <w:vAlign w:val="bottom"/>
            <w:tcBorders>
              <w:bottom w:val="single" w:sz="8" w:color="DBDBDB"/>
            </w:tcBorders>
          </w:tcPr>
          <w:p>
            <w:pPr>
              <w:spacing w:after="0"/>
              <w:rPr>
                <w:sz w:val="19"/>
                <w:szCs w:val="19"/>
                <w:color w:val="auto"/>
              </w:rPr>
            </w:pPr>
          </w:p>
        </w:tc>
        <w:tc>
          <w:tcPr>
            <w:tcW w:w="5600" w:type="dxa"/>
            <w:vAlign w:val="bottom"/>
            <w:tcBorders>
              <w:bottom w:val="single" w:sz="8" w:color="DBDBDB"/>
            </w:tcBorders>
          </w:tcPr>
          <w:p>
            <w:pPr>
              <w:ind w:left="20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1103"/>
              <w:spacing w:after="0"/>
              <w:rPr>
                <w:sz w:val="20"/>
                <w:szCs w:val="20"/>
                <w:color w:val="auto"/>
              </w:rPr>
            </w:pPr>
            <w:r>
              <w:rPr>
                <w:rFonts w:ascii="Arial" w:cs="Arial" w:eastAsia="Arial" w:hAnsi="Arial"/>
                <w:sz w:val="15"/>
                <w:szCs w:val="15"/>
                <w:color w:val="auto"/>
              </w:rPr>
              <w:t>(2,453)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(2,453)</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5"/>
                <w:szCs w:val="15"/>
                <w:color w:val="auto"/>
              </w:rPr>
              <w:t>Balance at June 30, 2025</w:t>
            </w:r>
          </w:p>
        </w:tc>
        <w:tc>
          <w:tcPr>
            <w:tcW w:w="1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(64,281)</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DBDBDB"/>
          </w:tcPr>
          <w:p>
            <w:pPr>
              <w:jc w:val="center"/>
              <w:ind w:left="1103"/>
              <w:spacing w:after="0"/>
              <w:rPr>
                <w:sz w:val="20"/>
                <w:szCs w:val="20"/>
                <w:color w:val="auto"/>
              </w:rPr>
            </w:pPr>
            <w:r>
              <w:rPr>
                <w:rFonts w:ascii="Arial" w:cs="Arial" w:eastAsia="Arial" w:hAnsi="Arial"/>
                <w:sz w:val="15"/>
                <w:szCs w:val="15"/>
                <w:color w:val="auto"/>
              </w:rPr>
              <w:t>(1,970)</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DBDBDB"/>
            </w:tcBorders>
            <w:gridSpan w:val="2"/>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82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44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4080" w:type="dxa"/>
            <w:vAlign w:val="bottom"/>
            <w:gridSpan w:val="10"/>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Six Months Ended June 30, 2024</w:t>
            </w:r>
          </w:p>
        </w:tc>
        <w:tc>
          <w:tcPr>
            <w:tcW w:w="13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700" w:type="dxa"/>
            <w:vAlign w:val="bottom"/>
            <w:gridSpan w:val="3"/>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Foreign currency</w:t>
            </w:r>
          </w:p>
        </w:tc>
        <w:tc>
          <w:tcPr>
            <w:tcW w:w="2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Unrealized gains on</w:t>
            </w:r>
          </w:p>
        </w:tc>
        <w:tc>
          <w:tcPr>
            <w:tcW w:w="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700" w:type="dxa"/>
            <w:vAlign w:val="bottom"/>
            <w:gridSpan w:val="3"/>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translation</w:t>
            </w:r>
          </w:p>
        </w:tc>
        <w:tc>
          <w:tcPr>
            <w:tcW w:w="2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700" w:type="dxa"/>
            <w:vAlign w:val="bottom"/>
            <w:gridSpan w:val="2"/>
            <w:shd w:val="clear" w:color="auto" w:fill="1D2758"/>
          </w:tcPr>
          <w:p>
            <w:pPr>
              <w:jc w:val="center"/>
              <w:ind w:right="160"/>
              <w:spacing w:after="0"/>
              <w:rPr>
                <w:sz w:val="20"/>
                <w:szCs w:val="20"/>
                <w:color w:val="auto"/>
              </w:rPr>
            </w:pPr>
            <w:r>
              <w:rPr>
                <w:rFonts w:ascii="Arial" w:cs="Arial" w:eastAsia="Arial" w:hAnsi="Arial"/>
                <w:sz w:val="15"/>
                <w:szCs w:val="15"/>
                <w:b w:val="1"/>
                <w:bCs w:val="1"/>
                <w:color w:val="FFFFFF"/>
              </w:rPr>
              <w:t>hedging activities</w:t>
            </w: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420" w:type="dxa"/>
            <w:vAlign w:val="bottom"/>
            <w:shd w:val="clear" w:color="auto" w:fill="1D2758"/>
          </w:tcPr>
          <w:p>
            <w:pPr>
              <w:spacing w:after="0"/>
              <w:rPr>
                <w:sz w:val="20"/>
                <w:szCs w:val="20"/>
                <w:color w:val="auto"/>
              </w:rPr>
            </w:pPr>
          </w:p>
        </w:tc>
        <w:tc>
          <w:tcPr>
            <w:tcW w:w="136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(56,031)</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3,263</w:t>
            </w:r>
          </w:p>
        </w:tc>
        <w:tc>
          <w:tcPr>
            <w:tcW w:w="2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18,807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13,259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700" w:type="dxa"/>
            <w:vAlign w:val="bottom"/>
            <w:gridSpan w:val="3"/>
            <w:shd w:val="clear" w:color="auto" w:fill="DBDBDB"/>
          </w:tcPr>
          <w:p>
            <w:pPr>
              <w:ind w:left="1400"/>
              <w:spacing w:after="0"/>
              <w:rPr>
                <w:sz w:val="20"/>
                <w:szCs w:val="20"/>
                <w:color w:val="auto"/>
              </w:rPr>
            </w:pPr>
            <w:r>
              <w:rPr>
                <w:rFonts w:ascii="Arial" w:cs="Arial" w:eastAsia="Arial" w:hAnsi="Arial"/>
                <w:sz w:val="15"/>
                <w:szCs w:val="15"/>
                <w:color w:val="auto"/>
              </w:rPr>
              <w:t>—</w:t>
            </w: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80" w:type="dxa"/>
            <w:vAlign w:val="bottom"/>
            <w:shd w:val="clear" w:color="auto" w:fill="DBDBDB"/>
          </w:tcPr>
          <w:p>
            <w:pPr>
              <w:ind w:left="1160"/>
              <w:spacing w:after="0"/>
              <w:rPr>
                <w:sz w:val="20"/>
                <w:szCs w:val="20"/>
                <w:color w:val="auto"/>
              </w:rPr>
            </w:pPr>
            <w:r>
              <w:rPr>
                <w:rFonts w:ascii="Arial" w:cs="Arial" w:eastAsia="Arial" w:hAnsi="Arial"/>
                <w:sz w:val="15"/>
                <w:szCs w:val="15"/>
                <w:color w:val="auto"/>
              </w:rPr>
              <w:t>(5,267)</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5"/>
                <w:szCs w:val="15"/>
                <w:color w:val="auto"/>
              </w:rPr>
              <w:t>Balance at March 31, 2024</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(61,579)</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(44,776)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(4,154)</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7,247</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14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160"/>
              <w:spacing w:after="0"/>
              <w:rPr>
                <w:sz w:val="20"/>
                <w:szCs w:val="20"/>
                <w:color w:val="auto"/>
              </w:rPr>
            </w:pPr>
            <w:r>
              <w:rPr>
                <w:rFonts w:ascii="Arial" w:cs="Arial" w:eastAsia="Arial" w:hAnsi="Arial"/>
                <w:sz w:val="15"/>
                <w:szCs w:val="15"/>
                <w:color w:val="auto"/>
              </w:rPr>
              <w:t>(5,623)</w:t>
            </w: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(65,733)</w:t>
            </w:r>
          </w:p>
        </w:tc>
        <w:tc>
          <w:tcPr>
            <w:tcW w:w="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18,427</w:t>
            </w:r>
          </w:p>
        </w:tc>
        <w:tc>
          <w:tcPr>
            <w:tcW w:w="2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reclassified amounts from AOCI into the condensed consolidated statements of operations within interest expense related to the interest rate swaps. Associated with these reclassifications, the Company recorded tax expense of $0.7 million and $1.6 million for the three months ended June 30, 2025 and 2024, respectively, and tax expense of $1.3 million and $3.0 million for the six months ended June 30, 2025 and 2024, respectively. The interest rate swaps are discussed in Note 10.</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9 – Income Taxes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recorded $20.0 million and $37.9 million of income tax expense for the three and six months ended June 30, 2025, respectively, and $13.9 million of income tax benefit and $3.2 million of income tax expense for the three and six months ended June 30, 2024, respectively. The Company’s effective tax rate was 29.4% for both the three and six months ended June 30, 2025. The Company's effective tax rate for the three and six months ended June 30, 2024 was 22.9% and 25.4%,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5" w:name="page16"/>
    <w:bookmarkEnd w:id="15"/>
    <w:p>
      <w:pPr>
        <w:jc w:val="both"/>
        <w:ind w:firstLine="619"/>
        <w:spacing w:after="0" w:line="271" w:lineRule="auto"/>
        <w:rPr>
          <w:sz w:val="20"/>
          <w:szCs w:val="20"/>
          <w:color w:val="auto"/>
        </w:rPr>
      </w:pPr>
      <w:r>
        <w:rPr>
          <w:rFonts w:ascii="Arial" w:cs="Arial" w:eastAsia="Arial" w:hAnsi="Arial"/>
          <w:sz w:val="15"/>
          <w:szCs w:val="15"/>
          <w:color w:val="auto"/>
        </w:rPr>
        <w:t>The effective tax rate for the three and six months ended June 30, 2025 differed from the US federal statutory rate of 21% primarily due to state and provincial taxes, non-deductible executive compensation, and discrete tax expense related to equity compensation. The effective tax rate for the three and six months ended June 30, 2024 differed from the US federal statutory rate of 21% primarily due to state and provincial taxes and non-deductible executive compensation, partially offset by a discrete tax benefit related to employee stock vesting.</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July 4, 2025, the United States Congress passed the budget reconciliation bill H.R. 1 referred to as the One Big Beautiful Bill (“OBBB”). The OBBB contains several changes to corporate taxation including modifications to capitalization of research and development expenses, limitations on deductions for interest expense and accelerated fixed asset depreciation. The Company is in the process of evaluating the effect of the OBBB on its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NOTE 10 - Derivatives</w:t>
      </w:r>
    </w:p>
    <w:p>
      <w:pPr>
        <w:spacing w:after="0" w:line="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w:t>
      </w:r>
    </w:p>
    <w:p>
      <w:pPr>
        <w:spacing w:after="0" w:line="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The swap agreements terminate on June 30, 2027. At June 30, 2025, the floating rate that the Company received under the terms of these swap agreements was 4.32% for the swap agreements entered in January 2023 and 4.31% for the swap agreements entered in January 2024.</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900"/>
              <w:spacing w:after="0"/>
              <w:rPr>
                <w:sz w:val="20"/>
                <w:szCs w:val="20"/>
                <w:color w:val="auto"/>
              </w:rPr>
            </w:pPr>
            <w:r>
              <w:rPr>
                <w:rFonts w:ascii="Arial" w:cs="Arial" w:eastAsia="Arial" w:hAnsi="Arial"/>
                <w:sz w:val="15"/>
                <w:szCs w:val="15"/>
                <w:b w:val="1"/>
                <w:bCs w:val="1"/>
                <w:color w:val="FFFFFF"/>
              </w:rPr>
              <w:t>Balance Sheet Location</w:t>
            </w:r>
          </w:p>
        </w:tc>
        <w:tc>
          <w:tcPr>
            <w:tcW w:w="1000" w:type="dxa"/>
            <w:vAlign w:val="bottom"/>
            <w:shd w:val="clear" w:color="auto" w:fill="1D2758"/>
          </w:tcPr>
          <w:p>
            <w:pPr>
              <w:spacing w:after="0"/>
              <w:rPr>
                <w:sz w:val="20"/>
                <w:szCs w:val="20"/>
                <w:color w:val="auto"/>
              </w:rPr>
            </w:pPr>
          </w:p>
        </w:tc>
        <w:tc>
          <w:tcPr>
            <w:tcW w:w="174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June 30, 2025</w:t>
            </w:r>
          </w:p>
        </w:tc>
        <w:tc>
          <w:tcPr>
            <w:tcW w:w="240" w:type="dxa"/>
            <w:vAlign w:val="bottom"/>
            <w:shd w:val="clear" w:color="auto" w:fill="1D2758"/>
          </w:tcPr>
          <w:p>
            <w:pPr>
              <w:spacing w:after="0"/>
              <w:rPr>
                <w:sz w:val="20"/>
                <w:szCs w:val="20"/>
                <w:color w:val="auto"/>
              </w:rPr>
            </w:pPr>
          </w:p>
        </w:tc>
        <w:tc>
          <w:tcPr>
            <w:tcW w:w="184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2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34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7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840" w:type="dxa"/>
            <w:vAlign w:val="bottom"/>
            <w:shd w:val="clear" w:color="auto" w:fill="DBDBDB"/>
          </w:tcPr>
          <w:p>
            <w:pPr>
              <w:spacing w:after="0"/>
              <w:rPr>
                <w:sz w:val="20"/>
                <w:szCs w:val="20"/>
                <w:color w:val="auto"/>
              </w:rPr>
            </w:pP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10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3,408</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6,990</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assets</w:t>
            </w:r>
          </w:p>
        </w:tc>
        <w:tc>
          <w:tcPr>
            <w:tcW w:w="10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6,666</w:t>
            </w:r>
          </w:p>
        </w:tc>
      </w:tr>
      <w:tr>
        <w:trPr>
          <w:trHeight w:val="218"/>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Other non-current liabilities</w:t>
            </w:r>
          </w:p>
        </w:tc>
        <w:tc>
          <w:tcPr>
            <w:tcW w:w="10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(5,846)</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4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swaps was based on dealer quotes of market forward rates, a Level 2 input on the fair value hierarchy (see Note 11), and reflected the amount that the Company would receive or pay for contracts involving the same attributes and maturity dates.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condensed consolidated statements of operations for the six months ended June 30, 2025 and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4020" w:type="dxa"/>
            <w:vAlign w:val="bottom"/>
            <w:gridSpan w:val="3"/>
            <w:shd w:val="clear" w:color="auto" w:fill="1D2758"/>
          </w:tcPr>
          <w:p>
            <w:pPr>
              <w:ind w:left="900"/>
              <w:spacing w:after="0"/>
              <w:rPr>
                <w:sz w:val="20"/>
                <w:szCs w:val="20"/>
                <w:color w:val="auto"/>
              </w:rPr>
            </w:pPr>
            <w:r>
              <w:rPr>
                <w:rFonts w:ascii="Arial" w:cs="Arial" w:eastAsia="Arial" w:hAnsi="Arial"/>
                <w:sz w:val="15"/>
                <w:szCs w:val="15"/>
                <w:b w:val="1"/>
                <w:bCs w:val="1"/>
                <w:color w:val="FFFFFF"/>
              </w:rPr>
              <w:t>Six Months Ended June 30,</w:t>
            </w:r>
          </w:p>
        </w:tc>
      </w:tr>
      <w:tr>
        <w:trPr>
          <w:trHeight w:val="232"/>
        </w:trPr>
        <w:tc>
          <w:tcPr>
            <w:tcW w:w="7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9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2025</w:t>
            </w:r>
          </w:p>
        </w:tc>
        <w:tc>
          <w:tcPr>
            <w:tcW w:w="26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gain recognized in OCI</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(11,170)</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31,104</w:t>
            </w:r>
          </w:p>
        </w:tc>
      </w:tr>
      <w:tr>
        <w:trPr>
          <w:trHeight w:val="225"/>
        </w:trPr>
        <w:tc>
          <w:tcPr>
            <w:tcW w:w="700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220" w:type="dxa"/>
            <w:vAlign w:val="bottom"/>
          </w:tcPr>
          <w:p>
            <w:pPr>
              <w:spacing w:after="0"/>
              <w:rPr>
                <w:sz w:val="19"/>
                <w:szCs w:val="19"/>
                <w:color w:val="auto"/>
              </w:rPr>
            </w:pP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9"/>
                <w:szCs w:val="19"/>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r>
      <w:tr>
        <w:trPr>
          <w:trHeight w:val="239"/>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reclassified from AOCI into income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(4,884)</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(10,890)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11 - Fair Value Measures</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4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7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June 30, 2025 and December 31, 2024 approximate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jc w:val="both"/>
        <w:spacing w:after="0" w:line="294" w:lineRule="auto"/>
        <w:rPr>
          <w:sz w:val="20"/>
          <w:szCs w:val="20"/>
          <w:color w:val="auto"/>
        </w:rPr>
      </w:pPr>
      <w:r>
        <w:rPr>
          <w:rFonts w:ascii="Arial" w:cs="Arial" w:eastAsia="Arial" w:hAnsi="Arial"/>
          <w:sz w:val="15"/>
          <w:szCs w:val="15"/>
          <w:color w:val="auto"/>
        </w:rPr>
        <w:t>their respective book values. The carrying value of the ABL Facility, excluding debt issuance costs, approximates fair value as the interest rates are variable and reflective of current market rates.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values of the Secured Notes are based on their last trading price at the end of each period obtained from a third party. The following table shows the carrying amounts and fair values of these financial liabilities measured using Level 2 inputs: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220" w:type="dxa"/>
            <w:vAlign w:val="bottom"/>
            <w:gridSpan w:val="3"/>
            <w:shd w:val="clear" w:color="auto" w:fill="1D2758"/>
          </w:tcPr>
          <w:p>
            <w:pPr>
              <w:jc w:val="right"/>
              <w:ind w:right="1103"/>
              <w:spacing w:after="0"/>
              <w:rPr>
                <w:sz w:val="20"/>
                <w:szCs w:val="20"/>
                <w:color w:val="auto"/>
              </w:rPr>
            </w:pPr>
            <w:r>
              <w:rPr>
                <w:rFonts w:ascii="Arial" w:cs="Arial" w:eastAsia="Arial" w:hAnsi="Arial"/>
                <w:sz w:val="15"/>
                <w:szCs w:val="15"/>
                <w:b w:val="1"/>
                <w:bCs w:val="1"/>
                <w:color w:val="FFFFFF"/>
              </w:rPr>
              <w:t>June 30, 2025</w:t>
            </w:r>
          </w:p>
        </w:tc>
        <w:tc>
          <w:tcPr>
            <w:tcW w:w="180" w:type="dxa"/>
            <w:vAlign w:val="bottom"/>
            <w:shd w:val="clear" w:color="auto" w:fill="1D2758"/>
          </w:tcPr>
          <w:p>
            <w:pPr>
              <w:spacing w:after="0"/>
              <w:rPr>
                <w:sz w:val="20"/>
                <w:szCs w:val="20"/>
                <w:color w:val="auto"/>
              </w:rPr>
            </w:pPr>
          </w:p>
        </w:tc>
        <w:tc>
          <w:tcPr>
            <w:tcW w:w="3240" w:type="dxa"/>
            <w:vAlign w:val="bottom"/>
            <w:gridSpan w:val="3"/>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226"/>
        </w:trPr>
        <w:tc>
          <w:tcPr>
            <w:tcW w:w="4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Fair Value</w:t>
            </w:r>
          </w:p>
        </w:tc>
        <w:tc>
          <w:tcPr>
            <w:tcW w:w="18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Fair Value</w:t>
            </w:r>
          </w:p>
        </w:tc>
        <w:tc>
          <w:tcPr>
            <w:tcW w:w="0" w:type="dxa"/>
            <w:vAlign w:val="bottom"/>
          </w:tcPr>
          <w:p>
            <w:pPr>
              <w:spacing w:after="0"/>
              <w:rPr>
                <w:sz w:val="1"/>
                <w:szCs w:val="1"/>
                <w:color w:val="auto"/>
              </w:rPr>
            </w:pPr>
          </w:p>
        </w:tc>
      </w:tr>
      <w:tr>
        <w:trPr>
          <w:trHeight w:val="97"/>
        </w:trPr>
        <w:tc>
          <w:tcPr>
            <w:tcW w:w="444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38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4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DBDBDB"/>
          </w:tcPr>
          <w:p>
            <w:pPr>
              <w:jc w:val="right"/>
              <w:ind w:right="123"/>
              <w:spacing w:after="0"/>
              <w:rPr>
                <w:sz w:val="20"/>
                <w:szCs w:val="20"/>
                <w:color w:val="auto"/>
              </w:rPr>
            </w:pPr>
            <w:r>
              <w:rPr>
                <w:rFonts w:ascii="Arial" w:cs="Arial" w:eastAsia="Arial" w:hAnsi="Arial"/>
                <w:sz w:val="15"/>
                <w:szCs w:val="15"/>
                <w:color w:val="auto"/>
              </w:rPr>
              <w:t>— $</w:t>
            </w: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527,269</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2028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496,143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494,375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495,582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477,170</w:t>
            </w:r>
          </w:p>
        </w:tc>
        <w:tc>
          <w:tcPr>
            <w:tcW w:w="0" w:type="dxa"/>
            <w:vAlign w:val="bottom"/>
          </w:tcPr>
          <w:p>
            <w:pPr>
              <w:spacing w:after="0"/>
              <w:rPr>
                <w:sz w:val="1"/>
                <w:szCs w:val="1"/>
                <w:color w:val="auto"/>
              </w:rPr>
            </w:pPr>
          </w:p>
        </w:tc>
      </w:tr>
      <w:tr>
        <w:trPr>
          <w:trHeight w:val="239"/>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 Secured Notes</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493,025</w:t>
            </w:r>
          </w:p>
        </w:tc>
        <w:tc>
          <w:tcPr>
            <w:tcW w:w="3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514,430</w:t>
            </w:r>
          </w:p>
        </w:tc>
        <w:tc>
          <w:tcPr>
            <w:tcW w:w="18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492,467</w:t>
            </w:r>
          </w:p>
        </w:tc>
        <w:tc>
          <w:tcPr>
            <w:tcW w:w="32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506,235</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2030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493,607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519,455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 Secured Notes</w:t>
            </w:r>
          </w:p>
        </w:tc>
        <w:tc>
          <w:tcPr>
            <w:tcW w:w="16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494,460</w:t>
            </w:r>
          </w:p>
        </w:tc>
        <w:tc>
          <w:tcPr>
            <w:tcW w:w="3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526,600</w:t>
            </w:r>
          </w:p>
        </w:tc>
        <w:tc>
          <w:tcPr>
            <w:tcW w:w="18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494,329</w:t>
            </w:r>
          </w:p>
        </w:tc>
        <w:tc>
          <w:tcPr>
            <w:tcW w:w="320" w:type="dxa"/>
            <w:vAlign w:val="bottom"/>
            <w:tcBorders>
              <w:bottom w:val="single" w:sz="8" w:color="auto"/>
            </w:tcBorders>
            <w:shd w:val="clear" w:color="auto" w:fill="DBDBDB"/>
          </w:tcPr>
          <w:p>
            <w:pPr>
              <w:spacing w:after="0"/>
              <w:rPr>
                <w:sz w:val="20"/>
                <w:szCs w:val="20"/>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514,310</w:t>
            </w:r>
          </w:p>
        </w:tc>
        <w:tc>
          <w:tcPr>
            <w:tcW w:w="0" w:type="dxa"/>
            <w:vAlign w:val="bottom"/>
          </w:tcPr>
          <w:p>
            <w:pPr>
              <w:spacing w:after="0"/>
              <w:rPr>
                <w:sz w:val="1"/>
                <w:szCs w:val="1"/>
                <w:color w:val="auto"/>
              </w:rPr>
            </w:pPr>
          </w:p>
        </w:tc>
      </w:tr>
      <w:tr>
        <w:trPr>
          <w:trHeight w:val="232"/>
        </w:trPr>
        <w:tc>
          <w:tcPr>
            <w:tcW w:w="4440" w:type="dxa"/>
            <w:vAlign w:val="bottom"/>
          </w:tcPr>
          <w:p>
            <w:pPr>
              <w:ind w:left="2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1,977,235</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2,054,860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2,007,661</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2,024,984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June 30, 2025, the carrying values of the 2028 Secured Notes, the 2029 Secured Notes, the 2030 Secured Notes, and the 2031 Secured Notes included $3.9 million, $7.0 million, $6.4 million, and $5.5 million, respectively, of unamortized debt issuance costs, which were presented as a direct reduction of the corresponding liability. As of December 31, 2024, the carrying values of the 2025 Secured Notes, the 2028 Secured Notes, the 2029 Secured Notes, and the 2031 Secured Notes included $1.2 million, $4.4 million, $7.5 million, and $5.7 million, respectively, of unamortized debt issuance costs, which were presented as a direct reduction of the corresponding liability.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assets and liabilities in the condensed consolidated balance sheets are disclosed in Note 10.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1D2758"/>
        </w:rPr>
        <w:t>NOTE 12 - Stock-Based Compensation</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and employees include grants of restricted stock awards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six months ended June 30,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36,346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38.11</w:t>
            </w:r>
          </w:p>
        </w:tc>
        <w:tc>
          <w:tcPr>
            <w:tcW w:w="100" w:type="dxa"/>
            <w:vAlign w:val="bottom"/>
            <w:shd w:val="clear" w:color="auto" w:fill="DBDBDB"/>
          </w:tcPr>
          <w:p>
            <w:pPr>
              <w:spacing w:after="0"/>
              <w:rPr>
                <w:sz w:val="20"/>
                <w:szCs w:val="20"/>
                <w:color w:val="auto"/>
              </w:rPr>
            </w:pP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64,070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27.86</w:t>
            </w:r>
          </w:p>
        </w:tc>
        <w:tc>
          <w:tcPr>
            <w:tcW w:w="100" w:type="dxa"/>
            <w:vAlign w:val="bottom"/>
          </w:tcPr>
          <w:p>
            <w:pPr>
              <w:spacing w:after="0"/>
              <w:rPr>
                <w:sz w:val="19"/>
                <w:szCs w:val="19"/>
                <w:color w:val="auto"/>
              </w:rPr>
            </w:pP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32,332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38.20</w:t>
            </w:r>
          </w:p>
        </w:tc>
      </w:tr>
      <w:tr>
        <w:trPr>
          <w:trHeight w:val="239"/>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(32,332)</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38.20</w:t>
            </w:r>
          </w:p>
        </w:tc>
        <w:tc>
          <w:tcPr>
            <w:tcW w:w="100" w:type="dxa"/>
            <w:vAlign w:val="bottom"/>
            <w:shd w:val="clear" w:color="auto" w:fill="DBDBDB"/>
          </w:tcPr>
          <w:p>
            <w:pPr>
              <w:spacing w:after="0"/>
              <w:rPr>
                <w:sz w:val="20"/>
                <w:szCs w:val="20"/>
                <w:color w:val="auto"/>
              </w:rPr>
            </w:pP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(25,483)</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44.59</w:t>
            </w:r>
          </w:p>
        </w:tc>
      </w:tr>
      <w:tr>
        <w:trPr>
          <w:trHeight w:val="21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68,084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28.42</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35,795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38.69</w:t>
            </w:r>
          </w:p>
        </w:tc>
      </w:tr>
      <w:tr>
        <w:trPr>
          <w:trHeight w:val="26"/>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selling, general and administrative ("SG&amp;A") expense on the condensed consolidated statements of operations was $0.4 million and $0.3 million for the three months ended June 30, 2025 and 2024, respectively. Compensation expense for RSAs recognized in SG&amp;A on the condensed consolidated statements of operations was $0.7 million and $0.6 million for the six months ended June 30, 2025 and 2024, respectively. At June 30, 2025, unrecognized compensation cost related to RSAs totaled $1.7 million and was expected to be recognized over the remaining weighted average vesting period of 0.9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40" w:type="dxa"/>
            <w:vAlign w:val="bottom"/>
            <w:gridSpan w:val="8"/>
          </w:tcPr>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six months ended June 30, 2025 and 2024:</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6"/>
        </w:trPr>
        <w:tc>
          <w:tcPr>
            <w:tcW w:w="42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r>
      <w:tr>
        <w:trPr>
          <w:trHeight w:val="226"/>
        </w:trPr>
        <w:tc>
          <w:tcPr>
            <w:tcW w:w="422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19"/>
                <w:szCs w:val="19"/>
                <w:color w:val="auto"/>
              </w:rPr>
            </w:pPr>
          </w:p>
        </w:tc>
      </w:tr>
      <w:tr>
        <w:trPr>
          <w:trHeight w:val="211"/>
        </w:trPr>
        <w:tc>
          <w:tcPr>
            <w:tcW w:w="4220" w:type="dxa"/>
            <w:vAlign w:val="bottom"/>
            <w:shd w:val="clear" w:color="auto" w:fill="1D2758"/>
          </w:tcPr>
          <w:p>
            <w:pPr>
              <w:spacing w:after="0"/>
              <w:rPr>
                <w:sz w:val="18"/>
                <w:szCs w:val="18"/>
                <w:color w:val="auto"/>
              </w:rPr>
            </w:pP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576,652</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43.87</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618,836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36.07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391,843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35.27</w:t>
            </w:r>
          </w:p>
        </w:tc>
        <w:tc>
          <w:tcPr>
            <w:tcW w:w="100" w:type="dxa"/>
            <w:vAlign w:val="bottom"/>
          </w:tcPr>
          <w:p>
            <w:pPr>
              <w:spacing w:after="0"/>
              <w:rPr>
                <w:sz w:val="19"/>
                <w:szCs w:val="19"/>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273,524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48.68</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(33,936)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41.25</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(12,906)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44.47</w:t>
            </w:r>
          </w:p>
        </w:tc>
      </w:tr>
      <w:tr>
        <w:trPr>
          <w:trHeight w:val="22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(240,020)</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39.90</w:t>
            </w: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(223,566)</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33.31</w:t>
            </w:r>
          </w:p>
        </w:tc>
      </w:tr>
      <w:tr>
        <w:trPr>
          <w:trHeight w:val="250"/>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694,539</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40.52</w:t>
            </w:r>
          </w:p>
        </w:tc>
        <w:tc>
          <w:tcPr>
            <w:tcW w:w="100" w:type="dxa"/>
            <w:vAlign w:val="bottom"/>
            <w:tcBorders>
              <w:bottom w:val="single" w:sz="8" w:color="DDDDDD"/>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655,888</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42.11</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Time-Based RSUs recognized in SG&amp;A expense on the condensed consolidated statements of operations was $2.6 million and $2.7 million for the three months ended June 30, 2025 and 2024, respectively. Compensation expense for Time-Based RSUs recognized in SG&amp;A on the condensed consolidated statements of operations was $5.1 million and $5.0 million for the six months ended June 30, 2025 and 2024, respectively. At June 30, 2025, unrecognized compensation cost related to Time-Based RSUs totaled $22.5 million and was expected to be recognized over the remaining weighted average vesting period of 2.9 years.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for the six months ended June 30,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1,768,460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47.02</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1,939,691</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42.95</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406,265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44.16</w:t>
            </w:r>
          </w:p>
        </w:tc>
        <w:tc>
          <w:tcPr>
            <w:tcW w:w="8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295,833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66.60</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(30,955)</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55.52</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(9,965)</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46.18</w:t>
            </w:r>
          </w:p>
        </w:tc>
      </w:tr>
      <w:tr>
        <w:trPr>
          <w:trHeight w:val="232"/>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r>
              <w:rPr>
                <w:rFonts w:ascii="Arial" w:cs="Arial" w:eastAsia="Arial" w:hAnsi="Arial"/>
                <w:sz w:val="20"/>
                <w:szCs w:val="20"/>
                <w:color w:val="auto"/>
                <w:vertAlign w:val="superscript"/>
              </w:rPr>
              <w:t>(a)</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(620,326)</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43.18</w:t>
            </w:r>
          </w:p>
        </w:tc>
        <w:tc>
          <w:tcPr>
            <w:tcW w:w="80" w:type="dxa"/>
            <w:vAlign w:val="bottom"/>
            <w:tcBorders>
              <w:bottom w:val="single" w:sz="8" w:color="DDDDDD"/>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(353,323)</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39.10</w:t>
            </w: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1,523,444</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47.65</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1,872,236</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47.40</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1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Performance-Based RSUs vested at a weighted average of 78% of target, or 482,083 shares, and 200% of target, or 706,646 shares, during the six months ended June 30, 2025 and 2024, respectively.</w:t>
      </w:r>
    </w:p>
    <w:p>
      <w:pPr>
        <w:spacing w:after="0" w:line="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Compensation expense for Performance-Based RSUs recognized in SG&amp;A expense on the condensed consolidated statements of operations was $5.3 million and $6.6 million for the three months ended June 30, 2025 and 2024, respectively. Compensation expense for Performance-Based RSUs recognized in SG&amp;A on the condensed consolidated statements of operations was $10.9 million and $13.1 million for the six months ended June 30, 2025 and 2024, respectively. At June 30, 2025, unrecognized compensation cost related to Performance-Based RSUs totaled $30.6 million and was expected to be recognized over the remaining weighted average vesting period of 1.4 years.</w:t>
      </w:r>
    </w:p>
    <w:p>
      <w:pPr>
        <w:spacing w:after="0" w:line="2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the S&amp;P MidCap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0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for the 555,790 Performance-Based RSUs is tied to a stock price of $47.50, with a payout ranging from 0 RSUs (for a stock price less than $42.50) to 1,333,334 RSUs (for a stock price of $60.00 or greater).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six months ended June 30,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9"/>
                <w:szCs w:val="19"/>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19"/>
                <w:szCs w:val="19"/>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814,889</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(786,204)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28,685</w:t>
            </w:r>
          </w:p>
        </w:tc>
        <w:tc>
          <w:tcPr>
            <w:tcW w:w="80" w:type="dxa"/>
            <w:vAlign w:val="bottom"/>
            <w:tcBorders>
              <w:top w:val="single" w:sz="8" w:color="auto"/>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June 30, 2025</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28,685</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six months ended June 30,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9"/>
                <w:szCs w:val="19"/>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19"/>
                <w:szCs w:val="19"/>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829,246</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(7,093)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June 30, 2024</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13 - Commitments and Contingencies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2025,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1D2758"/>
        </w:rPr>
        <w:t>NOTE 14 - Segment Reporting</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one reportable segment. Refer to Note 3 for revenue by geographic area and revenue by major product and service lines. Refer to the Condensed Consolidated Balance Sheets for total assets. Refer to the Condensed Consolidated Statements of Cash Flows for total expenditures for additions to long-lived assets.</w:t>
      </w:r>
    </w:p>
    <w:p>
      <w:pPr>
        <w:spacing w:after="0" w:line="1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Chief Operating Decision Maker ("CODM") to evaluate operating segment performance and allocate resources is Adjusted EBITDA.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9" w:name="page20"/>
    <w:bookmarkEnd w:id="19"/>
    <w:p>
      <w:pPr>
        <w:ind w:firstLine="619"/>
        <w:spacing w:after="0" w:line="294" w:lineRule="auto"/>
        <w:rPr>
          <w:sz w:val="20"/>
          <w:szCs w:val="20"/>
          <w:color w:val="auto"/>
        </w:rPr>
      </w:pPr>
      <w:r>
        <w:rPr>
          <w:rFonts w:ascii="Arial" w:cs="Arial" w:eastAsia="Arial" w:hAnsi="Arial"/>
          <w:sz w:val="15"/>
          <w:szCs w:val="15"/>
          <w:color w:val="auto"/>
        </w:rPr>
        <w:t>The following table sets forth certain information regarding significant expense categories for the three and six months ended June 30, 2025 and 2024,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shd w:val="clear" w:color="auto" w:fill="1D2758"/>
          </w:tcPr>
          <w:p>
            <w:pPr>
              <w:spacing w:after="0"/>
              <w:rPr>
                <w:sz w:val="20"/>
                <w:szCs w:val="20"/>
                <w:color w:val="auto"/>
              </w:rPr>
            </w:pPr>
          </w:p>
        </w:tc>
        <w:tc>
          <w:tcPr>
            <w:tcW w:w="300" w:type="dxa"/>
            <w:vAlign w:val="bottom"/>
            <w:shd w:val="clear" w:color="auto" w:fill="1D2758"/>
          </w:tcPr>
          <w:p>
            <w:pPr>
              <w:spacing w:after="0"/>
              <w:rPr>
                <w:sz w:val="20"/>
                <w:szCs w:val="20"/>
                <w:color w:val="auto"/>
              </w:rPr>
            </w:pPr>
          </w:p>
        </w:tc>
        <w:tc>
          <w:tcPr>
            <w:tcW w:w="3000" w:type="dxa"/>
            <w:vAlign w:val="bottom"/>
            <w:gridSpan w:val="5"/>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June 30,</w:t>
            </w:r>
          </w:p>
        </w:tc>
        <w:tc>
          <w:tcPr>
            <w:tcW w:w="340" w:type="dxa"/>
            <w:vAlign w:val="bottom"/>
            <w:shd w:val="clear" w:color="auto" w:fill="1D2758"/>
          </w:tcPr>
          <w:p>
            <w:pPr>
              <w:spacing w:after="0"/>
              <w:rPr>
                <w:sz w:val="20"/>
                <w:szCs w:val="20"/>
                <w:color w:val="auto"/>
              </w:rPr>
            </w:pPr>
          </w:p>
        </w:tc>
        <w:tc>
          <w:tcPr>
            <w:tcW w:w="2860" w:type="dxa"/>
            <w:vAlign w:val="bottom"/>
            <w:gridSpan w:val="4"/>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Six Months Ended June 30,</w:t>
            </w:r>
          </w:p>
        </w:tc>
      </w:tr>
      <w:tr>
        <w:trPr>
          <w:trHeight w:val="232"/>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20"/>
                <w:szCs w:val="20"/>
                <w:color w:val="auto"/>
              </w:rPr>
            </w:pPr>
          </w:p>
        </w:tc>
        <w:tc>
          <w:tcPr>
            <w:tcW w:w="126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Unit leasing and other rental-related</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342,886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358,480</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680,937</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722,767</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VAPS and third party leasing</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100,030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100,112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196,369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196,426</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revenue</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55,384</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60,223</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104,419</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116,409</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Installation revenue</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53,068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92,694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92,100</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21,620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44,057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34,877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30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16,095</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30,158</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29,192</w:t>
            </w: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589,083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604,590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1,148,634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1,191,771</w:t>
            </w:r>
          </w:p>
        </w:tc>
      </w:tr>
      <w:tr>
        <w:trPr>
          <w:trHeight w:val="226"/>
        </w:trPr>
        <w:tc>
          <w:tcPr>
            <w:tcW w:w="47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5"/>
                <w:szCs w:val="15"/>
                <w:color w:val="auto"/>
              </w:rPr>
              <w:t>Less:</w:t>
            </w:r>
            <w:r>
              <w:rPr>
                <w:rFonts w:ascii="Arial" w:cs="Arial" w:eastAsia="Arial" w:hAnsi="Arial"/>
                <w:sz w:val="20"/>
                <w:szCs w:val="20"/>
                <w:color w:val="auto"/>
                <w:vertAlign w:val="superscript"/>
              </w:rPr>
              <w:t>(a)</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Unit leasing</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77,096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148,841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167,258</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VAPS and third party leasing</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18,242</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16,553</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34,567</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33,384</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Delivery</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45,081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85,636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90,155</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Installation</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43,073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35,528</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76,314</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68,857</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13,552</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13,358</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28,750</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21,631</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7,525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15,694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15,961</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Employee SG&amp;A expense</w:t>
            </w:r>
            <w:r>
              <w:rPr>
                <w:rFonts w:ascii="Arial" w:cs="Arial" w:eastAsia="Arial" w:hAnsi="Arial"/>
                <w:sz w:val="20"/>
                <w:szCs w:val="20"/>
                <w:color w:val="auto"/>
                <w:vertAlign w:val="superscript"/>
              </w:rPr>
              <w:t>(b)</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67,471</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67,230</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135,736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137,870</w:t>
            </w:r>
          </w:p>
        </w:tc>
      </w:tr>
      <w:tr>
        <w:trPr>
          <w:trHeight w:val="232"/>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(c)</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68,130</w:t>
            </w:r>
          </w:p>
        </w:tc>
        <w:tc>
          <w:tcPr>
            <w:tcW w:w="8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71,923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145,398</w:t>
            </w:r>
          </w:p>
        </w:tc>
        <w:tc>
          <w:tcPr>
            <w:tcW w:w="8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145,070</w:t>
            </w: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248,913</w:t>
            </w:r>
          </w:p>
        </w:tc>
        <w:tc>
          <w:tcPr>
            <w:tcW w:w="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263,576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477,698</w:t>
            </w:r>
          </w:p>
        </w:tc>
        <w:tc>
          <w:tcPr>
            <w:tcW w:w="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511,585</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8" w:lineRule="exact"/>
        <w:rPr>
          <w:rFonts w:ascii="Arial" w:cs="Arial" w:eastAsia="Arial" w:hAnsi="Arial"/>
          <w:sz w:val="14"/>
          <w:szCs w:val="14"/>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Employee SG&amp;A expense consists of salaries and wages, bonuses, commissions, payroll taxes, and employee benefits.</w:t>
      </w:r>
    </w:p>
    <w:p>
      <w:pPr>
        <w:spacing w:after="0" w:line="6" w:lineRule="exact"/>
        <w:rPr>
          <w:rFonts w:ascii="Arial" w:cs="Arial" w:eastAsia="Arial" w:hAnsi="Arial"/>
          <w:sz w:val="14"/>
          <w:szCs w:val="14"/>
          <w:color w:val="auto"/>
        </w:rPr>
      </w:pPr>
    </w:p>
    <w:p>
      <w:pPr>
        <w:ind w:firstLine="3"/>
        <w:spacing w:after="0" w:line="260" w:lineRule="auto"/>
        <w:tabs>
          <w:tab w:leader="none" w:pos="208"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segment items consist of service agreements and professional fees, real estate and occupancy costs, travel, bad debt expense, marketing and advertising, taxes, and other miscellaneous expenses.</w:t>
      </w:r>
    </w:p>
    <w:p>
      <w:pPr>
        <w:spacing w:after="0" w:line="7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 presents reconciliations of the Company’s net income to Adjusted EBITDA for the three and six months ended June 30, 2025 and 2024, respectively: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shd w:val="clear" w:color="auto" w:fill="1D2758"/>
          </w:tcPr>
          <w:p>
            <w:pPr>
              <w:spacing w:after="0"/>
              <w:rPr>
                <w:sz w:val="20"/>
                <w:szCs w:val="20"/>
                <w:color w:val="auto"/>
              </w:rPr>
            </w:pPr>
          </w:p>
        </w:tc>
        <w:tc>
          <w:tcPr>
            <w:tcW w:w="300" w:type="dxa"/>
            <w:vAlign w:val="bottom"/>
            <w:shd w:val="clear" w:color="auto" w:fill="1D2758"/>
          </w:tcPr>
          <w:p>
            <w:pPr>
              <w:spacing w:after="0"/>
              <w:rPr>
                <w:sz w:val="20"/>
                <w:szCs w:val="20"/>
                <w:color w:val="auto"/>
              </w:rPr>
            </w:pPr>
          </w:p>
        </w:tc>
        <w:tc>
          <w:tcPr>
            <w:tcW w:w="3000" w:type="dxa"/>
            <w:vAlign w:val="bottom"/>
            <w:gridSpan w:val="5"/>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June 30,</w:t>
            </w:r>
          </w:p>
        </w:tc>
        <w:tc>
          <w:tcPr>
            <w:tcW w:w="340" w:type="dxa"/>
            <w:vAlign w:val="bottom"/>
            <w:shd w:val="clear" w:color="auto" w:fill="1D2758"/>
          </w:tcPr>
          <w:p>
            <w:pPr>
              <w:spacing w:after="0"/>
              <w:rPr>
                <w:sz w:val="20"/>
                <w:szCs w:val="20"/>
                <w:color w:val="auto"/>
              </w:rPr>
            </w:pPr>
          </w:p>
        </w:tc>
        <w:tc>
          <w:tcPr>
            <w:tcW w:w="2860" w:type="dxa"/>
            <w:vAlign w:val="bottom"/>
            <w:gridSpan w:val="4"/>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Six Months Ended June 30,</w:t>
            </w:r>
          </w:p>
        </w:tc>
      </w:tr>
      <w:tr>
        <w:trPr>
          <w:trHeight w:val="232"/>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20"/>
                <w:szCs w:val="20"/>
                <w:color w:val="auto"/>
              </w:rPr>
            </w:pPr>
          </w:p>
        </w:tc>
        <w:tc>
          <w:tcPr>
            <w:tcW w:w="126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47,939</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90,994</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9,389</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19,984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37,894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3,189</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58,977</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55,548</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117,446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112,136</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112,632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93,746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209,724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186,574</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144</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r>
      <w:tr>
        <w:trPr>
          <w:trHeight w:val="207"/>
        </w:trPr>
        <w:tc>
          <w:tcPr>
            <w:tcW w:w="47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1"/>
        </w:trPr>
        <w:tc>
          <w:tcPr>
            <w:tcW w:w="4740" w:type="dxa"/>
            <w:vAlign w:val="bottom"/>
          </w:tcPr>
          <w:p>
            <w:pPr>
              <w:ind w:left="220"/>
              <w:spacing w:after="0"/>
              <w:rPr>
                <w:sz w:val="20"/>
                <w:szCs w:val="20"/>
                <w:color w:val="auto"/>
              </w:rPr>
            </w:pPr>
            <w:r>
              <w:rPr>
                <w:rFonts w:ascii="Arial" w:cs="Arial" w:eastAsia="Arial" w:hAnsi="Arial"/>
                <w:sz w:val="15"/>
                <w:szCs w:val="15"/>
                <w:color w:val="auto"/>
              </w:rPr>
              <w:t>charges</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6,929</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00" w:type="dxa"/>
            <w:vAlign w:val="bottom"/>
            <w:shd w:val="clear" w:color="auto" w:fill="DBDBDB"/>
          </w:tcPr>
          <w:p>
            <w:pPr>
              <w:spacing w:after="0"/>
              <w:rPr>
                <w:sz w:val="20"/>
                <w:szCs w:val="20"/>
                <w:color w:val="auto"/>
              </w:rPr>
            </w:pP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1,125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3,066</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5,943</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8,373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16,714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18,713</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(629)</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23,661</w:t>
            </w:r>
          </w:p>
        </w:tc>
        <w:tc>
          <w:tcPr>
            <w:tcW w:w="10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2,103</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36,097</w:t>
            </w:r>
          </w:p>
        </w:tc>
      </w:tr>
      <w:tr>
        <w:trPr>
          <w:trHeight w:val="232"/>
        </w:trPr>
        <w:tc>
          <w:tcPr>
            <w:tcW w:w="474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248,913</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263,576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477,698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511,585</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1D2758"/>
        </w:rPr>
        <w:t>NOTE 15 - Earnings Per Share</w:t>
      </w:r>
    </w:p>
    <w:p>
      <w:pPr>
        <w:spacing w:after="0" w:line="75"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 reconciles the weighted average shares outstanding for the basic earnings per share calculation to the weighted average shares outstanding for the diluted earnings per share calculation: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shd w:val="clear" w:color="auto" w:fill="1D2758"/>
          </w:tcPr>
          <w:p>
            <w:pPr>
              <w:spacing w:after="0"/>
              <w:rPr>
                <w:sz w:val="20"/>
                <w:szCs w:val="20"/>
                <w:color w:val="auto"/>
              </w:rPr>
            </w:pPr>
          </w:p>
        </w:tc>
        <w:tc>
          <w:tcPr>
            <w:tcW w:w="300" w:type="dxa"/>
            <w:vAlign w:val="bottom"/>
            <w:shd w:val="clear" w:color="auto" w:fill="1D2758"/>
          </w:tcPr>
          <w:p>
            <w:pPr>
              <w:spacing w:after="0"/>
              <w:rPr>
                <w:sz w:val="20"/>
                <w:szCs w:val="20"/>
                <w:color w:val="auto"/>
              </w:rPr>
            </w:pPr>
          </w:p>
        </w:tc>
        <w:tc>
          <w:tcPr>
            <w:tcW w:w="3000" w:type="dxa"/>
            <w:vAlign w:val="bottom"/>
            <w:gridSpan w:val="5"/>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June 30,</w:t>
            </w:r>
          </w:p>
        </w:tc>
        <w:tc>
          <w:tcPr>
            <w:tcW w:w="340" w:type="dxa"/>
            <w:vAlign w:val="bottom"/>
            <w:shd w:val="clear" w:color="auto" w:fill="1D2758"/>
          </w:tcPr>
          <w:p>
            <w:pPr>
              <w:spacing w:after="0"/>
              <w:rPr>
                <w:sz w:val="20"/>
                <w:szCs w:val="20"/>
                <w:color w:val="auto"/>
              </w:rPr>
            </w:pPr>
          </w:p>
        </w:tc>
        <w:tc>
          <w:tcPr>
            <w:tcW w:w="2860" w:type="dxa"/>
            <w:vAlign w:val="bottom"/>
            <w:gridSpan w:val="4"/>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Six Months Ended June 30,</w:t>
            </w:r>
          </w:p>
        </w:tc>
      </w:tr>
      <w:tr>
        <w:trPr>
          <w:trHeight w:val="232"/>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20"/>
                <w:szCs w:val="20"/>
                <w:color w:val="auto"/>
              </w:rPr>
            </w:pPr>
          </w:p>
        </w:tc>
        <w:tc>
          <w:tcPr>
            <w:tcW w:w="126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47,939</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90,994</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9,389</w:t>
            </w:r>
          </w:p>
        </w:tc>
      </w:tr>
      <w:tr>
        <w:trPr>
          <w:trHeight w:val="265"/>
        </w:trPr>
        <w:tc>
          <w:tcPr>
            <w:tcW w:w="474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22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182,468</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189,680</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183,071</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189,909</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9"/>
        </w:trPr>
        <w:tc>
          <w:tcPr>
            <w:tcW w:w="47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RSAs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r>
      <w:tr>
        <w:trPr>
          <w:trHeight w:val="225"/>
        </w:trPr>
        <w:tc>
          <w:tcPr>
            <w:tcW w:w="4740" w:type="dxa"/>
            <w:vAlign w:val="bottom"/>
          </w:tcPr>
          <w:p>
            <w:pPr>
              <w:ind w:left="320"/>
              <w:spacing w:after="0"/>
              <w:rPr>
                <w:sz w:val="20"/>
                <w:szCs w:val="20"/>
                <w:color w:val="auto"/>
              </w:rPr>
            </w:pPr>
            <w:r>
              <w:rPr>
                <w:rFonts w:ascii="Arial" w:cs="Arial" w:eastAsia="Arial" w:hAnsi="Arial"/>
                <w:sz w:val="15"/>
                <w:szCs w:val="15"/>
                <w:color w:val="auto"/>
              </w:rPr>
              <w:t>Time-based RSUs</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186</w:t>
            </w:r>
          </w:p>
        </w:tc>
      </w:tr>
      <w:tr>
        <w:trPr>
          <w:trHeight w:val="239"/>
        </w:trPr>
        <w:tc>
          <w:tcPr>
            <w:tcW w:w="47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Performance-based RSUs</w:t>
            </w:r>
          </w:p>
        </w:tc>
        <w:tc>
          <w:tcPr>
            <w:tcW w:w="300" w:type="dxa"/>
            <w:vAlign w:val="bottom"/>
            <w:shd w:val="clear" w:color="auto" w:fill="DBDBDB"/>
          </w:tcPr>
          <w:p>
            <w:pPr>
              <w:spacing w:after="0"/>
              <w:rPr>
                <w:sz w:val="20"/>
                <w:szCs w:val="20"/>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412</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20"/>
                <w:szCs w:val="20"/>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556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1,354</w:t>
            </w:r>
          </w:p>
        </w:tc>
      </w:tr>
      <w:tr>
        <w:trPr>
          <w:trHeight w:val="225"/>
        </w:trPr>
        <w:tc>
          <w:tcPr>
            <w:tcW w:w="4740" w:type="dxa"/>
            <w:vAlign w:val="bottom"/>
          </w:tcPr>
          <w:p>
            <w:pPr>
              <w:ind w:left="320"/>
              <w:spacing w:after="0"/>
              <w:rPr>
                <w:sz w:val="20"/>
                <w:szCs w:val="20"/>
                <w:color w:val="auto"/>
              </w:rPr>
            </w:pPr>
            <w:r>
              <w:rPr>
                <w:rFonts w:ascii="Arial" w:cs="Arial" w:eastAsia="Arial" w:hAnsi="Arial"/>
                <w:sz w:val="15"/>
                <w:szCs w:val="15"/>
                <w:color w:val="auto"/>
              </w:rPr>
              <w:t>Stock options</w:t>
            </w:r>
          </w:p>
        </w:tc>
        <w:tc>
          <w:tcPr>
            <w:tcW w:w="30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528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669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942</w:t>
            </w:r>
          </w:p>
        </w:tc>
      </w:tr>
      <w:tr>
        <w:trPr>
          <w:trHeight w:val="257"/>
        </w:trPr>
        <w:tc>
          <w:tcPr>
            <w:tcW w:w="4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300" w:type="dxa"/>
            <w:vAlign w:val="bottom"/>
            <w:tcBorders>
              <w:top w:val="single" w:sz="8" w:color="auto"/>
              <w:bottom w:val="single" w:sz="8" w:color="auto"/>
            </w:tcBorders>
            <w:shd w:val="clear" w:color="auto" w:fill="DBDBDB"/>
          </w:tcPr>
          <w:p>
            <w:pPr>
              <w:spacing w:after="0"/>
              <w:rPr>
                <w:sz w:val="21"/>
                <w:szCs w:val="21"/>
                <w:color w:val="auto"/>
              </w:rPr>
            </w:pPr>
          </w:p>
        </w:tc>
        <w:tc>
          <w:tcPr>
            <w:tcW w:w="12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183,439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189,680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184,367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192,410</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potential common shares were excluded from the computation of dilutive EPS because their effect would have been anti-dilutive: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shd w:val="clear" w:color="auto" w:fill="1D2758"/>
          </w:tcPr>
          <w:p>
            <w:pPr>
              <w:spacing w:after="0"/>
              <w:rPr>
                <w:sz w:val="20"/>
                <w:szCs w:val="20"/>
                <w:color w:val="auto"/>
              </w:rPr>
            </w:pPr>
          </w:p>
        </w:tc>
        <w:tc>
          <w:tcPr>
            <w:tcW w:w="3260" w:type="dxa"/>
            <w:vAlign w:val="bottom"/>
            <w:gridSpan w:val="4"/>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 June 30,</w:t>
            </w:r>
          </w:p>
        </w:tc>
        <w:tc>
          <w:tcPr>
            <w:tcW w:w="3200" w:type="dxa"/>
            <w:vAlign w:val="bottom"/>
            <w:gridSpan w:val="3"/>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Six Months Ended June 30,</w:t>
            </w:r>
          </w:p>
        </w:tc>
      </w:tr>
      <w:tr>
        <w:trPr>
          <w:trHeight w:val="232"/>
        </w:trPr>
        <w:tc>
          <w:tcPr>
            <w:tcW w:w="4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RSAs</w:t>
            </w: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w:t>
            </w:r>
          </w:p>
        </w:tc>
        <w:tc>
          <w:tcPr>
            <w:tcW w:w="80" w:type="dxa"/>
            <w:vAlign w:val="bottom"/>
            <w:shd w:val="clear" w:color="auto" w:fill="DBDBDB"/>
          </w:tcPr>
          <w:p>
            <w:pPr>
              <w:spacing w:after="0"/>
              <w:rPr>
                <w:sz w:val="20"/>
                <w:szCs w:val="20"/>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780" w:type="dxa"/>
            <w:vAlign w:val="bottom"/>
          </w:tcPr>
          <w:p>
            <w:pPr>
              <w:ind w:left="20"/>
              <w:spacing w:after="0"/>
              <w:rPr>
                <w:sz w:val="20"/>
                <w:szCs w:val="20"/>
                <w:color w:val="auto"/>
              </w:rPr>
            </w:pPr>
            <w:r>
              <w:rPr>
                <w:rFonts w:ascii="Arial" w:cs="Arial" w:eastAsia="Arial" w:hAnsi="Arial"/>
                <w:sz w:val="15"/>
                <w:szCs w:val="15"/>
                <w:color w:val="auto"/>
              </w:rPr>
              <w:t>Time-based RSUs</w:t>
            </w:r>
          </w:p>
        </w:tc>
        <w:tc>
          <w:tcPr>
            <w:tcW w:w="1540" w:type="dxa"/>
            <w:vAlign w:val="bottom"/>
          </w:tcPr>
          <w:p>
            <w:pPr>
              <w:jc w:val="right"/>
              <w:spacing w:after="0"/>
              <w:rPr>
                <w:sz w:val="20"/>
                <w:szCs w:val="20"/>
                <w:color w:val="auto"/>
              </w:rPr>
            </w:pPr>
            <w:r>
              <w:rPr>
                <w:rFonts w:ascii="Arial" w:cs="Arial" w:eastAsia="Arial" w:hAnsi="Arial"/>
                <w:sz w:val="15"/>
                <w:szCs w:val="15"/>
                <w:color w:val="auto"/>
              </w:rPr>
              <w:t>634</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656</w:t>
            </w:r>
          </w:p>
        </w:tc>
        <w:tc>
          <w:tcPr>
            <w:tcW w:w="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601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342</w:t>
            </w:r>
          </w:p>
        </w:tc>
      </w:tr>
      <w:tr>
        <w:trPr>
          <w:trHeight w:val="239"/>
        </w:trPr>
        <w:tc>
          <w:tcPr>
            <w:tcW w:w="4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Performance-based RSUs</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968</w:t>
            </w:r>
          </w:p>
        </w:tc>
        <w:tc>
          <w:tcPr>
            <w:tcW w:w="10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1,872</w:t>
            </w:r>
          </w:p>
        </w:tc>
        <w:tc>
          <w:tcPr>
            <w:tcW w:w="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989</w:t>
            </w:r>
          </w:p>
        </w:tc>
        <w:tc>
          <w:tcPr>
            <w:tcW w:w="80" w:type="dxa"/>
            <w:vAlign w:val="bottom"/>
            <w:shd w:val="clear" w:color="auto" w:fill="DBDBDB"/>
          </w:tcPr>
          <w:p>
            <w:pPr>
              <w:spacing w:after="0"/>
              <w:rPr>
                <w:sz w:val="20"/>
                <w:szCs w:val="20"/>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661</w:t>
            </w:r>
          </w:p>
        </w:tc>
      </w:tr>
      <w:tr>
        <w:trPr>
          <w:trHeight w:val="225"/>
        </w:trPr>
        <w:tc>
          <w:tcPr>
            <w:tcW w:w="4780" w:type="dxa"/>
            <w:vAlign w:val="bottom"/>
          </w:tcPr>
          <w:p>
            <w:pPr>
              <w:ind w:left="20"/>
              <w:spacing w:after="0"/>
              <w:rPr>
                <w:sz w:val="20"/>
                <w:szCs w:val="20"/>
                <w:color w:val="auto"/>
              </w:rPr>
            </w:pPr>
            <w:r>
              <w:rPr>
                <w:rFonts w:ascii="Arial" w:cs="Arial" w:eastAsia="Arial" w:hAnsi="Arial"/>
                <w:sz w:val="15"/>
                <w:szCs w:val="15"/>
                <w:color w:val="auto"/>
              </w:rPr>
              <w:t>Stock Options</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1,356</w:t>
            </w:r>
          </w:p>
        </w:tc>
        <w:tc>
          <w:tcPr>
            <w:tcW w:w="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478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anti-dilutive shares</w:t>
            </w: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5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3,920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5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1,590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1,003</w:t>
            </w: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1" w:name="page22"/>
    <w:bookmarkEnd w:id="21"/>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Holdings Corporation's ("WillScot")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2025 or prior periods.</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United States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of MD&amp;A.</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6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are a leading business services provider specializing in innovative and flexible turnkey space solutions. We offer our customers an extensive selection of space solutions with over 150,000 modular space units and over 213,000 portable storage units in our fleet. Our diverse product offering includes modular space solutions (modular office complexes, mobile offices, classrooms, blast-resistant modules, clearspan structures and sanitation solutions) and portable storage solutions (portable storage containers and climate-controlled containers and trailers). We also offer our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 We operate a hybrid in-house and outsourced logistics and service infrastructure that provides delivery, site work, installation, disassembly, removal and other services to our customers for an additional fee as part of our leasing and sales operations. We service diverse end markets across all sectors of the economy throughout the United States ("US"), Canada, and Mexico. As of June 30, 2025, our branch network included approximately 260 branch locations and additional drop lots to service our over 85,000 customers.</w:t>
      </w:r>
    </w:p>
    <w:p>
      <w:pPr>
        <w:spacing w:after="0" w:line="1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primarily lease, rather than sell, our space solutions to customers, which results in a highly diversified and predictable recurring revenue stream. Over 90% of new lease orders are on our standard lease agreement, pre-negotiated master lease, or national account agreements. Rental contracts with customers are generally based on a 28-day or monthly rate and billing cycle.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is approximately 44 months. We believe our lease revenue is highly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and infrastructure, commercial and industrial, energy and natural resources, and government and institutions. Core to our operating model is the ability to redeploy standardized assets across end markets. We track several leading market indicators to predict demand, including Gross Domestic Product in North America, the Architecture Billings Index, and non-residential construction square foot starts. These indicators, among others, support our demand forecast for our two largest end markets, the commercial and industrial sector and the construction and infrastructure market, which collectively accounted for approximately 86% of our revenues for the six months ended June 30,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7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On March 26, 2025, Williams Scotsman, Inc. ("WSI") completed a private offering of $500.0 million in aggregate principal amount of its 6.625% senior secured notes due 2030 (the "2030 Secured Notes") to qualified institutional buyers pursuant to Rule 144A of the Securities Act of 1933, as amended.</w:t>
      </w:r>
    </w:p>
    <w:p>
      <w:pPr>
        <w:jc w:val="both"/>
        <w:ind w:firstLine="619"/>
        <w:spacing w:after="0" w:line="277" w:lineRule="auto"/>
        <w:rPr>
          <w:sz w:val="20"/>
          <w:szCs w:val="20"/>
          <w:color w:val="auto"/>
        </w:rPr>
      </w:pPr>
      <w:r>
        <w:rPr>
          <w:rFonts w:ascii="Arial" w:cs="Arial" w:eastAsia="Arial" w:hAnsi="Arial"/>
          <w:sz w:val="15"/>
          <w:szCs w:val="15"/>
          <w:color w:val="auto"/>
        </w:rPr>
        <w:t>On March 27, 2025, net proceeds of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6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February 18, 2025, our Board of Directors approved a quarterly dividend program. Under the program, subject to quarterly approval and declaration by the Board of Directors, dividends will be payable on the third Wednesday of the third month of each calendar quarter to stockholders of record as of the first Wednesday of that same month. In February 2025, our Board of Directors declared a quarterly dividend of $0.07 per share, totaling $13.0 million. In May 2025, our Board of Directors declared a quarterly dividend of $0.07 per share, totaling $12.9 million. Dividends paid were $25.6 million for the six months ended June 30, 2025.</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7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six months ended June 30, 2025, we repurchased 2,628,041 shares of Common Stock for $71.9 million, excluding excise tax. As of June 30, 2025, $750.0 million of the authorization for future repurchases of the Common Stock remained available.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 and Asset Acquisition</w:t>
      </w:r>
    </w:p>
    <w:p>
      <w:pPr>
        <w:spacing w:after="0" w:line="6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During the six months ended June 30, 2025, we acquired a regional provider of climate-controlled containers and trailers for $115.6 million, net of cash acquired, which consisted primarily of approximately 2,100 temperature-controlled units. As of the acquisition date, the fair value of the goodwill recorded was $54.1 million, the fair value of the intangible assets acquired was $18.7 million, and the fair value of rental equipment acquired was $37.0 million. The purchase price allocation is preliminary and subject to revision as additional information is obtained. The preliminary allocation of purchase price, including the valuation of acquired rental equipment and intangible assets, is based on the best estimates of management and is subject to revision based on the final valuations. Revenue and earnings from the business combination following the acquisition date are not available, as the business was integrated into the Company's centralized financial and operational processes following acquisition.</w:t>
      </w:r>
    </w:p>
    <w:p>
      <w:pPr>
        <w:spacing w:after="0" w:line="2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six months ended June 30, 2025, we also acquired certain assets and assumed certain liabilities of one local provider of clearspan solutions for $18.2 million in cash. As of the acquisition date, the fair value of rental equipment acquired was $16.4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Highlights</w:t>
      </w:r>
    </w:p>
    <w:p>
      <w:pPr>
        <w:spacing w:after="0" w:line="12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For the three months ended June 30, 2025, as compared to the three months ended June 30, 2024, results and key drivers of our financial performance included:</w:t>
      </w:r>
    </w:p>
    <w:p>
      <w:pPr>
        <w:spacing w:after="0" w:line="1" w:lineRule="exact"/>
        <w:rPr>
          <w:sz w:val="20"/>
          <w:szCs w:val="20"/>
          <w:color w:val="auto"/>
        </w:rPr>
      </w:pPr>
    </w:p>
    <w:p>
      <w:pPr>
        <w:jc w:val="both"/>
        <w:ind w:left="620" w:hanging="307"/>
        <w:spacing w:after="0" w:line="271"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revenues decreased $15.5 million, or 2.6%, to $589.1 million. Leasing revenue decreased $15.7 million, or 3.4%, driven by a decrease in total average units on rent of 22,615, or 10.3%, and partially offset by increased pricing and VAPS penetration. Reductions in non-residential construction project start activity as a result of higher interest rates reduced demand for our services, which resulted in fewer deliveries. Despite a decrease in the quantity of deliveries during the quarter, delivery and installation revenue increased $0.3 million, or 0.3%, due to an increased mix of large, complex projects. New unit sales revenue increased $0.2 million, or 1.1%, and rental unit sales revenue decreased $0.4 million, or 2.3%.</w:t>
      </w:r>
    </w:p>
    <w:p>
      <w:pPr>
        <w:spacing w:after="0" w:line="5" w:lineRule="exact"/>
        <w:rPr>
          <w:rFonts w:ascii="Arial" w:cs="Arial" w:eastAsia="Arial" w:hAnsi="Arial"/>
          <w:sz w:val="15"/>
          <w:szCs w:val="15"/>
          <w:color w:val="auto"/>
        </w:rPr>
      </w:pPr>
    </w:p>
    <w:p>
      <w:pPr>
        <w:jc w:val="both"/>
        <w:ind w:left="620" w:hanging="307"/>
        <w:spacing w:after="0" w:line="267"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net income of $47.9 million for the three months ended June 30, 2025, representing an increase of $94.8 million, or 202.3%, as compared to the same period in 2024. In 2024, we recorded an impairment loss of $132.5 million for the three months ended June 30, 2024 related to the impairment of the Mobile Mini trade name as a result of rebranding under the WillScot brand name and discontinuing the use of the Mobile Mini trade name. Additionally, discrete costs in the period were $1.1 million, including $1.5 million of transaction and integration costs, compared to $3.1 million of transaction and integration costs in 2024. Finally, in 2024, we recorded a tax benefit of $13.9 million, as compared to an income tax expense of $20.0 million for the three months ended June 30, 2025.</w:t>
      </w:r>
    </w:p>
    <w:p>
      <w:pPr>
        <w:spacing w:after="0" w:line="21"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Adjusted EBITDA of $248.9 million for the three months ended June 30, 2025, representing a decrease of $14.7 million, or 5.6%, as compared to the same period in 2024.</w:t>
      </w:r>
    </w:p>
    <w:p>
      <w:pPr>
        <w:ind w:left="620" w:hanging="307"/>
        <w:spacing w:after="0" w:line="295"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provided by operating activities increased $29.7 million to $205.3 million for the three months ended June 30, 2025 from $175.6 million net cash provided by operating activities for the three months ended June 30, 2024.</w:t>
      </w:r>
    </w:p>
    <w:p>
      <w:pPr>
        <w:spacing w:after="0" w:line="1"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investing activities, excluding cash used for acquisitions, increased by $19.2 million. Capital expenditures for rental equipment increased $20.1 million for the three months ended June 30, 2025. Net CAPEX increased $20.3 million for the three months ended June 30, 2025.</w:t>
      </w:r>
    </w:p>
    <w:p>
      <w:pPr>
        <w:spacing w:after="0" w:line="2"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Adjusted Free Cash Flow of $130.3 million for the three months ended June 30, 2025 as compared to $128.9 million for the three months ended June 30, 2024. During the three months ended June 30, 2025, we deployed Adjusted Free Cash Flow to:</w:t>
      </w:r>
    </w:p>
    <w:p>
      <w:pPr>
        <w:spacing w:after="0" w:line="2"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   Repurchase $39.9 million of our Common Stock, reducing outstanding Common Stock by 1,533,109 shares.</w:t>
      </w:r>
    </w:p>
    <w:p>
      <w:pPr>
        <w:spacing w:after="0" w:line="59"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   Pay a $0.07 per share dividend, returning $12.7 million to our shareholders.</w:t>
      </w:r>
    </w:p>
    <w:p>
      <w:pPr>
        <w:spacing w:after="0" w:line="59" w:lineRule="exact"/>
        <w:rPr>
          <w:rFonts w:ascii="Arial" w:cs="Arial" w:eastAsia="Arial" w:hAnsi="Arial"/>
          <w:sz w:val="15"/>
          <w:szCs w:val="15"/>
          <w:color w:val="auto"/>
        </w:rPr>
      </w:pPr>
    </w:p>
    <w:p>
      <w:pPr>
        <w:jc w:val="both"/>
        <w:ind w:left="620" w:hanging="307"/>
        <w:spacing w:after="0" w:line="281" w:lineRule="auto"/>
        <w:tabs>
          <w:tab w:leader="none" w:pos="609" w:val="left"/>
        </w:tabs>
        <w:numPr>
          <w:ilvl w:val="0"/>
          <w:numId w:val="6"/>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We believe that the predictability of our Adjusted Free Cash Flow allows us to pursue multiple capital allocation priorities opportunistically, including investing in organic opportunities that we see in the market, maintaining leverage in our stated range, opportunistically executing accretive acquisitions, and returning capital to shareholders via share repurchases and dividend distributions.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ind w:firstLine="619"/>
        <w:spacing w:after="0" w:line="271" w:lineRule="auto"/>
        <w:rPr>
          <w:sz w:val="20"/>
          <w:szCs w:val="20"/>
          <w:color w:val="auto"/>
        </w:rPr>
      </w:pPr>
      <w:r>
        <w:rPr>
          <w:rFonts w:ascii="Arial" w:cs="Arial" w:eastAsia="Arial" w:hAnsi="Arial"/>
          <w:sz w:val="15"/>
          <w:szCs w:val="15"/>
          <w:color w:val="auto"/>
        </w:rPr>
        <w:t>In addition to using GAAP financial measurements to evaluate our operating results, we use Adjusted EBITDA, Net CAPEX, and Adjusted Free Cash Flow, which are non-GAAP financial measures.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Consolidated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2025 Compared to the Three Months Ended June 30, 2024</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consolidated results of operations for the three months ended June 30, 2025 and 2024 are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40" w:type="dxa"/>
            <w:vAlign w:val="bottom"/>
            <w:shd w:val="clear" w:color="auto" w:fill="1D2758"/>
          </w:tcPr>
          <w:p>
            <w:pPr>
              <w:spacing w:after="0"/>
              <w:rPr>
                <w:sz w:val="21"/>
                <w:szCs w:val="21"/>
                <w:color w:val="auto"/>
              </w:rPr>
            </w:pPr>
          </w:p>
        </w:tc>
        <w:tc>
          <w:tcPr>
            <w:tcW w:w="340" w:type="dxa"/>
            <w:vAlign w:val="bottom"/>
            <w:shd w:val="clear" w:color="auto" w:fill="1D2758"/>
          </w:tcPr>
          <w:p>
            <w:pPr>
              <w:spacing w:after="0"/>
              <w:rPr>
                <w:sz w:val="21"/>
                <w:szCs w:val="21"/>
                <w:color w:val="auto"/>
              </w:rPr>
            </w:pPr>
          </w:p>
        </w:tc>
        <w:tc>
          <w:tcPr>
            <w:tcW w:w="3000" w:type="dxa"/>
            <w:vAlign w:val="bottom"/>
            <w:gridSpan w:val="5"/>
            <w:shd w:val="clear" w:color="auto" w:fill="1D2758"/>
          </w:tcPr>
          <w:p>
            <w:pPr>
              <w:ind w:left="240"/>
              <w:spacing w:after="0"/>
              <w:rPr>
                <w:sz w:val="20"/>
                <w:szCs w:val="20"/>
                <w:color w:val="auto"/>
              </w:rPr>
            </w:pPr>
            <w:r>
              <w:rPr>
                <w:rFonts w:ascii="Arial" w:cs="Arial" w:eastAsia="Arial" w:hAnsi="Arial"/>
                <w:sz w:val="15"/>
                <w:szCs w:val="15"/>
                <w:b w:val="1"/>
                <w:bCs w:val="1"/>
                <w:color w:val="FFFFFF"/>
              </w:rPr>
              <w:t>Three Months Ended June 30,</w:t>
            </w:r>
          </w:p>
        </w:tc>
        <w:tc>
          <w:tcPr>
            <w:tcW w:w="180" w:type="dxa"/>
            <w:vAlign w:val="bottom"/>
            <w:shd w:val="clear" w:color="auto" w:fill="1D2758"/>
          </w:tcPr>
          <w:p>
            <w:pPr>
              <w:spacing w:after="0"/>
              <w:rPr>
                <w:sz w:val="21"/>
                <w:szCs w:val="21"/>
                <w:color w:val="auto"/>
              </w:rPr>
            </w:pPr>
          </w:p>
        </w:tc>
        <w:tc>
          <w:tcPr>
            <w:tcW w:w="1380" w:type="dxa"/>
            <w:vAlign w:val="bottom"/>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2025 vs. 2024</w:t>
            </w:r>
          </w:p>
        </w:tc>
        <w:tc>
          <w:tcPr>
            <w:tcW w:w="0" w:type="dxa"/>
            <w:vAlign w:val="bottom"/>
          </w:tcPr>
          <w:p>
            <w:pPr>
              <w:spacing w:after="0"/>
              <w:rPr>
                <w:sz w:val="1"/>
                <w:szCs w:val="1"/>
                <w:color w:val="auto"/>
              </w:rPr>
            </w:pPr>
          </w:p>
        </w:tc>
      </w:tr>
      <w:tr>
        <w:trPr>
          <w:trHeight w:val="245"/>
        </w:trPr>
        <w:tc>
          <w:tcPr>
            <w:tcW w:w="6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1"/>
                <w:szCs w:val="21"/>
                <w:color w:val="auto"/>
              </w:rPr>
            </w:pPr>
          </w:p>
        </w:tc>
        <w:tc>
          <w:tcPr>
            <w:tcW w:w="124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2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1"/>
                <w:szCs w:val="21"/>
                <w:color w:val="auto"/>
              </w:rPr>
            </w:pPr>
          </w:p>
        </w:tc>
        <w:tc>
          <w:tcPr>
            <w:tcW w:w="180" w:type="dxa"/>
            <w:vAlign w:val="bottom"/>
            <w:shd w:val="clear" w:color="auto" w:fill="1D2758"/>
          </w:tcPr>
          <w:p>
            <w:pPr>
              <w:spacing w:after="0"/>
              <w:rPr>
                <w:sz w:val="21"/>
                <w:szCs w:val="21"/>
                <w:color w:val="auto"/>
              </w:rPr>
            </w:pPr>
          </w:p>
        </w:tc>
        <w:tc>
          <w:tcPr>
            <w:tcW w:w="138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97"/>
        </w:trPr>
        <w:tc>
          <w:tcPr>
            <w:tcW w:w="634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24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2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442,916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458,592</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(15,676)</w:t>
            </w:r>
          </w:p>
        </w:tc>
        <w:tc>
          <w:tcPr>
            <w:tcW w:w="0" w:type="dxa"/>
            <w:vAlign w:val="bottom"/>
          </w:tcPr>
          <w:p>
            <w:pPr>
              <w:spacing w:after="0"/>
              <w:rPr>
                <w:sz w:val="1"/>
                <w:szCs w:val="1"/>
                <w:color w:val="auto"/>
              </w:rPr>
            </w:pPr>
          </w:p>
        </w:tc>
      </w:tr>
      <w:tr>
        <w:trPr>
          <w:trHeight w:val="225"/>
        </w:trPr>
        <w:tc>
          <w:tcPr>
            <w:tcW w:w="63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108,452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108,147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21,620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16,095</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218"/>
        </w:trPr>
        <w:tc>
          <w:tcPr>
            <w:tcW w:w="63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589,083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604,590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(15,507)</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95,338</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98,248</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(2,910)</w:t>
            </w:r>
          </w:p>
        </w:tc>
        <w:tc>
          <w:tcPr>
            <w:tcW w:w="0" w:type="dxa"/>
            <w:vAlign w:val="bottom"/>
          </w:tcPr>
          <w:p>
            <w:pPr>
              <w:spacing w:after="0"/>
              <w:rPr>
                <w:sz w:val="1"/>
                <w:szCs w:val="1"/>
                <w:color w:val="auto"/>
              </w:rPr>
            </w:pPr>
          </w:p>
        </w:tc>
      </w:tr>
      <w:tr>
        <w:trPr>
          <w:trHeight w:val="225"/>
        </w:trPr>
        <w:tc>
          <w:tcPr>
            <w:tcW w:w="63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88,154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6,984</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13,552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7,525</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9,085</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(1,560)</w:t>
            </w:r>
          </w:p>
        </w:tc>
        <w:tc>
          <w:tcPr>
            <w:tcW w:w="0" w:type="dxa"/>
            <w:vAlign w:val="bottom"/>
          </w:tcPr>
          <w:p>
            <w:pPr>
              <w:spacing w:after="0"/>
              <w:rPr>
                <w:sz w:val="1"/>
                <w:szCs w:val="1"/>
                <w:color w:val="auto"/>
              </w:rPr>
            </w:pPr>
          </w:p>
        </w:tc>
      </w:tr>
      <w:tr>
        <w:trPr>
          <w:trHeight w:val="225"/>
        </w:trPr>
        <w:tc>
          <w:tcPr>
            <w:tcW w:w="6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88,444</w:t>
            </w:r>
          </w:p>
        </w:tc>
        <w:tc>
          <w:tcPr>
            <w:tcW w:w="8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75,611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12,833</w:t>
            </w:r>
          </w:p>
        </w:tc>
        <w:tc>
          <w:tcPr>
            <w:tcW w:w="0" w:type="dxa"/>
            <w:vAlign w:val="bottom"/>
          </w:tcPr>
          <w:p>
            <w:pPr>
              <w:spacing w:after="0"/>
              <w:rPr>
                <w:sz w:val="1"/>
                <w:szCs w:val="1"/>
                <w:color w:val="auto"/>
              </w:rPr>
            </w:pPr>
          </w:p>
        </w:tc>
      </w:tr>
      <w:tr>
        <w:trPr>
          <w:trHeight w:val="232"/>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296,070</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327,118</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(31,048)</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145,023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180,793</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(35,770)</w:t>
            </w:r>
          </w:p>
        </w:tc>
        <w:tc>
          <w:tcPr>
            <w:tcW w:w="0" w:type="dxa"/>
            <w:vAlign w:val="bottom"/>
          </w:tcPr>
          <w:p>
            <w:pPr>
              <w:spacing w:after="0"/>
              <w:rPr>
                <w:sz w:val="1"/>
                <w:szCs w:val="1"/>
                <w:color w:val="auto"/>
              </w:rPr>
            </w:pPr>
          </w:p>
        </w:tc>
      </w:tr>
      <w:tr>
        <w:trPr>
          <w:trHeight w:val="225"/>
        </w:trPr>
        <w:tc>
          <w:tcPr>
            <w:tcW w:w="63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24,188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6,053</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40" w:type="dxa"/>
            <w:vAlign w:val="bottom"/>
            <w:shd w:val="clear" w:color="auto" w:fill="DBDBDB"/>
          </w:tcPr>
          <w:p>
            <w:pPr>
              <w:spacing w:after="0"/>
              <w:rPr>
                <w:sz w:val="20"/>
                <w:szCs w:val="20"/>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25"/>
        </w:trPr>
        <w:tc>
          <w:tcPr>
            <w:tcW w:w="6340" w:type="dxa"/>
            <w:vAlign w:val="bottom"/>
          </w:tcPr>
          <w:p>
            <w:pPr>
              <w:ind w:left="220"/>
              <w:spacing w:after="0"/>
              <w:rPr>
                <w:sz w:val="20"/>
                <w:szCs w:val="20"/>
                <w:color w:val="auto"/>
              </w:rPr>
            </w:pPr>
            <w:r>
              <w:rPr>
                <w:rFonts w:ascii="Arial" w:cs="Arial" w:eastAsia="Arial" w:hAnsi="Arial"/>
                <w:sz w:val="15"/>
                <w:szCs w:val="15"/>
                <w:color w:val="auto"/>
              </w:rPr>
              <w:t>Currency gains, net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34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924</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218"/>
        </w:trPr>
        <w:tc>
          <w:tcPr>
            <w:tcW w:w="6340" w:type="dxa"/>
            <w:vAlign w:val="bottom"/>
          </w:tcPr>
          <w:p>
            <w:pPr>
              <w:ind w:left="440"/>
              <w:spacing w:after="0"/>
              <w:rPr>
                <w:sz w:val="20"/>
                <w:szCs w:val="20"/>
                <w:color w:val="auto"/>
              </w:rPr>
            </w:pPr>
            <w:r>
              <w:rPr>
                <w:rFonts w:ascii="Arial" w:cs="Arial" w:eastAsia="Arial" w:hAnsi="Arial"/>
                <w:sz w:val="15"/>
                <w:szCs w:val="15"/>
                <w:color w:val="auto"/>
              </w:rPr>
              <w:t>Operating income (loss)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126,900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132,132</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4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58,977</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55,548</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3,429</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5"/>
                <w:szCs w:val="15"/>
                <w:color w:val="auto"/>
              </w:rPr>
              <w:t>Income (loss) before income tax</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67,923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128,703</w:t>
            </w:r>
          </w:p>
        </w:tc>
        <w:tc>
          <w:tcPr>
            <w:tcW w:w="0" w:type="dxa"/>
            <w:vAlign w:val="bottom"/>
          </w:tcPr>
          <w:p>
            <w:pPr>
              <w:spacing w:after="0"/>
              <w:rPr>
                <w:sz w:val="1"/>
                <w:szCs w:val="1"/>
                <w:color w:val="auto"/>
              </w:rPr>
            </w:pPr>
          </w:p>
        </w:tc>
      </w:tr>
      <w:tr>
        <w:trPr>
          <w:trHeight w:val="239"/>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34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19,984</w:t>
            </w:r>
          </w:p>
        </w:tc>
        <w:tc>
          <w:tcPr>
            <w:tcW w:w="8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(13,929)</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33,913</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47,939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94,790</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1"/>
        </w:trPr>
        <w:tc>
          <w:tcPr>
            <w:tcW w:w="5980" w:type="dxa"/>
            <w:vAlign w:val="bottom"/>
            <w:shd w:val="clear" w:color="auto" w:fill="1D2758"/>
          </w:tcPr>
          <w:p>
            <w:pPr>
              <w:spacing w:after="0"/>
              <w:rPr>
                <w:sz w:val="21"/>
                <w:szCs w:val="21"/>
                <w:color w:val="auto"/>
              </w:rPr>
            </w:pPr>
          </w:p>
        </w:tc>
        <w:tc>
          <w:tcPr>
            <w:tcW w:w="340" w:type="dxa"/>
            <w:vAlign w:val="bottom"/>
            <w:shd w:val="clear" w:color="auto" w:fill="1D2758"/>
          </w:tcPr>
          <w:p>
            <w:pPr>
              <w:spacing w:after="0"/>
              <w:rPr>
                <w:sz w:val="21"/>
                <w:szCs w:val="21"/>
                <w:color w:val="auto"/>
              </w:rPr>
            </w:pPr>
          </w:p>
        </w:tc>
        <w:tc>
          <w:tcPr>
            <w:tcW w:w="3120" w:type="dxa"/>
            <w:vAlign w:val="bottom"/>
            <w:gridSpan w:val="3"/>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Three Months Ended June 30,</w:t>
            </w:r>
          </w:p>
        </w:tc>
        <w:tc>
          <w:tcPr>
            <w:tcW w:w="100" w:type="dxa"/>
            <w:vAlign w:val="bottom"/>
            <w:shd w:val="clear" w:color="auto" w:fill="1D2758"/>
          </w:tcPr>
          <w:p>
            <w:pPr>
              <w:spacing w:after="0"/>
              <w:rPr>
                <w:sz w:val="21"/>
                <w:szCs w:val="21"/>
                <w:color w:val="auto"/>
              </w:rPr>
            </w:pPr>
          </w:p>
        </w:tc>
        <w:tc>
          <w:tcPr>
            <w:tcW w:w="1700" w:type="dxa"/>
            <w:vAlign w:val="bottom"/>
            <w:gridSpan w:val="2"/>
            <w:vMerge w:val="restart"/>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2025 vs. 2024 Change</w:t>
            </w:r>
          </w:p>
        </w:tc>
        <w:tc>
          <w:tcPr>
            <w:tcW w:w="0" w:type="dxa"/>
            <w:vAlign w:val="bottom"/>
          </w:tcPr>
          <w:p>
            <w:pPr>
              <w:spacing w:after="0"/>
              <w:rPr>
                <w:sz w:val="1"/>
                <w:szCs w:val="1"/>
                <w:color w:val="auto"/>
              </w:rPr>
            </w:pPr>
          </w:p>
        </w:tc>
      </w:tr>
      <w:tr>
        <w:trPr>
          <w:trHeight w:val="168"/>
        </w:trPr>
        <w:tc>
          <w:tcPr>
            <w:tcW w:w="59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monthly rental rate)</w:t>
            </w:r>
          </w:p>
        </w:tc>
        <w:tc>
          <w:tcPr>
            <w:tcW w:w="340" w:type="dxa"/>
            <w:vAlign w:val="bottom"/>
            <w:shd w:val="clear" w:color="auto" w:fill="1D2758"/>
          </w:tcPr>
          <w:p>
            <w:pPr>
              <w:spacing w:after="0"/>
              <w:rPr>
                <w:sz w:val="14"/>
                <w:szCs w:val="14"/>
                <w:color w:val="auto"/>
              </w:rPr>
            </w:pPr>
          </w:p>
        </w:tc>
        <w:tc>
          <w:tcPr>
            <w:tcW w:w="1340" w:type="dxa"/>
            <w:vAlign w:val="bottom"/>
            <w:vMerge w:val="restart"/>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2025</w:t>
            </w:r>
          </w:p>
        </w:tc>
        <w:tc>
          <w:tcPr>
            <w:tcW w:w="420" w:type="dxa"/>
            <w:vAlign w:val="bottom"/>
            <w:shd w:val="clear" w:color="auto" w:fill="1D2758"/>
          </w:tcPr>
          <w:p>
            <w:pPr>
              <w:spacing w:after="0"/>
              <w:rPr>
                <w:sz w:val="14"/>
                <w:szCs w:val="14"/>
                <w:color w:val="auto"/>
              </w:rPr>
            </w:pPr>
          </w:p>
        </w:tc>
        <w:tc>
          <w:tcPr>
            <w:tcW w:w="136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4"/>
                <w:szCs w:val="14"/>
                <w:color w:val="auto"/>
              </w:rPr>
            </w:pPr>
          </w:p>
        </w:tc>
        <w:tc>
          <w:tcPr>
            <w:tcW w:w="1700" w:type="dxa"/>
            <w:vAlign w:val="bottom"/>
            <w:gridSpan w:val="2"/>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980" w:type="dxa"/>
            <w:vAlign w:val="bottom"/>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420" w:type="dxa"/>
            <w:vAlign w:val="bottom"/>
            <w:shd w:val="clear" w:color="auto" w:fill="1D2758"/>
          </w:tcPr>
          <w:p>
            <w:pPr>
              <w:spacing w:after="0"/>
              <w:rPr>
                <w:sz w:val="8"/>
                <w:szCs w:val="8"/>
                <w:color w:val="auto"/>
              </w:rPr>
            </w:pPr>
          </w:p>
        </w:tc>
        <w:tc>
          <w:tcPr>
            <w:tcW w:w="136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420" w:type="dxa"/>
            <w:vAlign w:val="bottom"/>
            <w:shd w:val="clear" w:color="auto" w:fill="1D2758"/>
          </w:tcPr>
          <w:p>
            <w:pPr>
              <w:spacing w:after="0"/>
              <w:rPr>
                <w:sz w:val="8"/>
                <w:szCs w:val="8"/>
                <w:color w:val="auto"/>
              </w:rPr>
            </w:pPr>
          </w:p>
        </w:tc>
        <w:tc>
          <w:tcPr>
            <w:tcW w:w="2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248,913</w:t>
            </w:r>
          </w:p>
        </w:tc>
        <w:tc>
          <w:tcPr>
            <w:tcW w:w="4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263,576</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(14,663)</w:t>
            </w:r>
          </w:p>
        </w:tc>
        <w:tc>
          <w:tcPr>
            <w:tcW w:w="2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85,269</w:t>
            </w:r>
          </w:p>
        </w:tc>
        <w:tc>
          <w:tcPr>
            <w:tcW w:w="4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65,174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20,095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74,984</w:t>
            </w:r>
          </w:p>
        </w:tc>
        <w:tc>
          <w:tcPr>
            <w:tcW w:w="4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54,733</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20,251</w:t>
            </w:r>
          </w:p>
        </w:tc>
        <w:tc>
          <w:tcPr>
            <w:tcW w:w="2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340" w:type="dxa"/>
            <w:vAlign w:val="bottom"/>
          </w:tcPr>
          <w:p>
            <w:pPr>
              <w:spacing w:after="0"/>
              <w:rPr>
                <w:sz w:val="19"/>
                <w:szCs w:val="19"/>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90,285</w:t>
            </w:r>
          </w:p>
        </w:tc>
        <w:tc>
          <w:tcPr>
            <w:tcW w:w="420" w:type="dxa"/>
            <w:vAlign w:val="bottom"/>
          </w:tcPr>
          <w:p>
            <w:pPr>
              <w:spacing w:after="0"/>
              <w:rPr>
                <w:sz w:val="19"/>
                <w:szCs w:val="19"/>
                <w:color w:val="auto"/>
              </w:rPr>
            </w:pP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95,671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(5,386)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59.6 %</w:t>
            </w: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62.5 %</w:t>
            </w:r>
          </w:p>
        </w:tc>
        <w:tc>
          <w:tcPr>
            <w:tcW w:w="10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(290) bps</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1,237</w:t>
            </w:r>
          </w:p>
        </w:tc>
        <w:tc>
          <w:tcPr>
            <w:tcW w:w="4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1,176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4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107,514</w:t>
            </w:r>
          </w:p>
        </w:tc>
        <w:tc>
          <w:tcPr>
            <w:tcW w:w="420" w:type="dxa"/>
            <w:vAlign w:val="bottom"/>
            <w:shd w:val="clear" w:color="auto" w:fill="DBDBDB"/>
          </w:tcPr>
          <w:p>
            <w:pPr>
              <w:spacing w:after="0"/>
              <w:rPr>
                <w:sz w:val="20"/>
                <w:szCs w:val="20"/>
                <w:color w:val="auto"/>
              </w:rPr>
            </w:pPr>
          </w:p>
        </w:tc>
        <w:tc>
          <w:tcPr>
            <w:tcW w:w="13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124,743</w:t>
            </w:r>
          </w:p>
        </w:tc>
        <w:tc>
          <w:tcPr>
            <w:tcW w:w="10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(17,229)</w:t>
            </w:r>
          </w:p>
        </w:tc>
        <w:tc>
          <w:tcPr>
            <w:tcW w:w="2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50.8 %</w:t>
            </w:r>
          </w:p>
        </w:tc>
        <w:tc>
          <w:tcPr>
            <w:tcW w:w="4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59.2 %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(840)</w:t>
            </w:r>
          </w:p>
        </w:tc>
        <w:tc>
          <w:tcPr>
            <w:tcW w:w="280" w:type="dxa"/>
            <w:vAlign w:val="bottom"/>
          </w:tcPr>
          <w:p>
            <w:pPr>
              <w:jc w:val="right"/>
              <w:spacing w:after="0"/>
              <w:rPr>
                <w:sz w:val="20"/>
                <w:szCs w:val="20"/>
                <w:color w:val="auto"/>
              </w:rPr>
            </w:pPr>
            <w:r>
              <w:rPr>
                <w:rFonts w:ascii="Arial" w:cs="Arial" w:eastAsia="Arial" w:hAnsi="Arial"/>
                <w:sz w:val="15"/>
                <w:szCs w:val="15"/>
                <w:color w:val="auto"/>
                <w:w w:val="99"/>
              </w:rPr>
              <w:t>bps</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282</w:t>
            </w:r>
          </w:p>
        </w:tc>
        <w:tc>
          <w:tcPr>
            <w:tcW w:w="4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w:t>
            </w:r>
          </w:p>
        </w:tc>
        <w:tc>
          <w:tcPr>
            <w:tcW w:w="2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June 30, 2025 and 2024</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$15.5 million, or 2.6%, to $589.1 million for the three months ended June 30, 2025 from $604.6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decline in revenue was driven by a decrease in units on rent and an $11.0 million increase in write-offs recorded as a reduction to revenue compared to the same period in 2024. Leasing revenue decreased $15.7 million, or 3.4%, as compared to the same period in 2024, driven by the increase in write-offs and a decrease of 22,615 total average units on rent. Increases in average monthly rental rates offset some of these decreases. Delivery and installation revenue increased $0.3 million, or 0.3%. Rental unit sales decreased $0.4 million, or 2.3%, and new unit sales increased $0.2 million, or 1.1%.</w:t>
      </w:r>
    </w:p>
    <w:p>
      <w:pPr>
        <w:spacing w:after="0" w:line="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Total average units on rent for the three months ended June 30, 2025 and 2024 were 197,799 and 220,414, respectively, representing a decrease of 22,615 units, or 10.3%. Lower demand was driven by reduced non-residential construction project starts due to higher interest rates and increased economic uncertainty. Portable storage average units on rent decreased by 17,229 units, or 13.8%, for the three months ended June 30, 2025 driven by lower demand in 2025. The average portable storage unit utilization rate during the three months ended June 30, 2025 was 50.8% as compared to 59.2% during the same period in</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2024. Modular space average units on rent decreased 5,386 units, or 5.6%, for the three months ended June 30, 2025 as compared to the three months ended June 30, 2024. The average modular space utilization rate during the three months ended June 30, 2025 was 59.6% as compared to 62.5% during the same period in 2024.</w:t>
      </w:r>
    </w:p>
    <w:p>
      <w:pPr>
        <w:spacing w:after="0" w:line="18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Modular space average monthly rental rates increased 5.2% year over year to $1,237 for the three months ended June 30, 2025, driven by our long-term price optimization strategies and VAPS penetration opportunities. Average portable storage monthly rental rates increased 7.2% year over year to $282 for the three months ended June 30, 2025 as a result of the mix effects from higher rates on climate-controlled containers and trailers. Total VAPS revenues, which were included in leasing revenue, were $100 million for both the three months ended June 30, 2025 and 2024.</w:t>
      </w:r>
    </w:p>
    <w:p>
      <w:pPr>
        <w:spacing w:after="0" w:line="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$31.0 million, or 9.5%, to $296.1 million for the three months ended June 30, 2025 from $327.1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decrease in gross profit was a result of a $12.8 million decrease in leasing gross profit, decreased delivery and installation gross profit of $6.7 million, and a $12.8 million increase in depreciation of rental equipment. The decrease in gross profit was partially offset by a $1.2 million increase in new and rental unit sales gross profit. The decrease in leasing gross profit was primarily driven by lower demand in 2025.</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Cost of leasing and services increased by $4.1 million, or 2.3%, for the three months ended June 30, 2025 versus the three months ended June 30, 2024, driven by increased sitework expense associated with an increased mix of large, complex projects, an increase in subcontractor costs of $5.0 million, or 8.6%, and an increase in materials costs of $1.0 million, or 4.3%, partially offset by a decrease in labor costs of $1.0 million, or 1.5%. Cost of sales decreased by $1.4 million, or 6.1%, driven by an increased mix of sales of lower net book value rental units. Our resulting gross profit percentage was 50.3% and 54.1% for the three months ended June 30, 2025 and 2024, respectively.</w:t>
      </w:r>
    </w:p>
    <w:p>
      <w:pPr>
        <w:spacing w:after="0" w:line="5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 ("SG&amp;A"): </w:t>
      </w:r>
      <w:r>
        <w:rPr>
          <w:rFonts w:ascii="Arial" w:cs="Arial" w:eastAsia="Arial" w:hAnsi="Arial"/>
          <w:sz w:val="15"/>
          <w:szCs w:val="15"/>
          <w:color w:val="auto"/>
        </w:rPr>
        <w:t>SG&amp;A decreased $35.8 million, or 19.8%, to $145.0 million for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$180.8 million for the three months ended June 30, 2024. The decrease was driven by a $23.6 million decrease in discrete expenses for legal and professional fees primarily related to our terminated acquisition of McGrath RentCorp ("McGrath") in 2024, a $6.0 million decrease in restructuring costs, a $2.7 million decrease in integration expense, and a $10.5 million decrease in the provision for credit losses, net of write offs. These decreased costs were partially offset by a $1.7 million, or 9.5%, increase in service agreements and professional fees, excluding discrete expenses for certain one-time projects, a $1.5 million increase in real estate and occupancy costs, and a $1.6 million increase in marketing and advertising expense.</w:t>
      </w:r>
    </w:p>
    <w:p>
      <w:pPr>
        <w:spacing w:after="0" w:line="7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$14.7 million, or 6%, to $248.9 million for the three months ended June 30, 2025 from $263.6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2024. The decrease was driven by a $12.8 million decrease in leasing gross profit and decreased delivery and installation gross profit of $6.7 million for the three months ended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5" w:name="page26"/>
    <w:bookmarkEnd w:id="25"/>
    <w:p>
      <w:pPr>
        <w:jc w:val="both"/>
        <w:spacing w:after="0" w:line="294" w:lineRule="auto"/>
        <w:rPr>
          <w:sz w:val="20"/>
          <w:szCs w:val="20"/>
          <w:color w:val="auto"/>
        </w:rPr>
      </w:pPr>
      <w:r>
        <w:rPr>
          <w:rFonts w:ascii="Arial" w:cs="Arial" w:eastAsia="Arial" w:hAnsi="Arial"/>
          <w:sz w:val="15"/>
          <w:szCs w:val="15"/>
          <w:color w:val="auto"/>
        </w:rPr>
        <w:t>June 30, 2025 as compared to the three months ended June 30, 2024. The decrease was partially offset by a $1.2 million increase in new and used sales gross profit and decreased SG&amp;A, excluding discrete costs, of $3.4 million.</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$6.1 million to $24.2 million for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$18.1 million for the three months ended June 30, 2024, primarily related to the amortization of the Mobile Mini trade name beginning in the third quarter of 2024.</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Impairment loss on intangible asset: </w:t>
      </w:r>
      <w:r>
        <w:rPr>
          <w:rFonts w:ascii="Arial" w:cs="Arial" w:eastAsia="Arial" w:hAnsi="Arial"/>
          <w:sz w:val="15"/>
          <w:szCs w:val="15"/>
          <w:color w:val="auto"/>
        </w:rPr>
        <w:t>Impairment loss on intangible asset was $132.5 million for the three months ended June 30, 2024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impairment of the Mobile Mini trade name due to our plan to rebrand under a single WillScot brand name and discontinue the use of the Mobile Mini trade name.</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increased $3.4 million, or 6.2%, to $59.0 million for the three months ended June 30, 2025 from $55.5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June 30, 2024. The increase in interest expense was a result of increased average debt outstanding. See Note 7 to the condensed consolidated financial statements for further discussion of our debt.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(benefit): </w:t>
      </w:r>
      <w:r>
        <w:rPr>
          <w:rFonts w:ascii="Arial" w:cs="Arial" w:eastAsia="Arial" w:hAnsi="Arial"/>
          <w:sz w:val="15"/>
          <w:szCs w:val="15"/>
          <w:color w:val="auto"/>
        </w:rPr>
        <w:t>Income tax expense was $20.0 million for the three months ended June 30, 2025 compared to income tax benefit of $13.9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June 30, 2024, an increase in expense of $33.9 million. The increase in expense was primarily driven by an increase in income before income tax for the three months ended June 30, 2025.</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$20.1 million, to $85.3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2025 from $65.2 million for the three months ended June 30, 2024. Net CAPEX increased $20.3 million, or 37%, to $75.0 million for the three months ended June 30, 2025 from $54.7 million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Six Months Ended June 30, 2025 Compared to the Six Months Ended June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20" w:type="dxa"/>
            <w:vAlign w:val="bottom"/>
            <w:gridSpan w:val="7"/>
          </w:tcPr>
          <w:p>
            <w:pPr>
              <w:ind w:left="620"/>
              <w:spacing w:after="0"/>
              <w:rPr>
                <w:sz w:val="20"/>
                <w:szCs w:val="20"/>
                <w:color w:val="auto"/>
              </w:rPr>
            </w:pPr>
            <w:r>
              <w:rPr>
                <w:rFonts w:ascii="Arial" w:cs="Arial" w:eastAsia="Arial" w:hAnsi="Arial"/>
                <w:sz w:val="15"/>
                <w:szCs w:val="15"/>
                <w:color w:val="auto"/>
              </w:rPr>
              <w:t>Certain consolidated results of operations for the six months ended June 30, 2025 and 2024 are presented below.</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92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1D2758"/>
          </w:tcPr>
          <w:p>
            <w:pPr>
              <w:spacing w:after="0"/>
              <w:rPr>
                <w:sz w:val="21"/>
                <w:szCs w:val="21"/>
                <w:color w:val="auto"/>
              </w:rPr>
            </w:pPr>
          </w:p>
        </w:tc>
        <w:tc>
          <w:tcPr>
            <w:tcW w:w="580" w:type="dxa"/>
            <w:vAlign w:val="bottom"/>
            <w:shd w:val="clear" w:color="auto" w:fill="1D2758"/>
          </w:tcPr>
          <w:p>
            <w:pPr>
              <w:spacing w:after="0"/>
              <w:rPr>
                <w:sz w:val="21"/>
                <w:szCs w:val="21"/>
                <w:color w:val="auto"/>
              </w:rPr>
            </w:pPr>
          </w:p>
        </w:tc>
        <w:tc>
          <w:tcPr>
            <w:tcW w:w="3260" w:type="dxa"/>
            <w:vAlign w:val="bottom"/>
            <w:gridSpan w:val="5"/>
            <w:shd w:val="clear" w:color="auto" w:fill="1D2758"/>
          </w:tcPr>
          <w:p>
            <w:pPr>
              <w:ind w:left="280"/>
              <w:spacing w:after="0"/>
              <w:rPr>
                <w:sz w:val="20"/>
                <w:szCs w:val="20"/>
                <w:color w:val="auto"/>
              </w:rPr>
            </w:pPr>
            <w:r>
              <w:rPr>
                <w:rFonts w:ascii="Arial" w:cs="Arial" w:eastAsia="Arial" w:hAnsi="Arial"/>
                <w:sz w:val="15"/>
                <w:szCs w:val="15"/>
                <w:b w:val="1"/>
                <w:bCs w:val="1"/>
                <w:color w:val="FFFFFF"/>
              </w:rPr>
              <w:t>Six Months Ended June 30,</w:t>
            </w:r>
          </w:p>
        </w:tc>
        <w:tc>
          <w:tcPr>
            <w:tcW w:w="100" w:type="dxa"/>
            <w:vAlign w:val="bottom"/>
            <w:shd w:val="clear" w:color="auto" w:fill="1D2758"/>
          </w:tcPr>
          <w:p>
            <w:pPr>
              <w:spacing w:after="0"/>
              <w:rPr>
                <w:sz w:val="21"/>
                <w:szCs w:val="21"/>
                <w:color w:val="auto"/>
              </w:rPr>
            </w:pPr>
          </w:p>
        </w:tc>
        <w:tc>
          <w:tcPr>
            <w:tcW w:w="172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20"/>
                <w:szCs w:val="20"/>
                <w:color w:val="auto"/>
              </w:rPr>
            </w:pPr>
          </w:p>
        </w:tc>
        <w:tc>
          <w:tcPr>
            <w:tcW w:w="124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500" w:type="dxa"/>
            <w:vAlign w:val="bottom"/>
            <w:shd w:val="clear" w:color="auto" w:fill="1D2758"/>
          </w:tcPr>
          <w:p>
            <w:pPr>
              <w:spacing w:after="0"/>
              <w:rPr>
                <w:sz w:val="20"/>
                <w:szCs w:val="20"/>
                <w:color w:val="auto"/>
              </w:rPr>
            </w:pPr>
          </w:p>
        </w:tc>
        <w:tc>
          <w:tcPr>
            <w:tcW w:w="132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18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2025 vs. 2024 $ Change</w:t>
            </w:r>
          </w:p>
        </w:tc>
        <w:tc>
          <w:tcPr>
            <w:tcW w:w="0" w:type="dxa"/>
            <w:vAlign w:val="bottom"/>
          </w:tcPr>
          <w:p>
            <w:pPr>
              <w:spacing w:after="0"/>
              <w:rPr>
                <w:sz w:val="1"/>
                <w:szCs w:val="1"/>
                <w:color w:val="auto"/>
              </w:rPr>
            </w:pPr>
          </w:p>
        </w:tc>
      </w:tr>
      <w:tr>
        <w:trPr>
          <w:trHeight w:val="97"/>
        </w:trPr>
        <w:tc>
          <w:tcPr>
            <w:tcW w:w="5580" w:type="dxa"/>
            <w:vAlign w:val="bottom"/>
            <w:shd w:val="clear" w:color="auto" w:fill="1D2758"/>
          </w:tcPr>
          <w:p>
            <w:pPr>
              <w:spacing w:after="0"/>
              <w:rPr>
                <w:sz w:val="8"/>
                <w:szCs w:val="8"/>
                <w:color w:val="auto"/>
              </w:rPr>
            </w:pPr>
          </w:p>
        </w:tc>
        <w:tc>
          <w:tcPr>
            <w:tcW w:w="580" w:type="dxa"/>
            <w:vAlign w:val="bottom"/>
            <w:shd w:val="clear" w:color="auto" w:fill="1D2758"/>
          </w:tcPr>
          <w:p>
            <w:pPr>
              <w:spacing w:after="0"/>
              <w:rPr>
                <w:sz w:val="8"/>
                <w:szCs w:val="8"/>
                <w:color w:val="auto"/>
              </w:rPr>
            </w:pPr>
          </w:p>
        </w:tc>
        <w:tc>
          <w:tcPr>
            <w:tcW w:w="124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00" w:type="dxa"/>
            <w:vAlign w:val="bottom"/>
            <w:shd w:val="clear" w:color="auto" w:fill="1D2758"/>
          </w:tcPr>
          <w:p>
            <w:pPr>
              <w:spacing w:after="0"/>
              <w:rPr>
                <w:sz w:val="8"/>
                <w:szCs w:val="8"/>
                <w:color w:val="auto"/>
              </w:rPr>
            </w:pPr>
          </w:p>
        </w:tc>
        <w:tc>
          <w:tcPr>
            <w:tcW w:w="13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7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877,306</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919,193</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(41,887)</w:t>
            </w:r>
          </w:p>
        </w:tc>
        <w:tc>
          <w:tcPr>
            <w:tcW w:w="0" w:type="dxa"/>
            <w:vAlign w:val="bottom"/>
          </w:tcPr>
          <w:p>
            <w:pPr>
              <w:spacing w:after="0"/>
              <w:rPr>
                <w:sz w:val="1"/>
                <w:szCs w:val="1"/>
                <w:color w:val="auto"/>
              </w:rPr>
            </w:pPr>
          </w:p>
        </w:tc>
      </w:tr>
      <w:tr>
        <w:trPr>
          <w:trHeight w:val="22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197,113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208,509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(11,396)</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44,057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9,180</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5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30,158</w:t>
            </w:r>
          </w:p>
        </w:tc>
        <w:tc>
          <w:tcPr>
            <w:tcW w:w="10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29,192</w:t>
            </w:r>
          </w:p>
        </w:tc>
        <w:tc>
          <w:tcPr>
            <w:tcW w:w="10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21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1,148,634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1,191,771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(43,137)</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183,408</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200,642</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(17,234)</w:t>
            </w:r>
          </w:p>
        </w:tc>
        <w:tc>
          <w:tcPr>
            <w:tcW w:w="0" w:type="dxa"/>
            <w:vAlign w:val="bottom"/>
          </w:tcPr>
          <w:p>
            <w:pPr>
              <w:spacing w:after="0"/>
              <w:rPr>
                <w:sz w:val="1"/>
                <w:szCs w:val="1"/>
                <w:color w:val="auto"/>
              </w:rPr>
            </w:pPr>
          </w:p>
        </w:tc>
      </w:tr>
      <w:tr>
        <w:trPr>
          <w:trHeight w:val="22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161,950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159,012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2,938</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28,750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21,631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7,119</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15,694</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15,961</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162,396</w:t>
            </w:r>
          </w:p>
        </w:tc>
        <w:tc>
          <w:tcPr>
            <w:tcW w:w="10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150,519</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11,877</w:t>
            </w:r>
          </w:p>
        </w:tc>
        <w:tc>
          <w:tcPr>
            <w:tcW w:w="0" w:type="dxa"/>
            <w:vAlign w:val="bottom"/>
          </w:tcPr>
          <w:p>
            <w:pPr>
              <w:spacing w:after="0"/>
              <w:rPr>
                <w:sz w:val="1"/>
                <w:szCs w:val="1"/>
                <w:color w:val="auto"/>
              </w:rPr>
            </w:pPr>
          </w:p>
        </w:tc>
      </w:tr>
      <w:tr>
        <w:trPr>
          <w:trHeight w:val="23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596,436</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644,006</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(47,570)</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302,169</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349,107</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(46,938)</w:t>
            </w:r>
          </w:p>
        </w:tc>
        <w:tc>
          <w:tcPr>
            <w:tcW w:w="0" w:type="dxa"/>
            <w:vAlign w:val="bottom"/>
          </w:tcPr>
          <w:p>
            <w:pPr>
              <w:spacing w:after="0"/>
              <w:rPr>
                <w:sz w:val="1"/>
                <w:szCs w:val="1"/>
                <w:color w:val="auto"/>
              </w:rPr>
            </w:pPr>
          </w:p>
        </w:tc>
      </w:tr>
      <w:tr>
        <w:trPr>
          <w:trHeight w:val="22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47,328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36,055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11,273</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580" w:type="dxa"/>
            <w:vAlign w:val="bottom"/>
            <w:shd w:val="clear" w:color="auto" w:fill="DBDBDB"/>
          </w:tcPr>
          <w:p>
            <w:pPr>
              <w:spacing w:after="0"/>
              <w:rPr>
                <w:sz w:val="20"/>
                <w:szCs w:val="20"/>
                <w:color w:val="auto"/>
              </w:rPr>
            </w:pP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25"/>
        </w:trPr>
        <w:tc>
          <w:tcPr>
            <w:tcW w:w="558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5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461</w:t>
            </w:r>
          </w:p>
        </w:tc>
        <w:tc>
          <w:tcPr>
            <w:tcW w:w="10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1,555</w:t>
            </w:r>
          </w:p>
        </w:tc>
        <w:tc>
          <w:tcPr>
            <w:tcW w:w="10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(1,094)</w:t>
            </w:r>
          </w:p>
        </w:tc>
        <w:tc>
          <w:tcPr>
            <w:tcW w:w="0" w:type="dxa"/>
            <w:vAlign w:val="bottom"/>
          </w:tcPr>
          <w:p>
            <w:pPr>
              <w:spacing w:after="0"/>
              <w:rPr>
                <w:sz w:val="1"/>
                <w:szCs w:val="1"/>
                <w:color w:val="auto"/>
              </w:rPr>
            </w:pPr>
          </w:p>
        </w:tc>
      </w:tr>
      <w:tr>
        <w:trPr>
          <w:trHeight w:val="218"/>
        </w:trPr>
        <w:tc>
          <w:tcPr>
            <w:tcW w:w="558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246,334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124,714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121,620</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5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117,446</w:t>
            </w:r>
          </w:p>
        </w:tc>
        <w:tc>
          <w:tcPr>
            <w:tcW w:w="10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112,136</w:t>
            </w:r>
          </w:p>
        </w:tc>
        <w:tc>
          <w:tcPr>
            <w:tcW w:w="10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5,310</w:t>
            </w:r>
          </w:p>
        </w:tc>
        <w:tc>
          <w:tcPr>
            <w:tcW w:w="0" w:type="dxa"/>
            <w:vAlign w:val="bottom"/>
          </w:tcPr>
          <w:p>
            <w:pPr>
              <w:spacing w:after="0"/>
              <w:rPr>
                <w:sz w:val="1"/>
                <w:szCs w:val="1"/>
                <w:color w:val="auto"/>
              </w:rPr>
            </w:pPr>
          </w:p>
        </w:tc>
      </w:tr>
      <w:tr>
        <w:trPr>
          <w:trHeight w:val="218"/>
        </w:trPr>
        <w:tc>
          <w:tcPr>
            <w:tcW w:w="5580" w:type="dxa"/>
            <w:vAlign w:val="bottom"/>
          </w:tcPr>
          <w:p>
            <w:pPr>
              <w:ind w:left="20"/>
              <w:spacing w:after="0"/>
              <w:rPr>
                <w:sz w:val="20"/>
                <w:szCs w:val="20"/>
                <w:color w:val="auto"/>
              </w:rPr>
            </w:pPr>
            <w:r>
              <w:rPr>
                <w:rFonts w:ascii="Arial" w:cs="Arial" w:eastAsia="Arial" w:hAnsi="Arial"/>
                <w:sz w:val="15"/>
                <w:szCs w:val="15"/>
                <w:color w:val="auto"/>
              </w:rPr>
              <w:t>Income before income tax</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128,888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116,310</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w:t>
            </w:r>
          </w:p>
        </w:tc>
        <w:tc>
          <w:tcPr>
            <w:tcW w:w="5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37,894</w:t>
            </w:r>
          </w:p>
        </w:tc>
        <w:tc>
          <w:tcPr>
            <w:tcW w:w="10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3,189</w:t>
            </w:r>
          </w:p>
        </w:tc>
        <w:tc>
          <w:tcPr>
            <w:tcW w:w="10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34,705</w:t>
            </w:r>
          </w:p>
        </w:tc>
        <w:tc>
          <w:tcPr>
            <w:tcW w:w="0" w:type="dxa"/>
            <w:vAlign w:val="bottom"/>
          </w:tcPr>
          <w:p>
            <w:pPr>
              <w:spacing w:after="0"/>
              <w:rPr>
                <w:sz w:val="1"/>
                <w:szCs w:val="1"/>
                <w:color w:val="auto"/>
              </w:rPr>
            </w:pPr>
          </w:p>
        </w:tc>
      </w:tr>
      <w:tr>
        <w:trPr>
          <w:trHeight w:val="218"/>
        </w:trPr>
        <w:tc>
          <w:tcPr>
            <w:tcW w:w="5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90,994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81,605</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1D2758"/>
          </w:tcPr>
          <w:p>
            <w:pPr>
              <w:spacing w:after="0"/>
              <w:rPr>
                <w:sz w:val="21"/>
                <w:szCs w:val="21"/>
                <w:color w:val="auto"/>
              </w:rPr>
            </w:pPr>
          </w:p>
        </w:tc>
        <w:tc>
          <w:tcPr>
            <w:tcW w:w="580" w:type="dxa"/>
            <w:vAlign w:val="bottom"/>
            <w:shd w:val="clear" w:color="auto" w:fill="1D2758"/>
          </w:tcPr>
          <w:p>
            <w:pPr>
              <w:spacing w:after="0"/>
              <w:rPr>
                <w:sz w:val="21"/>
                <w:szCs w:val="21"/>
                <w:color w:val="auto"/>
              </w:rPr>
            </w:pPr>
          </w:p>
        </w:tc>
        <w:tc>
          <w:tcPr>
            <w:tcW w:w="3260" w:type="dxa"/>
            <w:vAlign w:val="bottom"/>
            <w:gridSpan w:val="5"/>
            <w:shd w:val="clear" w:color="auto" w:fill="1D2758"/>
          </w:tcPr>
          <w:p>
            <w:pPr>
              <w:ind w:left="460"/>
              <w:spacing w:after="0"/>
              <w:rPr>
                <w:sz w:val="20"/>
                <w:szCs w:val="20"/>
                <w:color w:val="auto"/>
              </w:rPr>
            </w:pPr>
            <w:r>
              <w:rPr>
                <w:rFonts w:ascii="Arial" w:cs="Arial" w:eastAsia="Arial" w:hAnsi="Arial"/>
                <w:sz w:val="15"/>
                <w:szCs w:val="15"/>
                <w:b w:val="1"/>
                <w:bCs w:val="1"/>
                <w:color w:val="FFFFFF"/>
              </w:rPr>
              <w:t>Six Months Ended June 30,</w:t>
            </w:r>
          </w:p>
        </w:tc>
        <w:tc>
          <w:tcPr>
            <w:tcW w:w="100" w:type="dxa"/>
            <w:vAlign w:val="bottom"/>
            <w:shd w:val="clear" w:color="auto" w:fill="1D2758"/>
          </w:tcPr>
          <w:p>
            <w:pPr>
              <w:spacing w:after="0"/>
              <w:rPr>
                <w:sz w:val="21"/>
                <w:szCs w:val="21"/>
                <w:color w:val="auto"/>
              </w:rPr>
            </w:pPr>
          </w:p>
        </w:tc>
        <w:tc>
          <w:tcPr>
            <w:tcW w:w="172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2025 vs. 2024 Change</w:t>
            </w:r>
          </w:p>
        </w:tc>
        <w:tc>
          <w:tcPr>
            <w:tcW w:w="0" w:type="dxa"/>
            <w:vAlign w:val="bottom"/>
          </w:tcPr>
          <w:p>
            <w:pPr>
              <w:spacing w:after="0"/>
              <w:rPr>
                <w:sz w:val="1"/>
                <w:szCs w:val="1"/>
                <w:color w:val="auto"/>
              </w:rPr>
            </w:pPr>
          </w:p>
        </w:tc>
      </w:tr>
      <w:tr>
        <w:trPr>
          <w:trHeight w:val="168"/>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monthly rental rate)</w:t>
            </w:r>
          </w:p>
        </w:tc>
        <w:tc>
          <w:tcPr>
            <w:tcW w:w="580" w:type="dxa"/>
            <w:vAlign w:val="bottom"/>
            <w:shd w:val="clear" w:color="auto" w:fill="1D2758"/>
          </w:tcPr>
          <w:p>
            <w:pPr>
              <w:spacing w:after="0"/>
              <w:rPr>
                <w:sz w:val="14"/>
                <w:szCs w:val="14"/>
                <w:color w:val="auto"/>
              </w:rPr>
            </w:pPr>
          </w:p>
        </w:tc>
        <w:tc>
          <w:tcPr>
            <w:tcW w:w="124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7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580" w:type="dxa"/>
            <w:vAlign w:val="bottom"/>
            <w:vMerge w:val="continue"/>
            <w:shd w:val="clear" w:color="auto" w:fill="1D2758"/>
          </w:tcPr>
          <w:p>
            <w:pPr>
              <w:spacing w:after="0"/>
              <w:rPr>
                <w:sz w:val="8"/>
                <w:szCs w:val="8"/>
                <w:color w:val="auto"/>
              </w:rPr>
            </w:pPr>
          </w:p>
        </w:tc>
        <w:tc>
          <w:tcPr>
            <w:tcW w:w="580" w:type="dxa"/>
            <w:vAlign w:val="bottom"/>
            <w:shd w:val="clear" w:color="auto" w:fill="1D2758"/>
          </w:tcPr>
          <w:p>
            <w:pPr>
              <w:spacing w:after="0"/>
              <w:rPr>
                <w:sz w:val="8"/>
                <w:szCs w:val="8"/>
                <w:color w:val="auto"/>
              </w:rPr>
            </w:pPr>
          </w:p>
        </w:tc>
        <w:tc>
          <w:tcPr>
            <w:tcW w:w="124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00" w:type="dxa"/>
            <w:vAlign w:val="bottom"/>
            <w:shd w:val="clear" w:color="auto" w:fill="1D2758"/>
          </w:tcPr>
          <w:p>
            <w:pPr>
              <w:spacing w:after="0"/>
              <w:rPr>
                <w:sz w:val="8"/>
                <w:szCs w:val="8"/>
                <w:color w:val="auto"/>
              </w:rPr>
            </w:pPr>
          </w:p>
        </w:tc>
        <w:tc>
          <w:tcPr>
            <w:tcW w:w="13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7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5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477,698</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511,585</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(33,887)</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5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157,821</w:t>
            </w:r>
          </w:p>
        </w:tc>
        <w:tc>
          <w:tcPr>
            <w:tcW w:w="100" w:type="dxa"/>
            <w:vAlign w:val="bottom"/>
          </w:tcPr>
          <w:p>
            <w:pPr>
              <w:spacing w:after="0"/>
              <w:rPr>
                <w:sz w:val="19"/>
                <w:szCs w:val="19"/>
                <w:color w:val="auto"/>
              </w:rPr>
            </w:pPr>
          </w:p>
        </w:tc>
        <w:tc>
          <w:tcPr>
            <w:tcW w:w="5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137,591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83"/>
              <w:spacing w:after="0"/>
              <w:rPr>
                <w:sz w:val="20"/>
                <w:szCs w:val="20"/>
                <w:color w:val="auto"/>
              </w:rPr>
            </w:pPr>
            <w:r>
              <w:rPr>
                <w:rFonts w:ascii="Arial" w:cs="Arial" w:eastAsia="Arial" w:hAnsi="Arial"/>
                <w:sz w:val="15"/>
                <w:szCs w:val="15"/>
                <w:color w:val="auto"/>
              </w:rPr>
              <w:t>20,230</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5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136,816</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119,509</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17,307</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90,398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95,721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243"/>
              <w:spacing w:after="0"/>
              <w:rPr>
                <w:sz w:val="20"/>
                <w:szCs w:val="20"/>
                <w:color w:val="auto"/>
              </w:rPr>
            </w:pPr>
            <w:r>
              <w:rPr>
                <w:rFonts w:ascii="Arial" w:cs="Arial" w:eastAsia="Arial" w:hAnsi="Arial"/>
                <w:sz w:val="15"/>
                <w:szCs w:val="15"/>
                <w:color w:val="auto"/>
              </w:rPr>
              <w:t>(5,323)</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580" w:type="dxa"/>
            <w:vAlign w:val="bottom"/>
            <w:shd w:val="clear" w:color="auto" w:fill="DBDBDB"/>
          </w:tcPr>
          <w:p>
            <w:pPr>
              <w:spacing w:after="0"/>
              <w:rPr>
                <w:sz w:val="20"/>
                <w:szCs w:val="20"/>
                <w:color w:val="auto"/>
              </w:rPr>
            </w:pPr>
          </w:p>
        </w:tc>
        <w:tc>
          <w:tcPr>
            <w:tcW w:w="1840" w:type="dxa"/>
            <w:vAlign w:val="bottom"/>
            <w:gridSpan w:val="3"/>
            <w:shd w:val="clear" w:color="auto" w:fill="DBDBDB"/>
          </w:tcPr>
          <w:p>
            <w:pPr>
              <w:jc w:val="right"/>
              <w:ind w:right="363"/>
              <w:spacing w:after="0"/>
              <w:rPr>
                <w:sz w:val="20"/>
                <w:szCs w:val="20"/>
                <w:color w:val="auto"/>
              </w:rPr>
            </w:pPr>
            <w:r>
              <w:rPr>
                <w:rFonts w:ascii="Arial" w:cs="Arial" w:eastAsia="Arial" w:hAnsi="Arial"/>
                <w:sz w:val="15"/>
                <w:szCs w:val="15"/>
                <w:color w:val="auto"/>
              </w:rPr>
              <w:t>59.5 %</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62.5 %</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 bps</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5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1,222</w:t>
            </w:r>
          </w:p>
        </w:tc>
        <w:tc>
          <w:tcPr>
            <w:tcW w:w="100" w:type="dxa"/>
            <w:vAlign w:val="bottom"/>
          </w:tcPr>
          <w:p>
            <w:pPr>
              <w:spacing w:after="0"/>
              <w:rPr>
                <w:sz w:val="19"/>
                <w:szCs w:val="19"/>
                <w:color w:val="auto"/>
              </w:rPr>
            </w:pPr>
          </w:p>
        </w:tc>
        <w:tc>
          <w:tcPr>
            <w:tcW w:w="5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1,163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83"/>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5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109,079</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128,045</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(18,966)</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580" w:type="dxa"/>
            <w:vAlign w:val="bottom"/>
          </w:tcPr>
          <w:p>
            <w:pPr>
              <w:spacing w:after="0"/>
              <w:rPr>
                <w:sz w:val="19"/>
                <w:szCs w:val="19"/>
                <w:color w:val="auto"/>
              </w:rPr>
            </w:pPr>
          </w:p>
        </w:tc>
        <w:tc>
          <w:tcPr>
            <w:tcW w:w="1840" w:type="dxa"/>
            <w:vAlign w:val="bottom"/>
            <w:gridSpan w:val="3"/>
          </w:tcPr>
          <w:p>
            <w:pPr>
              <w:jc w:val="right"/>
              <w:ind w:right="363"/>
              <w:spacing w:after="0"/>
              <w:rPr>
                <w:sz w:val="20"/>
                <w:szCs w:val="20"/>
                <w:color w:val="auto"/>
              </w:rPr>
            </w:pPr>
            <w:r>
              <w:rPr>
                <w:rFonts w:ascii="Arial" w:cs="Arial" w:eastAsia="Arial" w:hAnsi="Arial"/>
                <w:sz w:val="15"/>
                <w:szCs w:val="15"/>
                <w:color w:val="auto"/>
              </w:rPr>
              <w:t>53.4 %</w:t>
            </w:r>
          </w:p>
        </w:tc>
        <w:tc>
          <w:tcPr>
            <w:tcW w:w="1320" w:type="dxa"/>
            <w:vAlign w:val="bottom"/>
          </w:tcPr>
          <w:p>
            <w:pPr>
              <w:jc w:val="right"/>
              <w:spacing w:after="0"/>
              <w:rPr>
                <w:sz w:val="20"/>
                <w:szCs w:val="20"/>
                <w:color w:val="auto"/>
              </w:rPr>
            </w:pPr>
            <w:r>
              <w:rPr>
                <w:rFonts w:ascii="Arial" w:cs="Arial" w:eastAsia="Arial" w:hAnsi="Arial"/>
                <w:sz w:val="15"/>
                <w:szCs w:val="15"/>
                <w:color w:val="auto"/>
              </w:rPr>
              <w:t>60.7 %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(730) bps</w:t>
            </w:r>
          </w:p>
        </w:tc>
        <w:tc>
          <w:tcPr>
            <w:tcW w:w="0" w:type="dxa"/>
            <w:vAlign w:val="bottom"/>
          </w:tcPr>
          <w:p>
            <w:pPr>
              <w:spacing w:after="0"/>
              <w:rPr>
                <w:sz w:val="1"/>
                <w:szCs w:val="1"/>
                <w:color w:val="auto"/>
              </w:rPr>
            </w:pPr>
          </w:p>
        </w:tc>
      </w:tr>
      <w:tr>
        <w:trPr>
          <w:trHeight w:val="23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5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262</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Comparison of Six Months Ended June 30, 2025 and 2024</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$43.1 million, or 3.6%, to $1,148.6 million for the six months ended June 30, 2025 from $1,191.8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decline in revenue was driven by a decrease in units on rent and a $17.7 million increase in write-offs recorded as a reduction to revenue compared to the same period in 2024. Leasing revenue decreased $41.9 million, or 4.6%, as compared to the same period in 2024, driven by the increase in write-offs and a decrease of 24,289 total average units on rent. Increases in average monthly rental rates offset some of these decreases. Delivery and installation revenues decreased $11.4 million, or 5.5%, due to decreased deliveries and returns. Rental unit sales increased $1.0 million, or 3.3%, and new unit sales increased $9.2 million, or 26.3%.</w:t>
      </w:r>
    </w:p>
    <w:p>
      <w:pPr>
        <w:spacing w:after="0" w:line="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six months ended June 30, 2025 and 2024 were 199,477 and 223,766, respectively. Lower demand was driven by reduced non-residential construction project starts due to higher interest rates and increased economic uncertainty. Portable storage average units on rent decreased by 18,966 units, or 14.8%, for the six months ended June 30, 2025 driven by lower demand in 2025. The average portable storage utilization rate during the six months ended June 30, 2025 was 53.4% as compared to 60.7% during the same period in 2024. Modular space average units on rent decreased 5,323 units, or 5.6%, for the six months ended June 30, 2025 as compared to the six months ended June 30, 2024. The average modular space utilization rate during the six months ended June 30, 2025 was 59.5% as compared to 62.5% during the same period in 2024.</w:t>
      </w:r>
    </w:p>
    <w:p>
      <w:pPr>
        <w:spacing w:after="0" w:line="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5.1% to $1,222 for the six months ended June 30, 2025, driven by our long-term price optimization strategies and VAPS penetration opportunities. Average portable storage monthly rental rates increased 4.6% to $274 for the six months ended June 30, 2025 as a result of the mix effects from higher rates on climate-controlled containers and trailers. Total VAPS revenues, which are included in leasing revenues, were $196.4 million for both the six months ended June 30, 2025 and 2024.</w:t>
      </w:r>
    </w:p>
    <w:p>
      <w:pPr>
        <w:spacing w:after="0" w:line="5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$47.6 million, or 7.4%, to $596.4 million for the six months ended June 30, 2025 from $644.0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decrease in gross profit was a result of a $24.7 million decrease in leasing gross profit, decreased delivery and installation gross profit of $14.3 million, and a $11.9 million increase in depreciation of rental equipment. The decrease was partially offset by a $3.3 million increase in new and rental unit sales gross profit. The decrease in leasing gross profit was primarily driven by lower demand in 2025.</w:t>
      </w:r>
    </w:p>
    <w:p>
      <w:pPr>
        <w:spacing w:after="0" w:line="2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Cost of leasing and services decreased by $14.3 million, or 4.0%, for the six months ended June 30, 2025 as compared to the six months ended June 30, 2024, driven by a decrease in labor cost of $8.5 million, or 5.9%, and a decrease in material costs of $3.8 million, or 7.7%, as we reduced variable costs to match demand. Cost of sales increased by $6.9 million, or 18.2%. Our resulting gross profit percentage was 51.9% and 54.0% for the six months ended June 30, 2025 and 2024, respectively.</w:t>
      </w:r>
    </w:p>
    <w:p>
      <w:pPr>
        <w:spacing w:after="0" w:line="24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decreased $46.9 million, or 13.4%, to $302.2 million for the six months ended June 30, 2025, as compared to $349.1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decrease was primarily driven by a $33.5 million decrease in legal and professional fees primarily related to our terminated acquisition of McGrath in 2024, a $6.0 million decrease in restructuring costs, and a $16.6 million, or 237.1%, decrease in the provision for credit losses, net of write offs. Employee SG&amp;A excluding stock compensation decreased $2.1 million, or 1.5%, due to lower employee headcount. These decreased costs were partially offset by a $6.5 million increase in travel costs associated with our bi-annual Company meeting, a $4.1 million, or 11.1%, increased in service agreements and professional fees, excluding discrete expenses for certain one-time projects, a $3.6 million increase in real estate and occupancy costs, and a $2.2 million increase in marketing and advertising expense.</w:t>
      </w:r>
    </w:p>
    <w:p>
      <w:pPr>
        <w:spacing w:after="0" w:line="6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$33.9 million, or 7%, to $477.7 million for the six months ended June 30, 2025 from $511.6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months ended June 30, 2024. The decrease was driven by a $24.7 million decrease in leasing gross profit and decreased delivery and installation gross profit of $14.3 million for the six months ended June 30, 2025 as compared to the six months ended June 30, 2024. The decrease was partially offset by a $3.3 million increase in new and used sales gross profit and decreased SG&amp;A, excluding discrete costs, of $1.3 million.</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$11.3 million to $47.3 million for the six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$36.1 million for the six months ended June 30, 2024, primarily related to the amortization of the Mobile Mini trade name beginning in the third quarter of 2024.</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Impairment loss on intangible asset: </w:t>
      </w:r>
      <w:r>
        <w:rPr>
          <w:rFonts w:ascii="Arial" w:cs="Arial" w:eastAsia="Arial" w:hAnsi="Arial"/>
          <w:sz w:val="15"/>
          <w:szCs w:val="15"/>
          <w:color w:val="auto"/>
        </w:rPr>
        <w:t>Impairment loss on intangible asset was $132.5 million for the six months ended June 30, 2024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impairment of the Mobile Mini trade name based on the Company's plan to rebrand under a single WillScot brand name and discontinue the use of the Mobile Mini trade name.</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increased $5.3 million to $117.4 million for the six months ended June 30, 2025 from $112.1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2024. The increase in interest expense was a result of increased average debt outstanding. See Note 7 to the condensed consolidated financial statements for further discussion of our debt.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$34.7 million to $37.9 million for the six months ended June 30, 2025 as compared to $3.2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2024. The increase in expense was driven by an increase in income before income tax for the six months ended June 30, 2025 as compared to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8" w:name="page29"/>
    <w:bookmarkEnd w:id="28"/>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$20.2 million, or 15%, to $157.8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2025 from $137.6 million for the six months ended June 30, 2024. Net CAPEX increased $17.3 million, or 14%, to $136.8 million for the six months ended June 30, 2025 from $119.5 million for the six months ended June 30, 2024 driven by the increase in capital expenditures for rental equipment, partially offset by a $1.9 million decrease in the purchase of property, plant and equipment and a $1.4 million increase in proceeds from the sale of property, plant, and equipment.</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EBITDA as net income (loss)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ind w:left="1240" w:hanging="309"/>
        <w:spacing w:after="0" w:line="295"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72"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gains and losses on disposals of property, plant, and equipment, and unrealized gains and losses on investments.</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CODM evaluates business performance utilizing Adjusted EBITDA as shown in the reconciliation of the Company’s consolidated net income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3" w:lineRule="exact"/>
        <w:rPr>
          <w:sz w:val="20"/>
          <w:szCs w:val="20"/>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1"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60"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5"/>
          <w:szCs w:val="15"/>
          <w:color w:val="auto"/>
        </w:rPr>
        <w:t>The following table provides reconciliations of net income (loss) to Adjusted EBITDA: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47,939</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(46,851)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90,994</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9,389</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19,984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37,894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3,189</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58,977</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55,548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117,446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112,136</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112,632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93,746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209,724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186,574</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144</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r>
      <w:tr>
        <w:trPr>
          <w:trHeight w:val="207"/>
        </w:trPr>
        <w:tc>
          <w:tcPr>
            <w:tcW w:w="47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1"/>
        </w:trPr>
        <w:tc>
          <w:tcPr>
            <w:tcW w:w="4740" w:type="dxa"/>
            <w:vAlign w:val="bottom"/>
          </w:tcPr>
          <w:p>
            <w:pPr>
              <w:ind w:left="220"/>
              <w:spacing w:after="0"/>
              <w:rPr>
                <w:sz w:val="20"/>
                <w:szCs w:val="20"/>
                <w:color w:val="auto"/>
              </w:rPr>
            </w:pPr>
            <w:r>
              <w:rPr>
                <w:rFonts w:ascii="Arial" w:cs="Arial" w:eastAsia="Arial" w:hAnsi="Arial"/>
                <w:sz w:val="15"/>
                <w:szCs w:val="15"/>
                <w:color w:val="auto"/>
              </w:rPr>
              <w:t>charges</w:t>
            </w: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6,929</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1,125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1,159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386</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3,066</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613</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5,943</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8,373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16,714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18,713</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(629)</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23,661</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2,103</w:t>
            </w:r>
          </w:p>
        </w:tc>
        <w:tc>
          <w:tcPr>
            <w:tcW w:w="80" w:type="dxa"/>
            <w:vAlign w:val="bottom"/>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36,097</w:t>
            </w:r>
          </w:p>
        </w:tc>
      </w:tr>
      <w:tr>
        <w:trPr>
          <w:trHeight w:val="232"/>
        </w:trPr>
        <w:tc>
          <w:tcPr>
            <w:tcW w:w="474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248,913</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263,576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477,698</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511,585</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reconciliations of Net CAPEX: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shd w:val="clear" w:color="auto" w:fill="1D2758"/>
          </w:tcPr>
          <w:p>
            <w:pPr>
              <w:spacing w:after="0"/>
              <w:rPr>
                <w:sz w:val="16"/>
                <w:szCs w:val="16"/>
                <w:color w:val="auto"/>
              </w:rPr>
            </w:pPr>
          </w:p>
        </w:tc>
        <w:tc>
          <w:tcPr>
            <w:tcW w:w="26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840" w:type="dxa"/>
            <w:vAlign w:val="bottom"/>
            <w:gridSpan w:val="3"/>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660" w:type="dxa"/>
            <w:vAlign w:val="bottom"/>
            <w:gridSpan w:val="3"/>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June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2"/>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62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4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2025</w:t>
            </w:r>
          </w:p>
        </w:tc>
        <w:tc>
          <w:tcPr>
            <w:tcW w:w="48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(85,269)</w:t>
            </w:r>
          </w:p>
        </w:tc>
        <w:tc>
          <w:tcPr>
            <w:tcW w:w="80" w:type="dxa"/>
            <w:vAlign w:val="bottom"/>
            <w:shd w:val="clear" w:color="auto" w:fill="DBDBDB"/>
          </w:tcPr>
          <w:p>
            <w:pPr>
              <w:spacing w:after="0"/>
              <w:rPr>
                <w:sz w:val="20"/>
                <w:szCs w:val="20"/>
                <w:color w:val="auto"/>
              </w:rPr>
            </w:pPr>
          </w:p>
        </w:tc>
        <w:tc>
          <w:tcPr>
            <w:tcW w:w="96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(65,174)</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(157,821)</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(137,591)</w:t>
            </w:r>
          </w:p>
        </w:tc>
      </w:tr>
      <w:tr>
        <w:trPr>
          <w:trHeight w:val="22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Proceeds from sale of rental equipment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16,269</w:t>
            </w:r>
          </w:p>
        </w:tc>
        <w:tc>
          <w:tcPr>
            <w:tcW w:w="8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30,332</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30,668</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940" w:type="dxa"/>
            <w:vAlign w:val="bottom"/>
            <w:shd w:val="clear" w:color="auto" w:fill="DBDBDB"/>
          </w:tcPr>
          <w:p>
            <w:pPr>
              <w:spacing w:after="0"/>
              <w:rPr>
                <w:sz w:val="20"/>
                <w:szCs w:val="2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(69,000)</w:t>
            </w:r>
          </w:p>
        </w:tc>
        <w:tc>
          <w:tcPr>
            <w:tcW w:w="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(48,701)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(127,489)</w:t>
            </w:r>
          </w:p>
        </w:tc>
        <w:tc>
          <w:tcPr>
            <w:tcW w:w="48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(106,923)</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(6,286)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(10,920)</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(12,801)</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940" w:type="dxa"/>
            <w:vAlign w:val="bottom"/>
            <w:tcBorders>
              <w:bottom w:val="single" w:sz="8" w:color="auto"/>
            </w:tcBorders>
            <w:shd w:val="clear" w:color="auto" w:fill="DBDBDB"/>
          </w:tcPr>
          <w:p>
            <w:pPr>
              <w:spacing w:after="0"/>
              <w:rPr>
                <w:sz w:val="20"/>
                <w:szCs w:val="20"/>
                <w:color w:val="auto"/>
              </w:rPr>
            </w:pPr>
          </w:p>
        </w:tc>
        <w:tc>
          <w:tcPr>
            <w:tcW w:w="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302</w:t>
            </w:r>
          </w:p>
        </w:tc>
        <w:tc>
          <w:tcPr>
            <w:tcW w:w="80" w:type="dxa"/>
            <w:vAlign w:val="bottom"/>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spacing w:after="0"/>
              <w:rPr>
                <w:sz w:val="20"/>
                <w:szCs w:val="20"/>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1,593</w:t>
            </w:r>
          </w:p>
        </w:tc>
        <w:tc>
          <w:tcPr>
            <w:tcW w:w="48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w:t>
            </w:r>
          </w:p>
        </w:tc>
      </w:tr>
      <w:tr>
        <w:trPr>
          <w:trHeight w:val="218"/>
        </w:trPr>
        <w:tc>
          <w:tcPr>
            <w:tcW w:w="47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(74,984)</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(136,816)</w:t>
            </w:r>
          </w:p>
        </w:tc>
        <w:tc>
          <w:tcPr>
            <w:tcW w:w="4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(119,509)</w:t>
            </w:r>
          </w:p>
        </w:tc>
      </w:tr>
      <w:tr>
        <w:trPr>
          <w:trHeight w:val="26"/>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Free Cash Flow</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excluding one-time, nonrecurring payments for transaction costs from terminated acquisitions. Management believes that the presentation of Adjusted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5"/>
          <w:szCs w:val="15"/>
          <w:color w:val="auto"/>
        </w:rPr>
        <w:t>The following table provides a reconciliation of net cash provided by operating activities to Adjusted Free Cash Flow.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40" w:type="dxa"/>
            <w:vAlign w:val="bottom"/>
            <w:shd w:val="clear" w:color="auto" w:fill="1D2758"/>
          </w:tcPr>
          <w:p>
            <w:pPr>
              <w:spacing w:after="0"/>
              <w:rPr>
                <w:sz w:val="20"/>
                <w:szCs w:val="20"/>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205,311</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175,611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411,938</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384,287</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(85,269)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(157,821)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(137,591)</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16,269</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16,473</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30,332</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30,668</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(10,920)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(12,801)</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302</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1,593</w:t>
            </w:r>
          </w:p>
        </w:tc>
        <w:tc>
          <w:tcPr>
            <w:tcW w:w="8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215</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Cash paid for transaction costs from terminated acquisitions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9,185</w:t>
            </w:r>
          </w:p>
        </w:tc>
      </w:tr>
      <w:tr>
        <w:trPr>
          <w:trHeight w:val="257"/>
        </w:trPr>
        <w:tc>
          <w:tcPr>
            <w:tcW w:w="474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Free Cash Flow</w:t>
            </w: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130,327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40" w:type="dxa"/>
            <w:vAlign w:val="bottom"/>
            <w:tcBorders>
              <w:top w:val="single" w:sz="8" w:color="auto"/>
              <w:bottom w:val="single" w:sz="8" w:color="auto"/>
            </w:tcBorders>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128,948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275,122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40" w:type="dxa"/>
            <w:vAlign w:val="bottom"/>
            <w:tcBorders>
              <w:top w:val="single" w:sz="8" w:color="auto"/>
              <w:bottom w:val="single" w:sz="8" w:color="auto"/>
            </w:tcBorders>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273,963</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is a holding company that derives its operating cash flow from its operating subsidiaries. Our principal sources of liquidity include cash flows generated from operating activities of our subsidiaries, borrowings under our ABL Facility, and issuance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w:t>
      </w:r>
    </w:p>
    <w:p>
      <w:pPr>
        <w:spacing w:after="0" w:line="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continuously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considerations, the value of the assets in the relevant collateral pool, of which our rental equipment represents the largest component. At June 30, 2025, we had $1.6 billion of available borrowing capacity under the ABL Facility.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2340" w:type="dxa"/>
            <w:vAlign w:val="bottom"/>
            <w:gridSpan w:val="3"/>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Six Months Ended</w:t>
            </w:r>
          </w:p>
        </w:tc>
        <w:tc>
          <w:tcPr>
            <w:tcW w:w="12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34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June 30,</w:t>
            </w:r>
          </w:p>
        </w:tc>
        <w:tc>
          <w:tcPr>
            <w:tcW w:w="12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1"/>
                <w:szCs w:val="21"/>
                <w:color w:val="auto"/>
              </w:rPr>
            </w:pPr>
          </w:p>
        </w:tc>
        <w:tc>
          <w:tcPr>
            <w:tcW w:w="15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1"/>
                <w:szCs w:val="21"/>
                <w:color w:val="auto"/>
              </w:rPr>
            </w:pPr>
          </w:p>
        </w:tc>
        <w:tc>
          <w:tcPr>
            <w:tcW w:w="720" w:type="dxa"/>
            <w:vAlign w:val="bottom"/>
            <w:shd w:val="clear" w:color="auto" w:fill="1D2758"/>
          </w:tcPr>
          <w:p>
            <w:pPr>
              <w:spacing w:after="0"/>
              <w:rPr>
                <w:sz w:val="21"/>
                <w:szCs w:val="21"/>
                <w:color w:val="auto"/>
              </w:rPr>
            </w:pPr>
          </w:p>
        </w:tc>
        <w:tc>
          <w:tcPr>
            <w:tcW w:w="126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97"/>
        </w:trPr>
        <w:tc>
          <w:tcPr>
            <w:tcW w:w="7160" w:type="dxa"/>
            <w:vAlign w:val="bottom"/>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5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7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411,938</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384,287</w:t>
            </w:r>
          </w:p>
        </w:tc>
        <w:tc>
          <w:tcPr>
            <w:tcW w:w="0" w:type="dxa"/>
            <w:vAlign w:val="bottom"/>
          </w:tcPr>
          <w:p>
            <w:pPr>
              <w:spacing w:after="0"/>
              <w:rPr>
                <w:sz w:val="1"/>
                <w:szCs w:val="1"/>
                <w:color w:val="auto"/>
              </w:rPr>
            </w:pPr>
          </w:p>
        </w:tc>
      </w:tr>
      <w:tr>
        <w:trPr>
          <w:trHeight w:val="225"/>
        </w:trPr>
        <w:tc>
          <w:tcPr>
            <w:tcW w:w="7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(273,099)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(193,329)</w:t>
            </w:r>
          </w:p>
        </w:tc>
        <w:tc>
          <w:tcPr>
            <w:tcW w:w="0" w:type="dxa"/>
            <w:vAlign w:val="bottom"/>
          </w:tcPr>
          <w:p>
            <w:pPr>
              <w:spacing w:after="0"/>
              <w:rPr>
                <w:sz w:val="1"/>
                <w:szCs w:val="1"/>
                <w:color w:val="auto"/>
              </w:rPr>
            </w:pPr>
          </w:p>
        </w:tc>
      </w:tr>
      <w:tr>
        <w:trPr>
          <w:trHeight w:val="239"/>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(135,942)</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(195,662)</w:t>
            </w:r>
          </w:p>
        </w:tc>
        <w:tc>
          <w:tcPr>
            <w:tcW w:w="0" w:type="dxa"/>
            <w:vAlign w:val="bottom"/>
          </w:tcPr>
          <w:p>
            <w:pPr>
              <w:spacing w:after="0"/>
              <w:rPr>
                <w:sz w:val="1"/>
                <w:szCs w:val="1"/>
                <w:color w:val="auto"/>
              </w:rPr>
            </w:pPr>
          </w:p>
        </w:tc>
      </w:tr>
      <w:tr>
        <w:trPr>
          <w:trHeight w:val="218"/>
        </w:trPr>
        <w:tc>
          <w:tcPr>
            <w:tcW w:w="71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952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98"/>
        </w:trPr>
        <w:tc>
          <w:tcPr>
            <w:tcW w:w="7160" w:type="dxa"/>
            <w:vAlign w:val="bottom"/>
            <w:tcBorders>
              <w:bottom w:val="single" w:sz="8" w:color="DBDBDB"/>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60" w:type="dxa"/>
            <w:vAlign w:val="bottom"/>
            <w:vMerge w:val="restart"/>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3,849</w:t>
            </w:r>
          </w:p>
        </w:tc>
        <w:tc>
          <w:tcPr>
            <w:tcW w:w="100" w:type="dxa"/>
            <w:vAlign w:val="bottom"/>
            <w:shd w:val="clear" w:color="auto" w:fill="DBDBDB"/>
          </w:tcPr>
          <w:p>
            <w:pPr>
              <w:spacing w:after="0"/>
              <w:rPr>
                <w:sz w:val="17"/>
                <w:szCs w:val="17"/>
                <w:color w:val="auto"/>
              </w:rPr>
            </w:pPr>
          </w:p>
        </w:tc>
        <w:tc>
          <w:tcPr>
            <w:tcW w:w="720" w:type="dxa"/>
            <w:vAlign w:val="bottom"/>
            <w:vMerge w:val="restart"/>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92"/>
        </w:trPr>
        <w:tc>
          <w:tcPr>
            <w:tcW w:w="7160" w:type="dxa"/>
            <w:vAlign w:val="bottom"/>
            <w:tcBorders>
              <w:bottom w:val="single" w:sz="8" w:color="DBDBDB"/>
            </w:tcBorders>
            <w:shd w:val="clear" w:color="auto" w:fill="DBDBDB"/>
          </w:tcPr>
          <w:p>
            <w:pPr>
              <w:spacing w:after="0"/>
              <w:rPr>
                <w:sz w:val="7"/>
                <w:szCs w:val="7"/>
                <w:color w:val="auto"/>
              </w:rPr>
            </w:pPr>
          </w:p>
        </w:tc>
        <w:tc>
          <w:tcPr>
            <w:tcW w:w="460" w:type="dxa"/>
            <w:vAlign w:val="bottom"/>
            <w:tcBorders>
              <w:bottom w:val="single" w:sz="8" w:color="auto"/>
            </w:tcBorders>
            <w:vMerge w:val="continue"/>
            <w:shd w:val="clear" w:color="auto" w:fill="DBDBDB"/>
          </w:tcPr>
          <w:p>
            <w:pPr>
              <w:spacing w:after="0"/>
              <w:rPr>
                <w:sz w:val="7"/>
                <w:szCs w:val="7"/>
                <w:color w:val="auto"/>
              </w:rPr>
            </w:pPr>
          </w:p>
        </w:tc>
        <w:tc>
          <w:tcPr>
            <w:tcW w:w="1520" w:type="dxa"/>
            <w:vAlign w:val="bottom"/>
            <w:tcBorders>
              <w:bottom w:val="single" w:sz="8" w:color="auto"/>
            </w:tcBorders>
            <w:vMerge w:val="continue"/>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720" w:type="dxa"/>
            <w:vAlign w:val="bottom"/>
            <w:tcBorders>
              <w:bottom w:val="single" w:sz="8" w:color="auto"/>
            </w:tcBorders>
            <w:vMerge w:val="continue"/>
            <w:shd w:val="clear" w:color="auto" w:fill="DBDBDB"/>
          </w:tcPr>
          <w:p>
            <w:pPr>
              <w:spacing w:after="0"/>
              <w:rPr>
                <w:sz w:val="7"/>
                <w:szCs w:val="7"/>
                <w:color w:val="auto"/>
              </w:rPr>
            </w:pPr>
          </w:p>
        </w:tc>
        <w:tc>
          <w:tcPr>
            <w:tcW w:w="126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the Six Months Ended June 30, 2025 and 2024</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Net cash provided by operating activities for the six months ended June 30, 2025 was $411.9 million as compared to $384.3 million for the six months ended June 30, 2024, an increase of $27.7 million. The increase in net cash provided by operating activities was primarily due to an increase of $37.4 million in the net movements of the operating assets and liabilities, partially offset by a $9.8 million decrease in net income, adjusted for non-cash items, during the six months ended June 30, 2025.</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Net cash used in investing activities for the six months ended June 30, 2025 was $273.1 million as compared to $193.3 million for the six months ended June 30, 2024, a $79.8 million increase in net cash used in investing activities. The increase in net cash used in investing activities resulted from a $66.2 million increase in cash used in acquisitions, net of cash acquired, and a $20.2 million increase in the purchase of rental equipment and refurbishments during the six months ended June 30, 2025.</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financing activities for the six months ended June 30, 2025 was $135.9 million as compared to $195.7 million for the six months ended June 30, 2024, a decrease of $59.7 million. The decrease was primarily due to a $67.2 million decrease in repayments of borrowings, net of receipts from borrowings, a $9.9 million increase in receipts from issuance of common stock from the exercise of options, and a $5.5 million decrease in cash used for the repurchase and cancellation of common stock during the six months ended June 30, 2025. The decrease was partially offset by a $25.6 million increase in cash used to pay dividends in the six months ended June 30,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Debt</w:t>
      </w:r>
    </w:p>
    <w:p>
      <w:pPr>
        <w:spacing w:after="0" w:line="6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has outstanding debt related to its ABL Facility, 2028 Secured Notes, 2029 Secured Notes, 2030 Secured Notes, 2031 Secured Notes, and finance leases totaling $3.7 billion as of June 30, 2025, $26.9 million of which is obligated to be repaid within the next twelve months. Refer to Note 7 for further information regarding outstanding debt.</w:t>
      </w:r>
    </w:p>
    <w:p>
      <w:pPr>
        <w:spacing w:after="0"/>
        <w:rPr>
          <w:sz w:val="20"/>
          <w:szCs w:val="20"/>
          <w:color w:val="auto"/>
        </w:rPr>
      </w:pPr>
      <w:r>
        <w:rPr>
          <w:rFonts w:ascii="Arial" w:cs="Arial" w:eastAsia="Arial" w:hAnsi="Arial"/>
          <w:sz w:val="15"/>
          <w:szCs w:val="15"/>
          <w:b w:val="1"/>
          <w:bCs w:val="1"/>
          <w:i w:val="1"/>
          <w:iCs w:val="1"/>
          <w:color w:val="1D2758"/>
        </w:rPr>
        <w:t>Operating leases</w:t>
      </w:r>
    </w:p>
    <w:p>
      <w:pPr>
        <w:spacing w:after="0" w:line="7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June 30, 2025, the Company had lease obligations of $302.8 million, with $72.9 million payable within the next twelve months.</w:t>
      </w:r>
    </w:p>
    <w:p>
      <w:pPr>
        <w:spacing w:after="0"/>
        <w:rPr>
          <w:sz w:val="20"/>
          <w:szCs w:val="20"/>
          <w:color w:val="auto"/>
        </w:rPr>
      </w:pPr>
      <w:r>
        <w:rPr>
          <w:rFonts w:ascii="Arial" w:cs="Arial" w:eastAsia="Arial" w:hAnsi="Arial"/>
          <w:sz w:val="15"/>
          <w:szCs w:val="15"/>
          <w:b w:val="1"/>
          <w:bCs w:val="1"/>
          <w:i w:val="1"/>
          <w:iCs w:val="1"/>
          <w:color w:val="1D2758"/>
        </w:rPr>
        <w:t>Other</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the cash requirements described above, the Company has a dividend program subject to quarterly approval and declaration by the Board of Directors as well as a share repurchase program authorized by the Board of Directors, which allows the Company to repurchase up to $1.0 billion of outstanding shares of Common Stock. As of June 30, 2025, $750.0 million of the authorization for future repurchases of our common stock remained available. These programs do not obligate the Company to issue dividends or repurchase shares.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Estimates</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Our actual results may differ materially and adversely from our estimates. For a complete discussion of our significant critical accounting estimates, see the “Critical Accounting Estimates” section in Part II, Item 7 of our Annual Report on Form 10-K for the year ended December 31, 2024 (the "2024 Annual Report on Form 10-K"). There were no significant changes to our critical accounting estimates during the six months ended June 30, 2025.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condensed consolidated financial statements included in this Quarterly Report on Form 10-Q for our assessment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the Company can give no assurance that any such forward-looking statement will materialize. Important factors that may affect actual results or outcomes include, among others:</w:t>
      </w:r>
    </w:p>
    <w:p>
      <w:pPr>
        <w:spacing w:after="0" w:line="201"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economic conditions and changes therein, including financial market conditions and levels of end market demand;</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46"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laws and regulations governing antitrust, climate related disclosures, cybersecurity and information technology, privacy, government contracts, anti-corruption, and the environment;</w:t>
      </w: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actions of activist shareholders;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cybersecurity threats and IT systems disruptions, including our ability to manage the business in the event a cybersecurity incident or a disaster shuts down or materially impacts our management information systems;</w:t>
      </w:r>
    </w:p>
    <w:p>
      <w:pPr>
        <w:ind w:left="620" w:hanging="307"/>
        <w:spacing w:after="0" w:line="287"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and enforcement of tariffs, trade restrictions, and broader economic measures and their consequences;</w:t>
      </w: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customers as a result of the economic climate in which they operate and/or economic or financial disruptions to their industry;</w:t>
      </w: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evolving public disclosure, financial reporting, internal controls, and corporate governance expectations;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tax loss carryforwards, and utilize future tax savings;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and avoid risks associated with substantial indebtedness;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3" w:name="page34"/>
    <w:bookmarkEnd w:id="33"/>
    <w:p>
      <w:pPr>
        <w:ind w:left="620" w:hanging="307"/>
        <w:spacing w:after="0" w:line="294"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2024 Annual Report on Form 10-K), which are available through the SEC’s EDGAR system at www.sec.gov and on our website.</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176" w:lineRule="exact"/>
        <w:rPr>
          <w:sz w:val="20"/>
          <w:szCs w:val="20"/>
          <w:color w:val="auto"/>
        </w:rPr>
      </w:pPr>
    </w:p>
    <w:p>
      <w:pPr>
        <w:ind w:left="1740" w:right="11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jc w:val="both"/>
        <w:ind w:firstLine="619"/>
        <w:spacing w:after="0" w:line="291"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$1.6 billion in outstanding principal under the ABL Facility at June 30, 2025.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$0.8 million based on outstanding borrowings at June 30, 2025.</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22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2025. Based upon that evaluation, our Chief Executive Officer and Chief Financial Officer concluded that our disclosure controls and procedures were effective as of June 30, 2025.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June 30,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ind w:left="4960"/>
        <w:spacing w:after="0"/>
        <w:rPr>
          <w:sz w:val="20"/>
          <w:szCs w:val="20"/>
          <w:color w:val="auto"/>
        </w:rPr>
      </w:pPr>
      <w:r>
        <w:rPr>
          <w:rFonts w:ascii="Arial" w:cs="Arial" w:eastAsia="Arial" w:hAnsi="Arial"/>
          <w:sz w:val="38"/>
          <w:szCs w:val="38"/>
          <w:b w:val="1"/>
          <w:bCs w:val="1"/>
          <w:color w:val="1D2758"/>
        </w:rPr>
        <w:t>PART II</w:t>
      </w:r>
    </w:p>
    <w:p>
      <w:pPr>
        <w:spacing w:after="0" w:line="38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2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2025,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34"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2024 Annual Report on Form 10-K, which have not materially changed, except as set forth below:</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color w:val="auto"/>
        </w:rPr>
        <w:t>Trade policies and changes in trade policies, including the imposition of or increases in tariffs, their enforcement, downstream consequences, including any resulting changes in international trade relations, may materially adversely affect our business, results of operations, and outlook.</w:t>
      </w:r>
    </w:p>
    <w:p>
      <w:pPr>
        <w:spacing w:after="0" w:line="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lumber, and other imports from certain countries or countries generally, which could result in increased costs to us for these materials. Without limitation,</w:t>
      </w:r>
    </w:p>
    <w:p>
      <w:pPr>
        <w:spacing w:after="0" w:line="1" w:lineRule="exact"/>
        <w:rPr>
          <w:sz w:val="20"/>
          <w:szCs w:val="20"/>
          <w:color w:val="auto"/>
        </w:rPr>
      </w:pPr>
    </w:p>
    <w:p>
      <w:pPr>
        <w:jc w:val="both"/>
        <w:ind w:firstLine="3"/>
        <w:spacing w:after="0" w:line="260" w:lineRule="auto"/>
        <w:tabs>
          <w:tab w:leader="none" w:pos="184" w:val="left"/>
        </w:tabs>
        <w:numPr>
          <w:ilvl w:val="0"/>
          <w:numId w:val="11"/>
        </w:numPr>
        <w:rPr>
          <w:rFonts w:ascii="Arial" w:cs="Arial" w:eastAsia="Arial" w:hAnsi="Arial"/>
          <w:sz w:val="15"/>
          <w:szCs w:val="15"/>
          <w:color w:val="auto"/>
        </w:rPr>
      </w:pPr>
      <w:r>
        <w:rPr>
          <w:rFonts w:ascii="Arial" w:cs="Arial" w:eastAsia="Arial" w:hAnsi="Arial"/>
          <w:sz w:val="15"/>
          <w:szCs w:val="15"/>
          <w:color w:val="auto"/>
        </w:rPr>
        <w:t>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The current US administration has implemented or increased, or announced plans to implement or increase tariffs, including on products manufactured in China, Canada, and Mexico, though it remains unclear what specific actions will be implemented or be maintained. The implementation or maintenance of tariffs announced to date or announced in the future, or any escalation of trade tensions, additional tariffs, retaliatory measures by foreign governments or shifts in US or international trade policies could increase uncertainty and adversely impact our supply chain, increase costs, and reduce demand for our products, directly or indirectly due to negative effects on our customers, the US economy, the economies of other countries in which we operate or the global economy, any or all of which developments may materially adversely affect our business, financial condition, and results of operations. Further, the duration and scope of these potential effects are unknown. Although we actively monitor our procurement policies and practices to avoid undue reliance on foreign goods subject to tariffs, when practicable, there is no assurance that any actions we implement as a result will allow us to avoid these potential effects.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5" w:name="page36"/>
    <w:bookmarkEnd w:id="35"/>
    <w:p>
      <w:pPr>
        <w:ind w:left="1740" w:right="4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Unregistered Sales of Equity Securities and Use of Proceeds</w:t>
      </w: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second quarter of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shd w:val="clear" w:color="auto" w:fill="1D2758"/>
          </w:tcPr>
          <w:p>
            <w:pPr>
              <w:spacing w:after="0"/>
              <w:rPr>
                <w:sz w:val="16"/>
                <w:szCs w:val="16"/>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220" w:type="dxa"/>
            <w:vAlign w:val="bottom"/>
            <w:shd w:val="clear" w:color="auto" w:fill="1D2758"/>
          </w:tcPr>
          <w:p>
            <w:pPr>
              <w:spacing w:after="0"/>
              <w:rPr>
                <w:sz w:val="16"/>
                <w:szCs w:val="16"/>
                <w:color w:val="auto"/>
              </w:rPr>
            </w:pPr>
          </w:p>
        </w:tc>
        <w:tc>
          <w:tcPr>
            <w:tcW w:w="1260" w:type="dxa"/>
            <w:vAlign w:val="bottom"/>
            <w:shd w:val="clear" w:color="auto" w:fill="1D2758"/>
          </w:tcPr>
          <w:p>
            <w:pPr>
              <w:spacing w:after="0"/>
              <w:rPr>
                <w:sz w:val="16"/>
                <w:szCs w:val="16"/>
                <w:color w:val="auto"/>
              </w:rPr>
            </w:pPr>
          </w:p>
        </w:tc>
        <w:tc>
          <w:tcPr>
            <w:tcW w:w="210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20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Shares and</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93"/>
        </w:trPr>
        <w:tc>
          <w:tcPr>
            <w:tcW w:w="3960" w:type="dxa"/>
            <w:vAlign w:val="bottom"/>
            <w:shd w:val="clear" w:color="auto" w:fill="1D2758"/>
          </w:tcPr>
          <w:p>
            <w:pPr>
              <w:spacing w:after="0"/>
              <w:rPr>
                <w:sz w:val="16"/>
                <w:szCs w:val="16"/>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w:t>
            </w:r>
          </w:p>
        </w:tc>
        <w:tc>
          <w:tcPr>
            <w:tcW w:w="220" w:type="dxa"/>
            <w:vAlign w:val="bottom"/>
            <w:shd w:val="clear" w:color="auto" w:fill="1D2758"/>
          </w:tcPr>
          <w:p>
            <w:pPr>
              <w:spacing w:after="0"/>
              <w:rPr>
                <w:sz w:val="16"/>
                <w:szCs w:val="16"/>
                <w:color w:val="auto"/>
              </w:rPr>
            </w:pPr>
          </w:p>
        </w:tc>
        <w:tc>
          <w:tcPr>
            <w:tcW w:w="12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Average Price</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80"/>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Purchased (in</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Paid</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37"/>
        </w:trPr>
        <w:tc>
          <w:tcPr>
            <w:tcW w:w="3960" w:type="dxa"/>
            <w:vAlign w:val="bottom"/>
            <w:vMerge w:val="continue"/>
            <w:shd w:val="clear" w:color="auto" w:fill="1D2758"/>
          </w:tcPr>
          <w:p>
            <w:pPr>
              <w:spacing w:after="0"/>
              <w:rPr>
                <w:sz w:val="11"/>
                <w:szCs w:val="11"/>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220" w:type="dxa"/>
            <w:vAlign w:val="bottom"/>
            <w:shd w:val="clear" w:color="auto" w:fill="1D2758"/>
          </w:tcPr>
          <w:p>
            <w:pPr>
              <w:spacing w:after="0"/>
              <w:rPr>
                <w:sz w:val="11"/>
                <w:szCs w:val="11"/>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97"/>
        </w:trPr>
        <w:tc>
          <w:tcPr>
            <w:tcW w:w="39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2100" w:type="dxa"/>
            <w:vAlign w:val="bottom"/>
            <w:vMerge w:val="continue"/>
            <w:shd w:val="clear" w:color="auto" w:fill="1D2758"/>
          </w:tcPr>
          <w:p>
            <w:pPr>
              <w:spacing w:after="0"/>
              <w:rPr>
                <w:sz w:val="8"/>
                <w:szCs w:val="8"/>
                <w:color w:val="auto"/>
              </w:rPr>
            </w:pPr>
          </w:p>
        </w:tc>
        <w:tc>
          <w:tcPr>
            <w:tcW w:w="2220" w:type="dxa"/>
            <w:vAlign w:val="bottom"/>
            <w:gridSpan w:val="2"/>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April 1, 2025 to April 30, 2025</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741.2</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24.40</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741.2</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771.7</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5"/>
                <w:szCs w:val="15"/>
                <w:color w:val="auto"/>
              </w:rPr>
              <w:t>May 1, 2025 to May 31, 2025</w:t>
            </w:r>
          </w:p>
        </w:tc>
        <w:tc>
          <w:tcPr>
            <w:tcW w:w="1480" w:type="dxa"/>
            <w:vAlign w:val="bottom"/>
          </w:tcPr>
          <w:p>
            <w:pPr>
              <w:jc w:val="right"/>
              <w:spacing w:after="0"/>
              <w:rPr>
                <w:sz w:val="20"/>
                <w:szCs w:val="20"/>
                <w:color w:val="auto"/>
              </w:rPr>
            </w:pPr>
            <w:r>
              <w:rPr>
                <w:rFonts w:ascii="Arial" w:cs="Arial" w:eastAsia="Arial" w:hAnsi="Arial"/>
                <w:sz w:val="15"/>
                <w:szCs w:val="15"/>
                <w:color w:val="auto"/>
              </w:rPr>
              <w:t>268.2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27.94</w:t>
            </w:r>
          </w:p>
        </w:tc>
        <w:tc>
          <w:tcPr>
            <w:tcW w:w="2100" w:type="dxa"/>
            <w:vAlign w:val="bottom"/>
          </w:tcPr>
          <w:p>
            <w:pPr>
              <w:jc w:val="right"/>
              <w:spacing w:after="0"/>
              <w:rPr>
                <w:sz w:val="20"/>
                <w:szCs w:val="20"/>
                <w:color w:val="auto"/>
              </w:rPr>
            </w:pPr>
            <w:r>
              <w:rPr>
                <w:rFonts w:ascii="Arial" w:cs="Arial" w:eastAsia="Arial" w:hAnsi="Arial"/>
                <w:sz w:val="15"/>
                <w:szCs w:val="15"/>
                <w:color w:val="auto"/>
              </w:rPr>
              <w:t>268.2</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764.2</w:t>
            </w: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June 1, 2025 to June 30, 2025</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523.7</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27.20</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523.7</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232"/>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1,533.1</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In September 2024, the Board of Directors approved a reset of the share repurchase program authorizing the Company to repurchase up to $1.0 billion of its outstanding shares of Common Stock. As of June 30, 2025, $750.0 million of the $1.0 billion share repurchase authorization remained available for use.</w:t>
      </w:r>
    </w:p>
    <w:p>
      <w:pPr>
        <w:spacing w:after="0" w:line="18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4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months ended June 30,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496"/>
        </w:trPr>
        <w:tc>
          <w:tcPr>
            <w:tcW w:w="1540" w:type="dxa"/>
            <w:vAlign w:val="bottom"/>
            <w:gridSpan w:val="2"/>
          </w:tcPr>
          <w:p>
            <w:pPr>
              <w:spacing w:after="0"/>
              <w:rPr>
                <w:sz w:val="20"/>
                <w:szCs w:val="20"/>
                <w:color w:val="auto"/>
              </w:rPr>
            </w:pPr>
            <w:r>
              <w:rPr>
                <w:rFonts w:ascii="Arial" w:cs="Arial" w:eastAsia="Arial" w:hAnsi="Arial"/>
                <w:sz w:val="38"/>
                <w:szCs w:val="38"/>
                <w:b w:val="1"/>
                <w:bCs w:val="1"/>
                <w:color w:val="auto"/>
              </w:rPr>
              <w:t>ITEM 6.</w:t>
            </w:r>
          </w:p>
        </w:tc>
        <w:tc>
          <w:tcPr>
            <w:tcW w:w="970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r>
      <w:tr>
        <w:trPr>
          <w:trHeight w:val="232"/>
        </w:trPr>
        <w:tc>
          <w:tcPr>
            <w:tcW w:w="1160" w:type="dxa"/>
            <w:vAlign w:val="bottom"/>
            <w:shd w:val="clear" w:color="auto" w:fill="1D2758"/>
          </w:tcPr>
          <w:p>
            <w:pPr>
              <w:jc w:val="center"/>
              <w:ind w:left="16"/>
              <w:spacing w:after="0"/>
              <w:rPr>
                <w:sz w:val="20"/>
                <w:szCs w:val="20"/>
                <w:color w:val="auto"/>
              </w:rPr>
            </w:pPr>
            <w:r>
              <w:rPr>
                <w:rFonts w:ascii="Arial" w:cs="Arial" w:eastAsia="Arial" w:hAnsi="Arial"/>
                <w:sz w:val="15"/>
                <w:szCs w:val="15"/>
                <w:b w:val="1"/>
                <w:bCs w:val="1"/>
                <w:color w:val="FFFFFF"/>
              </w:rPr>
              <w:t>Exhibit No.</w:t>
            </w:r>
          </w:p>
        </w:tc>
        <w:tc>
          <w:tcPr>
            <w:tcW w:w="380" w:type="dxa"/>
            <w:vAlign w:val="bottom"/>
            <w:shd w:val="clear" w:color="auto" w:fill="1D2758"/>
          </w:tcPr>
          <w:p>
            <w:pPr>
              <w:spacing w:after="0"/>
              <w:rPr>
                <w:sz w:val="20"/>
                <w:szCs w:val="20"/>
                <w:color w:val="auto"/>
              </w:rPr>
            </w:pPr>
          </w:p>
        </w:tc>
        <w:tc>
          <w:tcPr>
            <w:tcW w:w="9700" w:type="dxa"/>
            <w:vAlign w:val="bottom"/>
            <w:shd w:val="clear" w:color="auto" w:fill="1D2758"/>
          </w:tcPr>
          <w:p>
            <w:pPr>
              <w:ind w:left="4000"/>
              <w:spacing w:after="0"/>
              <w:rPr>
                <w:sz w:val="20"/>
                <w:szCs w:val="20"/>
                <w:color w:val="auto"/>
              </w:rPr>
            </w:pPr>
            <w:r>
              <w:rPr>
                <w:rFonts w:ascii="Arial" w:cs="Arial" w:eastAsia="Arial" w:hAnsi="Arial"/>
                <w:sz w:val="15"/>
                <w:szCs w:val="15"/>
                <w:b w:val="1"/>
                <w:bCs w:val="1"/>
                <w:color w:val="FFFFFF"/>
              </w:rPr>
              <w:t>Exhibit Description</w:t>
            </w:r>
          </w:p>
        </w:tc>
      </w:tr>
      <w:tr>
        <w:trPr>
          <w:trHeight w:val="232"/>
        </w:trPr>
        <w:tc>
          <w:tcPr>
            <w:tcW w:w="11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Form of Restricted Stock Award Agreement.</w:t>
            </w:r>
          </w:p>
        </w:tc>
      </w:tr>
      <w:tr>
        <w:trPr>
          <w:trHeight w:val="225"/>
        </w:trPr>
        <w:tc>
          <w:tcPr>
            <w:tcW w:w="1160" w:type="dxa"/>
            <w:vAlign w:val="bottom"/>
          </w:tcPr>
          <w:p>
            <w:pPr>
              <w:jc w:val="center"/>
              <w:spacing w:after="0"/>
              <w:rPr>
                <w:sz w:val="20"/>
                <w:szCs w:val="20"/>
                <w:color w:val="auto"/>
              </w:rPr>
            </w:pPr>
            <w:r>
              <w:rPr>
                <w:rFonts w:ascii="Arial" w:cs="Arial" w:eastAsia="Arial" w:hAnsi="Arial"/>
                <w:sz w:val="15"/>
                <w:szCs w:val="15"/>
                <w:color w:val="auto"/>
              </w:rPr>
              <w:t>10.2*</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Employment Letter with Rohan Pal dated April 21, 2025.</w:t>
            </w:r>
          </w:p>
        </w:tc>
      </w:tr>
      <w:tr>
        <w:trPr>
          <w:trHeight w:val="239"/>
        </w:trPr>
        <w:tc>
          <w:tcPr>
            <w:tcW w:w="11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10.3*</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Separation and Release Agreement between Willscot Holdings Corporation and Sally Shanks, dated July 19, 2025.</w:t>
            </w:r>
          </w:p>
        </w:tc>
      </w:tr>
      <w:tr>
        <w:trPr>
          <w:trHeight w:val="225"/>
        </w:trPr>
        <w:tc>
          <w:tcPr>
            <w:tcW w:w="1160" w:type="dxa"/>
            <w:vAlign w:val="bottom"/>
          </w:tcPr>
          <w:p>
            <w:pPr>
              <w:jc w:val="center"/>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Form of Restricted Stock Unit Agreement, One Year Vesting.</w:t>
            </w:r>
          </w:p>
        </w:tc>
      </w:tr>
      <w:tr>
        <w:trPr>
          <w:trHeight w:val="239"/>
        </w:trPr>
        <w:tc>
          <w:tcPr>
            <w:tcW w:w="11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10.5*</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Form of Restricted Stock Unit Agreement, Three Year Vesting.</w:t>
            </w:r>
          </w:p>
        </w:tc>
      </w:tr>
      <w:tr>
        <w:trPr>
          <w:trHeight w:val="225"/>
        </w:trPr>
        <w:tc>
          <w:tcPr>
            <w:tcW w:w="1160" w:type="dxa"/>
            <w:vAlign w:val="bottom"/>
          </w:tcPr>
          <w:p>
            <w:pPr>
              <w:jc w:val="center"/>
              <w:spacing w:after="0"/>
              <w:rPr>
                <w:sz w:val="20"/>
                <w:szCs w:val="20"/>
                <w:color w:val="auto"/>
              </w:rPr>
            </w:pPr>
            <w:r>
              <w:rPr>
                <w:rFonts w:ascii="Arial" w:cs="Arial" w:eastAsia="Arial" w:hAnsi="Arial"/>
                <w:sz w:val="15"/>
                <w:szCs w:val="15"/>
                <w:color w:val="auto"/>
              </w:rPr>
              <w:t>31.1*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239"/>
        </w:trPr>
        <w:tc>
          <w:tcPr>
            <w:tcW w:w="11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31.2*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225"/>
        </w:trPr>
        <w:tc>
          <w:tcPr>
            <w:tcW w:w="1160" w:type="dxa"/>
            <w:vAlign w:val="bottom"/>
          </w:tcPr>
          <w:p>
            <w:pPr>
              <w:jc w:val="center"/>
              <w:ind w:left="16"/>
              <w:spacing w:after="0"/>
              <w:rPr>
                <w:sz w:val="20"/>
                <w:szCs w:val="20"/>
                <w:color w:val="auto"/>
              </w:rPr>
            </w:pPr>
            <w:r>
              <w:rPr>
                <w:rFonts w:ascii="Arial" w:cs="Arial" w:eastAsia="Arial" w:hAnsi="Arial"/>
                <w:sz w:val="15"/>
                <w:szCs w:val="15"/>
                <w:color w:val="auto"/>
              </w:rPr>
              <w:t>32.1**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239"/>
        </w:trPr>
        <w:tc>
          <w:tcPr>
            <w:tcW w:w="1160" w:type="dxa"/>
            <w:vAlign w:val="bottom"/>
            <w:shd w:val="clear" w:color="auto" w:fill="DBDBDB"/>
          </w:tcPr>
          <w:p>
            <w:pPr>
              <w:jc w:val="center"/>
              <w:ind w:left="16"/>
              <w:spacing w:after="0"/>
              <w:rPr>
                <w:sz w:val="20"/>
                <w:szCs w:val="20"/>
                <w:color w:val="auto"/>
              </w:rPr>
            </w:pPr>
            <w:r>
              <w:rPr>
                <w:rFonts w:ascii="Arial" w:cs="Arial" w:eastAsia="Arial" w:hAnsi="Arial"/>
                <w:sz w:val="15"/>
                <w:szCs w:val="15"/>
                <w:color w:val="auto"/>
              </w:rPr>
              <w:t>32.2**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207"/>
        </w:trPr>
        <w:tc>
          <w:tcPr>
            <w:tcW w:w="1160" w:type="dxa"/>
            <w:vAlign w:val="bottom"/>
          </w:tcPr>
          <w:p>
            <w:pPr>
              <w:spacing w:after="0"/>
              <w:rPr>
                <w:sz w:val="17"/>
                <w:szCs w:val="17"/>
                <w:color w:val="auto"/>
              </w:rPr>
            </w:pP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r>
      <w:tr>
        <w:trPr>
          <w:trHeight w:val="211"/>
        </w:trPr>
        <w:tc>
          <w:tcPr>
            <w:tcW w:w="1160" w:type="dxa"/>
            <w:vAlign w:val="bottom"/>
          </w:tcPr>
          <w:p>
            <w:pPr>
              <w:jc w:val="center"/>
              <w:spacing w:after="0"/>
              <w:rPr>
                <w:sz w:val="20"/>
                <w:szCs w:val="20"/>
                <w:color w:val="auto"/>
              </w:rPr>
            </w:pPr>
            <w:r>
              <w:rPr>
                <w:rFonts w:ascii="Arial" w:cs="Arial" w:eastAsia="Arial" w:hAnsi="Arial"/>
                <w:sz w:val="15"/>
                <w:szCs w:val="15"/>
                <w:color w:val="auto"/>
              </w:rPr>
              <w:t>101.INS</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document</w:t>
            </w:r>
          </w:p>
        </w:tc>
      </w:tr>
      <w:tr>
        <w:trPr>
          <w:trHeight w:val="239"/>
        </w:trPr>
        <w:tc>
          <w:tcPr>
            <w:tcW w:w="1160" w:type="dxa"/>
            <w:vAlign w:val="bottom"/>
            <w:shd w:val="clear" w:color="auto" w:fill="DBDBDB"/>
          </w:tcPr>
          <w:p>
            <w:pPr>
              <w:jc w:val="center"/>
              <w:ind w:left="16"/>
              <w:spacing w:after="0"/>
              <w:rPr>
                <w:sz w:val="20"/>
                <w:szCs w:val="20"/>
                <w:color w:val="auto"/>
              </w:rPr>
            </w:pPr>
            <w:r>
              <w:rPr>
                <w:rFonts w:ascii="Arial" w:cs="Arial" w:eastAsia="Arial" w:hAnsi="Arial"/>
                <w:sz w:val="15"/>
                <w:szCs w:val="15"/>
                <w:color w:val="auto"/>
              </w:rPr>
              <w:t>101.SCH</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Schema Document</w:t>
            </w:r>
          </w:p>
        </w:tc>
      </w:tr>
      <w:tr>
        <w:trPr>
          <w:trHeight w:val="225"/>
        </w:trPr>
        <w:tc>
          <w:tcPr>
            <w:tcW w:w="1160" w:type="dxa"/>
            <w:vAlign w:val="bottom"/>
          </w:tcPr>
          <w:p>
            <w:pPr>
              <w:jc w:val="center"/>
              <w:spacing w:after="0"/>
              <w:rPr>
                <w:sz w:val="20"/>
                <w:szCs w:val="20"/>
                <w:color w:val="auto"/>
              </w:rPr>
            </w:pPr>
            <w:r>
              <w:rPr>
                <w:rFonts w:ascii="Arial" w:cs="Arial" w:eastAsia="Arial" w:hAnsi="Arial"/>
                <w:sz w:val="15"/>
                <w:szCs w:val="15"/>
                <w:color w:val="auto"/>
              </w:rPr>
              <w:t>101.CAL</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r>
      <w:tr>
        <w:trPr>
          <w:trHeight w:val="239"/>
        </w:trPr>
        <w:tc>
          <w:tcPr>
            <w:tcW w:w="1160" w:type="dxa"/>
            <w:vAlign w:val="bottom"/>
            <w:shd w:val="clear" w:color="auto" w:fill="DBDBDB"/>
          </w:tcPr>
          <w:p>
            <w:pPr>
              <w:jc w:val="center"/>
              <w:ind w:left="16"/>
              <w:spacing w:after="0"/>
              <w:rPr>
                <w:sz w:val="20"/>
                <w:szCs w:val="20"/>
                <w:color w:val="auto"/>
              </w:rPr>
            </w:pPr>
            <w:r>
              <w:rPr>
                <w:rFonts w:ascii="Arial" w:cs="Arial" w:eastAsia="Arial" w:hAnsi="Arial"/>
                <w:sz w:val="15"/>
                <w:szCs w:val="15"/>
                <w:color w:val="auto"/>
              </w:rPr>
              <w:t>101.DEF</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Definition Linkbase Document</w:t>
            </w:r>
          </w:p>
        </w:tc>
      </w:tr>
      <w:tr>
        <w:trPr>
          <w:trHeight w:val="225"/>
        </w:trPr>
        <w:tc>
          <w:tcPr>
            <w:tcW w:w="1160" w:type="dxa"/>
            <w:vAlign w:val="bottom"/>
          </w:tcPr>
          <w:p>
            <w:pPr>
              <w:jc w:val="center"/>
              <w:ind w:left="16"/>
              <w:spacing w:after="0"/>
              <w:rPr>
                <w:sz w:val="20"/>
                <w:szCs w:val="20"/>
                <w:color w:val="auto"/>
              </w:rPr>
            </w:pPr>
            <w:r>
              <w:rPr>
                <w:rFonts w:ascii="Arial" w:cs="Arial" w:eastAsia="Arial" w:hAnsi="Arial"/>
                <w:sz w:val="15"/>
                <w:szCs w:val="15"/>
                <w:color w:val="auto"/>
              </w:rPr>
              <w:t>101.LAB</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r>
      <w:tr>
        <w:trPr>
          <w:trHeight w:val="239"/>
        </w:trPr>
        <w:tc>
          <w:tcPr>
            <w:tcW w:w="1160" w:type="dxa"/>
            <w:vAlign w:val="bottom"/>
            <w:shd w:val="clear" w:color="auto" w:fill="DBDBDB"/>
          </w:tcPr>
          <w:p>
            <w:pPr>
              <w:jc w:val="center"/>
              <w:ind w:left="16"/>
              <w:spacing w:after="0"/>
              <w:rPr>
                <w:sz w:val="20"/>
                <w:szCs w:val="20"/>
                <w:color w:val="auto"/>
              </w:rPr>
            </w:pPr>
            <w:r>
              <w:rPr>
                <w:rFonts w:ascii="Arial" w:cs="Arial" w:eastAsia="Arial" w:hAnsi="Arial"/>
                <w:sz w:val="15"/>
                <w:szCs w:val="15"/>
                <w:color w:val="auto"/>
              </w:rPr>
              <w:t>101.PRE</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r>
      <w:tr>
        <w:trPr>
          <w:trHeight w:val="218"/>
        </w:trPr>
        <w:tc>
          <w:tcPr>
            <w:tcW w:w="1160" w:type="dxa"/>
            <w:vAlign w:val="bottom"/>
          </w:tcPr>
          <w:p>
            <w:pPr>
              <w:jc w:val="center"/>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Holdings Corporation</w:t>
            </w:r>
          </w:p>
        </w:tc>
      </w:tr>
      <w:tr>
        <w:trPr>
          <w:trHeight w:val="438"/>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MATTHEW T. JACOBSEN</w:t>
            </w:r>
          </w:p>
        </w:tc>
      </w:tr>
      <w:tr>
        <w:trPr>
          <w:trHeight w:val="218"/>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July 31, 2025</w:t>
            </w:r>
          </w:p>
        </w:tc>
        <w:tc>
          <w:tcPr>
            <w:tcW w:w="5220" w:type="dxa"/>
            <w:vAlign w:val="bottom"/>
          </w:tcPr>
          <w:p>
            <w:pPr>
              <w:spacing w:after="0"/>
              <w:rPr>
                <w:sz w:val="20"/>
                <w:szCs w:val="20"/>
                <w:color w:val="auto"/>
              </w:rPr>
            </w:pPr>
            <w:r>
              <w:rPr>
                <w:rFonts w:ascii="Arial" w:cs="Arial" w:eastAsia="Arial" w:hAnsi="Arial"/>
                <w:sz w:val="15"/>
                <w:szCs w:val="15"/>
                <w:color w:val="auto"/>
              </w:rPr>
              <w:t>Matthew T. Jacobsen</w:t>
            </w:r>
          </w:p>
        </w:tc>
      </w:tr>
      <w:tr>
        <w:trPr>
          <w:trHeight w:val="209"/>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10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AWARD AGREEMENT</w:t>
      </w:r>
    </w:p>
    <w:p>
      <w:pPr>
        <w:spacing w:after="0" w:line="236" w:lineRule="exact"/>
        <w:rPr>
          <w:sz w:val="20"/>
          <w:szCs w:val="20"/>
          <w:color w:val="auto"/>
        </w:rPr>
      </w:pPr>
    </w:p>
    <w:p>
      <w:pPr>
        <w:jc w:val="both"/>
        <w:ind w:firstLine="619"/>
        <w:spacing w:after="0" w:line="274" w:lineRule="auto"/>
        <w:rPr>
          <w:sz w:val="20"/>
          <w:szCs w:val="20"/>
          <w:color w:val="auto"/>
        </w:rPr>
      </w:pPr>
      <w:r>
        <w:rPr>
          <w:rFonts w:ascii="Times New Roman" w:cs="Times New Roman" w:eastAsia="Times New Roman" w:hAnsi="Times New Roman"/>
          <w:sz w:val="20"/>
          <w:szCs w:val="20"/>
          <w:color w:val="auto"/>
        </w:rPr>
        <w:t>This Restricted Stock Award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###GRANT_DATE### (the “</w:t>
      </w:r>
      <w:r>
        <w:rPr>
          <w:rFonts w:ascii="Times New Roman" w:cs="Times New Roman" w:eastAsia="Times New Roman" w:hAnsi="Times New Roman"/>
          <w:sz w:val="20"/>
          <w:szCs w:val="20"/>
          <w:b w:val="1"/>
          <w:b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by and between WillScot Holdings Corporation,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###PARTICIPANT_NAME###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Mobile Mini Holdings Corp. 2020 Incentive Award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Capitalized terms used in this Agreement but not defined herein will have the meaning ascribed to them in the Plan.</w:t>
      </w:r>
    </w:p>
    <w:p>
      <w:pPr>
        <w:spacing w:after="0" w:line="153" w:lineRule="exact"/>
        <w:rPr>
          <w:sz w:val="20"/>
          <w:szCs w:val="20"/>
          <w:color w:val="auto"/>
        </w:rPr>
      </w:pPr>
    </w:p>
    <w:p>
      <w:pPr>
        <w:jc w:val="both"/>
        <w:ind w:firstLine="622"/>
        <w:spacing w:after="0" w:line="256" w:lineRule="auto"/>
        <w:tabs>
          <w:tab w:leader="none" w:pos="12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Pursuant to Section 9 of the Plan, the Company hereby issues to the Participant on the Grant Date an Award consisting of, in the aggregate, ###TOTAL_AWARDS### Common Shares, subject to the terms and conditions set forth in this Agreement and the Plan (the “</w:t>
      </w:r>
      <w:r>
        <w:rPr>
          <w:rFonts w:ascii="Times New Roman" w:cs="Times New Roman" w:eastAsia="Times New Roman" w:hAnsi="Times New Roman"/>
          <w:sz w:val="21"/>
          <w:szCs w:val="21"/>
          <w:b w:val="1"/>
          <w:bCs w:val="1"/>
          <w:color w:val="auto"/>
        </w:rPr>
        <w:t>Restricted Stock</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is made in consideration of the employment or services to be rendered by the Participant to the Company.</w:t>
      </w:r>
    </w:p>
    <w:p>
      <w:pPr>
        <w:spacing w:after="0" w:line="154"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otherwise provided herein or in the Plan, provided that the Participant remains in continuous employment or service through the applicable vesting date, the Restricted Stock will vest in accordance with the schedule set forth in the chart below (the period during which restrictions apply,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###VEST_SCHEDULE_TABLE###</w:t>
      </w:r>
    </w:p>
    <w:p>
      <w:pPr>
        <w:spacing w:after="0" w:line="223" w:lineRule="exact"/>
        <w:rPr>
          <w:sz w:val="20"/>
          <w:szCs w:val="20"/>
          <w:color w:val="auto"/>
        </w:rPr>
      </w:pPr>
    </w:p>
    <w:p>
      <w:pPr>
        <w:ind w:left="1240" w:hanging="618"/>
        <w:spacing w:after="0"/>
        <w:tabs>
          <w:tab w:leader="none" w:pos="12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Change in Control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4.1 Forfeiture. Notwithstanding the vesting schedule above, if the Participant’s employment or service terminates for any reason other than death or Disability (as described in Section 4.2) at any time before all of the Restricted Stock has vested, the Participant’s unvested Restricted Stock shall be automatically forfeited upon such termination of employment or service and neither the Company nor any Affiliate shall have any further obligations to the Participant under this Agreement. Notwithstanding any provision of this Agreement or the Plan to the contrary:</w:t>
      </w:r>
    </w:p>
    <w:p>
      <w:pPr>
        <w:spacing w:after="0" w:line="171" w:lineRule="exact"/>
        <w:rPr>
          <w:sz w:val="20"/>
          <w:szCs w:val="20"/>
          <w:color w:val="auto"/>
        </w:rPr>
      </w:pPr>
    </w:p>
    <w:p>
      <w:pPr>
        <w:jc w:val="both"/>
        <w:ind w:left="1860" w:hanging="619"/>
        <w:spacing w:after="0" w:line="252" w:lineRule="auto"/>
        <w:tabs>
          <w:tab w:leader="none" w:pos="185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 who is an employee, if the Participant experiences a Qualifying Termination on or within the 12-month period following the consummation of the Change in Control, any Restricted Period in effect on the date of such Qualifying Termination shall expire as of such date and any unvested Restricted Stock shall vest.</w:t>
      </w:r>
    </w:p>
    <w:p>
      <w:pPr>
        <w:spacing w:after="0" w:line="184" w:lineRule="exact"/>
        <w:rPr>
          <w:rFonts w:ascii="Times New Roman" w:cs="Times New Roman" w:eastAsia="Times New Roman" w:hAnsi="Times New Roman"/>
          <w:sz w:val="21"/>
          <w:szCs w:val="21"/>
          <w:color w:val="auto"/>
        </w:rPr>
      </w:pPr>
    </w:p>
    <w:p>
      <w:pPr>
        <w:jc w:val="both"/>
        <w:ind w:left="1860" w:hanging="619"/>
        <w:spacing w:after="0" w:line="256" w:lineRule="auto"/>
        <w:tabs>
          <w:tab w:leader="none" w:pos="185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 who is an Eligible Director, upon the occurrence of a Change in Control, any Restricted Period in effect on the date of the Change in Control shall expire as of such date and any unvested Restricted Stock shall vest.</w:t>
      </w:r>
    </w:p>
    <w:p>
      <w:pPr>
        <w:spacing w:after="0" w:line="16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due to the Participant’s death or Disability (as defined herein), provided the Participant could not be terminated for Cause at such time, the Participant shall become fully vested in his or her Restricted Stock and the Restricted Period shall expire. For purposes of this Agreement, the Participant is considered to have terminated employment or service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6" w:right="339" w:bottom="1440" w:gutter="0" w:footer="0" w:header="0"/>
        </w:sectPr>
      </w:pPr>
    </w:p>
    <w:bookmarkStart w:id="39" w:name="page40"/>
    <w:bookmarkEnd w:id="39"/>
    <w:p>
      <w:pPr>
        <w:jc w:val="both"/>
        <w:ind w:left="1860" w:hanging="619"/>
        <w:spacing w:after="0" w:line="256" w:lineRule="auto"/>
        <w:tabs>
          <w:tab w:leader="none" w:pos="1857"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 who is an employee, the Participant’s termination of employment occurs on or following the date the Participant is determined to be disabled under the long-term disability plan maintained by the Company or its Affiliate in which the Participant participates.</w:t>
      </w:r>
    </w:p>
    <w:p>
      <w:pPr>
        <w:spacing w:after="0" w:line="181" w:lineRule="exact"/>
        <w:rPr>
          <w:rFonts w:ascii="Times New Roman" w:cs="Times New Roman" w:eastAsia="Times New Roman" w:hAnsi="Times New Roman"/>
          <w:sz w:val="21"/>
          <w:szCs w:val="21"/>
          <w:color w:val="auto"/>
        </w:rPr>
      </w:pPr>
    </w:p>
    <w:p>
      <w:pPr>
        <w:jc w:val="both"/>
        <w:ind w:left="1860" w:hanging="619"/>
        <w:spacing w:after="0" w:line="249" w:lineRule="auto"/>
        <w:tabs>
          <w:tab w:leader="none" w:pos="185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 who is an Eligible Director, the Participant’s termination of service occurs on or following the date the Participant is determined to be either (a) unable to engage in any substantial gainful activity by reason of any medically determinable physical or mental impairment that can be expected to result in death or can be expected to last for a continuous period of not less than 12 months, or (b) totally disabled by the Social Security Administration.</w:t>
      </w:r>
    </w:p>
    <w:p>
      <w:pPr>
        <w:spacing w:after="0" w:line="191" w:lineRule="exact"/>
        <w:rPr>
          <w:rFonts w:ascii="Times New Roman" w:cs="Times New Roman" w:eastAsia="Times New Roman" w:hAnsi="Times New Roman"/>
          <w:sz w:val="21"/>
          <w:szCs w:val="21"/>
          <w:color w:val="auto"/>
        </w:rPr>
      </w:pPr>
    </w:p>
    <w:p>
      <w:pPr>
        <w:jc w:val="both"/>
        <w:ind w:firstLine="622"/>
        <w:spacing w:after="0" w:line="248" w:lineRule="auto"/>
        <w:tabs>
          <w:tab w:leader="none" w:pos="123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shares shall immediately terminate without any payment or consideration by the Company.</w:t>
      </w:r>
    </w:p>
    <w:p>
      <w:pPr>
        <w:spacing w:after="0" w:line="19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 Dividends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6.1 The Participant shall be the record owner of the Restricted Stock until the Common Shares are sold or otherwise disposed of, and shall be entitled to all of the rights of a shareholder of the Company including, without limitation, the right to vote such shares and receive all dividends or other distributions paid with respect to such shares. If the Participant forfeits any rights he or she has under this Agreement, the Participant shall, on the date of such forfeiture, no longer have any rights as a shareholder with respect to the Restricted Stock and shall no longer be entitled to vote or receive dividends on such shares. To the extent shares of Restricted Stock are forfeited, any share certificates issued to the Participant evidencing such shares shall be returned to the Company, and all rights of the Participant to such shares and as a shareholder with respect thereto shall terminate without further obligation on the part of the Company.</w:t>
      </w:r>
    </w:p>
    <w:p>
      <w:pPr>
        <w:spacing w:after="0" w:line="17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6.2 Upon the grant of the Restricted Stock, the Company may evidence the Participant’s interest by using a book entry in a restricted account with the Company’s transfer agent.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share power (endorsed in blank) with respect to the Restricted Stock covered by such agreement. If the Participant fails to execute an agreement evidencing an Award of Restricted Stock and, if applicable, an escrow agreement and blank share power within the amount of time specified by the Committee, the Award shall be null and void.</w:t>
      </w:r>
    </w:p>
    <w:p>
      <w:pPr>
        <w:spacing w:after="0" w:line="19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6.3 Upon the expiration of the Restricted Period, if an escrow arrangement is used, the Company shall deliver to the Participant, or his or her beneficiary, without charge, the share certificate evidencing the shares of Restricted Stock that have not then been forfeited and with respect to which the Restricted Period has expired (rounded down to the nearest full share). Dividends, if any, that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87"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21"/>
          <w:szCs w:val="21"/>
          <w:color w:val="auto"/>
        </w:rPr>
        <w:t>been withheld by the Committee and attributable to any particular share of Restricted Stock shall be distributed to the Participant in cash or, at the sole discretion of the Committee, in Common Shares having a fair market value equal to the amount of such dividends, upon the release of restrictions on such share and, if such share is forfeited, the Participant shall have no right to such dividends.</w:t>
      </w:r>
    </w:p>
    <w:p>
      <w:pPr>
        <w:spacing w:after="0" w:line="181" w:lineRule="exact"/>
        <w:rPr>
          <w:sz w:val="20"/>
          <w:szCs w:val="20"/>
          <w:color w:val="auto"/>
        </w:rPr>
      </w:pPr>
    </w:p>
    <w:p>
      <w:pPr>
        <w:jc w:val="both"/>
        <w:ind w:firstLine="622"/>
        <w:spacing w:after="0" w:line="252"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71"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Common Shares shall be adjusted or terminated in any manner as contemplated by Section 12 of the Plan.</w:t>
      </w:r>
    </w:p>
    <w:p>
      <w:pPr>
        <w:spacing w:after="0" w:line="163"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168"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10.1 The Participant shall be required to pay to the Company, and the Company shall have the right to withhold from any cash, Common Shares, other securities or other property deliverable under this Agreement or from any compensation or other amounts owing to the Participant, the amount of any required withholding taxes in respect of the Restricted Stock.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that are otherwise vesting hereunder (provided, however, that no Common Shares shall be withheld with a value exceeding the maximum amount of tax required to be withheld by law), or (c) delivering to the Company previously owned and unencumbered Common Shares.</w:t>
      </w:r>
    </w:p>
    <w:p>
      <w:pPr>
        <w:spacing w:after="0" w:line="17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10.2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or vesting of the Restricted Stock or the subsequent sale of any shares; and (b) does not commit to structure the Restricted Stock to reduce or eliminate the Participant’s liability for Tax-Related Items.</w:t>
      </w:r>
    </w:p>
    <w:p>
      <w:pPr>
        <w:spacing w:after="0" w:line="167" w:lineRule="exact"/>
        <w:rPr>
          <w:sz w:val="20"/>
          <w:szCs w:val="20"/>
          <w:color w:val="auto"/>
        </w:rPr>
      </w:pPr>
    </w:p>
    <w:p>
      <w:pPr>
        <w:jc w:val="both"/>
        <w:ind w:firstLine="622"/>
        <w:spacing w:after="0" w:line="254" w:lineRule="auto"/>
        <w:tabs>
          <w:tab w:leader="none" w:pos="123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83(b) Election</w:t>
      </w:r>
      <w:r>
        <w:rPr>
          <w:rFonts w:ascii="Times New Roman" w:cs="Times New Roman" w:eastAsia="Times New Roman" w:hAnsi="Times New Roman"/>
          <w:sz w:val="21"/>
          <w:szCs w:val="21"/>
          <w:color w:val="auto"/>
        </w:rPr>
        <w:t>. The Participant may make an election under Code Section 83(b) (a “</w:t>
      </w:r>
      <w:r>
        <w:rPr>
          <w:rFonts w:ascii="Times New Roman" w:cs="Times New Roman" w:eastAsia="Times New Roman" w:hAnsi="Times New Roman"/>
          <w:sz w:val="21"/>
          <w:szCs w:val="21"/>
          <w:b w:val="1"/>
          <w:bCs w:val="1"/>
          <w:color w:val="auto"/>
        </w:rPr>
        <w:t>Section 83(b) Election</w:t>
      </w:r>
      <w:r>
        <w:rPr>
          <w:rFonts w:ascii="Times New Roman" w:cs="Times New Roman" w:eastAsia="Times New Roman" w:hAnsi="Times New Roman"/>
          <w:sz w:val="21"/>
          <w:szCs w:val="21"/>
          <w:color w:val="auto"/>
        </w:rPr>
        <w:t>”) with respect to the Restricted Stock. Any such election must be made within thirty (30) days after the Grant Date. If the Participant elects to make a Section 83(b) Election, the Participant shall provide the Company with a copy of an executed version and satisfactory evidence of the filing of the executed Section 83(b) Election with the US Internal Revenue Service. The Participant agrees to assume full responsibility for ensuring that the Section 83(b) Election is actually and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2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color w:val="auto"/>
        </w:rPr>
        <w:t>filed with the US Internal Revenue Service and for all tax consequences resulting from the Section 83(b) Election.</w:t>
      </w:r>
    </w:p>
    <w:p>
      <w:pPr>
        <w:spacing w:after="0" w:line="210" w:lineRule="exact"/>
        <w:rPr>
          <w:sz w:val="20"/>
          <w:szCs w:val="20"/>
          <w:color w:val="auto"/>
        </w:rPr>
      </w:pPr>
    </w:p>
    <w:p>
      <w:pPr>
        <w:jc w:val="both"/>
        <w:ind w:firstLine="622"/>
        <w:spacing w:after="0" w:line="251"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or transferred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73"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Legends</w:t>
      </w:r>
      <w:r>
        <w:rPr>
          <w:rFonts w:ascii="Times New Roman" w:cs="Times New Roman" w:eastAsia="Times New Roman" w:hAnsi="Times New Roman"/>
          <w:sz w:val="21"/>
          <w:szCs w:val="21"/>
          <w:color w:val="auto"/>
        </w:rPr>
        <w:t>. A legend may be placed on any certificate(s) or other document(s) delivered to the Participant indicating restrictions on transferability of the shares of Restricted Stock pursuant to this Agreement or any other restrictions that the Committee may deem advisable under the rules, regulations and other requirements of the Securities and Exchange Commission, any applicable federal or state securities laws or any stock exchange on which the Common Shares are then listed or quoted.</w:t>
      </w:r>
    </w:p>
    <w:p>
      <w:pPr>
        <w:spacing w:after="0" w:line="168"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1"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New York without regard to conflict of law principles.</w:t>
      </w:r>
    </w:p>
    <w:p>
      <w:pPr>
        <w:spacing w:after="0" w:line="154"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(excluding the Participant if the Participant serves on the Committee) for review. The resolution of such dispute by the Committee shall be final and binding on the Participant and the Company.</w:t>
      </w:r>
    </w:p>
    <w:p>
      <w:pPr>
        <w:spacing w:after="0" w:line="163"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8" w:lineRule="exact"/>
        <w:rPr>
          <w:rFonts w:ascii="Times New Roman" w:cs="Times New Roman" w:eastAsia="Times New Roman" w:hAnsi="Times New Roman"/>
          <w:sz w:val="21"/>
          <w:szCs w:val="21"/>
          <w:color w:val="auto"/>
        </w:rPr>
      </w:pPr>
    </w:p>
    <w:p>
      <w:pPr>
        <w:jc w:val="both"/>
        <w:ind w:firstLine="622"/>
        <w:spacing w:after="0" w:line="252"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pacing w:after="0" w:line="171" w:lineRule="exact"/>
        <w:rPr>
          <w:rFonts w:ascii="Times New Roman" w:cs="Times New Roman" w:eastAsia="Times New Roman" w:hAnsi="Times New Roman"/>
          <w:sz w:val="21"/>
          <w:szCs w:val="21"/>
          <w:color w:val="auto"/>
        </w:rPr>
      </w:pPr>
    </w:p>
    <w:p>
      <w:pPr>
        <w:ind w:firstLine="622"/>
        <w:spacing w:after="0" w:line="282"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Agreement, and each provision of the Plan and this Agreement shall be severable and enforceable to the extent permitted by law.</w:t>
      </w:r>
    </w:p>
    <w:p>
      <w:pPr>
        <w:spacing w:after="0" w:line="210" w:lineRule="exact"/>
        <w:rPr>
          <w:sz w:val="20"/>
          <w:szCs w:val="20"/>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or service with the Company.</w:t>
      </w:r>
    </w:p>
    <w:p>
      <w:pPr>
        <w:spacing w:after="0" w:line="171"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the Restricted Stock, prospectively or retroactively; provided that no such amendment shall adversely affect the Participant’s material rights under this Agreement without the Participant’s consent.</w:t>
      </w:r>
    </w:p>
    <w:p>
      <w:pPr>
        <w:spacing w:after="0" w:line="163"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Impact on Other Benefits. The value of the Participant’s Restricted Stock is not part of his or her normal or expected compensation for purposes of calculating any severance, retirement, welfare, insurance or similar benefit.</w:t>
      </w:r>
    </w:p>
    <w:p>
      <w:pPr>
        <w:spacing w:after="0" w:line="15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1"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the Restricted Stock subject to all of the terms and conditions of the Plan and this Agreement. The Participant acknowledges that there may be adverse tax consequences upon the grant or vesting of the Restricted Stock or disposition of the shares and that the Participant should consult a tax advisor prior to such grant, vesting or disposition.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color w:val="auto"/>
        </w:rPr>
        <w:t>Felicia Gorcyca</w:t>
      </w:r>
    </w:p>
    <w:p>
      <w:pPr>
        <w:spacing w:after="0" w:line="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Name: Felicia Gorcyca</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###PARTICIPANT_NAME###</w:t>
      </w:r>
    </w:p>
    <w:p>
      <w:pPr>
        <w:spacing w:after="0" w:line="26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By: _____________________</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Name: ###PARTICIPANT_NAME###</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Grant Acceptance Date: ###ACCEPTANCE_DATE###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220"/>
          </w:cols>
          <w:pgMar w:left="320" w:top="1287" w:right="1359" w:bottom="1440" w:gutter="0" w:footer="0" w:header="0"/>
        </w:sectPr>
      </w:pPr>
    </w:p>
    <w:bookmarkStart w:id="44" w:name="page45"/>
    <w:bookmarkEnd w:id="44"/>
    <w:p>
      <w:pPr>
        <w:jc w:val="right"/>
        <w:spacing w:after="0"/>
        <w:rPr>
          <w:sz w:val="20"/>
          <w:szCs w:val="20"/>
          <w:color w:val="auto"/>
        </w:rPr>
      </w:pPr>
      <w:r>
        <w:rPr>
          <w:rFonts w:ascii="Arial" w:cs="Arial" w:eastAsia="Arial" w:hAnsi="Arial"/>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722630</wp:posOffset>
            </wp:positionV>
            <wp:extent cx="1571625" cy="523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162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color w:val="auto"/>
        </w:rPr>
        <w:t>April 21, 2025</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Rohan Pal</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via DocuSign to: rohan_pal@yahoo.com</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Dear Rohan,</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Welcome to WillScot! We are pleased to offer you the position of Executive Vice President &amp; Chief Technology Officer for WillScot Holdings Corporation (“Company”), reporting to the Chief Executive Officer and working from our Phoenix, Arizona headquarters.</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The details of the position are as follows:</w:t>
      </w:r>
    </w:p>
    <w:p>
      <w:pPr>
        <w:spacing w:after="0" w:line="132"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START DATE: </w:t>
      </w:r>
      <w:r>
        <w:rPr>
          <w:rFonts w:ascii="Arial" w:cs="Arial" w:eastAsia="Arial" w:hAnsi="Arial"/>
          <w:sz w:val="21"/>
          <w:szCs w:val="21"/>
          <w:color w:val="auto"/>
        </w:rPr>
        <w:t>June 2, 2025</w:t>
      </w:r>
    </w:p>
    <w:p>
      <w:pPr>
        <w:spacing w:after="0" w:line="3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21"/>
          <w:szCs w:val="21"/>
          <w:color w:val="auto"/>
        </w:rPr>
        <w:t>Start date is subject to change based on timing of the pre-employment process.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SALARY: </w:t>
      </w:r>
      <w:r>
        <w:rPr>
          <w:rFonts w:ascii="Arial" w:cs="Arial" w:eastAsia="Arial" w:hAnsi="Arial"/>
          <w:sz w:val="21"/>
          <w:szCs w:val="21"/>
          <w:color w:val="auto"/>
        </w:rPr>
        <w:t>$500,000 annualized base salary.</w:t>
      </w:r>
    </w:p>
    <w:p>
      <w:pPr>
        <w:spacing w:after="0" w:line="145" w:lineRule="exact"/>
        <w:rPr>
          <w:rFonts w:ascii="Arial" w:cs="Arial" w:eastAsia="Arial" w:hAnsi="Arial"/>
          <w:sz w:val="17"/>
          <w:szCs w:val="17"/>
          <w:color w:val="auto"/>
        </w:rPr>
      </w:pPr>
    </w:p>
    <w:p>
      <w:pPr>
        <w:ind w:left="620" w:right="180" w:hanging="307"/>
        <w:spacing w:after="0" w:line="27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BENEFITS: </w:t>
      </w:r>
      <w:r>
        <w:rPr>
          <w:rFonts w:ascii="Arial" w:cs="Arial" w:eastAsia="Arial" w:hAnsi="Arial"/>
          <w:sz w:val="21"/>
          <w:szCs w:val="21"/>
          <w:color w:val="auto"/>
        </w:rPr>
        <w:t>You will be eligible to participate in WillScot’s comprehensive benefits programs (attached separately).</w:t>
      </w:r>
      <w:r>
        <w:rPr>
          <w:rFonts w:ascii="Arial" w:cs="Arial" w:eastAsia="Arial" w:hAnsi="Arial"/>
          <w:sz w:val="21"/>
          <w:szCs w:val="21"/>
          <w:b w:val="1"/>
          <w:bCs w:val="1"/>
          <w:color w:val="auto"/>
        </w:rPr>
        <w:t xml:space="preserve"> </w:t>
      </w:r>
      <w:r>
        <w:rPr>
          <w:rFonts w:ascii="Arial" w:cs="Arial" w:eastAsia="Arial" w:hAnsi="Arial"/>
          <w:sz w:val="21"/>
          <w:szCs w:val="21"/>
          <w:color w:val="auto"/>
        </w:rPr>
        <w:t>Our programs include automatic enrollment in the Company 401(k) Retirement Savings Plan.</w:t>
      </w:r>
    </w:p>
    <w:p>
      <w:pPr>
        <w:spacing w:after="0" w:line="80" w:lineRule="exact"/>
        <w:rPr>
          <w:rFonts w:ascii="Arial" w:cs="Arial" w:eastAsia="Arial" w:hAnsi="Arial"/>
          <w:sz w:val="17"/>
          <w:szCs w:val="17"/>
          <w:color w:val="auto"/>
        </w:rPr>
      </w:pPr>
    </w:p>
    <w:p>
      <w:pPr>
        <w:ind w:left="620" w:right="180" w:hanging="307"/>
        <w:spacing w:after="0" w:line="287"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TIME OFF: </w:t>
      </w:r>
      <w:r>
        <w:rPr>
          <w:rFonts w:ascii="Arial" w:cs="Arial" w:eastAsia="Arial" w:hAnsi="Arial"/>
          <w:sz w:val="21"/>
          <w:szCs w:val="21"/>
          <w:color w:val="auto"/>
        </w:rPr>
        <w:t>You will be eligible for our flexible time off plan each year. More details about the plan, as well as terms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conditions, will be found in our Employee Handbook.</w:t>
      </w:r>
    </w:p>
    <w:p>
      <w:pPr>
        <w:spacing w:after="0" w:line="54" w:lineRule="exact"/>
        <w:rPr>
          <w:rFonts w:ascii="Arial" w:cs="Arial" w:eastAsia="Arial" w:hAnsi="Arial"/>
          <w:sz w:val="17"/>
          <w:szCs w:val="17"/>
          <w:color w:val="auto"/>
        </w:rPr>
      </w:pPr>
    </w:p>
    <w:p>
      <w:pPr>
        <w:ind w:left="620" w:right="660" w:hanging="307"/>
        <w:spacing w:after="0" w:line="287"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RELOCATION: </w:t>
      </w:r>
      <w:r>
        <w:rPr>
          <w:rFonts w:ascii="Arial" w:cs="Arial" w:eastAsia="Arial" w:hAnsi="Arial"/>
          <w:sz w:val="21"/>
          <w:szCs w:val="21"/>
          <w:color w:val="auto"/>
        </w:rPr>
        <w:t>You will be eligible for our Executive Homeowner Relocation benefits (attached separately) to</w:t>
      </w:r>
      <w:r>
        <w:rPr>
          <w:rFonts w:ascii="Arial" w:cs="Arial" w:eastAsia="Arial" w:hAnsi="Arial"/>
          <w:sz w:val="21"/>
          <w:szCs w:val="21"/>
          <w:b w:val="1"/>
          <w:bCs w:val="1"/>
          <w:color w:val="auto"/>
        </w:rPr>
        <w:t xml:space="preserve"> </w:t>
      </w:r>
      <w:r>
        <w:rPr>
          <w:rFonts w:ascii="Arial" w:cs="Arial" w:eastAsia="Arial" w:hAnsi="Arial"/>
          <w:sz w:val="21"/>
          <w:szCs w:val="21"/>
          <w:color w:val="auto"/>
        </w:rPr>
        <w:t>facilitate your move to Phoenix.</w:t>
      </w:r>
    </w:p>
    <w:p>
      <w:pPr>
        <w:spacing w:after="0" w:line="54" w:lineRule="exact"/>
        <w:rPr>
          <w:rFonts w:ascii="Arial" w:cs="Arial" w:eastAsia="Arial" w:hAnsi="Arial"/>
          <w:sz w:val="17"/>
          <w:szCs w:val="17"/>
          <w:color w:val="auto"/>
        </w:rPr>
      </w:pPr>
    </w:p>
    <w:p>
      <w:pPr>
        <w:ind w:left="620" w:hanging="307"/>
        <w:spacing w:after="0" w:line="274" w:lineRule="auto"/>
        <w:tabs>
          <w:tab w:leader="none" w:pos="616" w:val="left"/>
        </w:tabs>
        <w:numPr>
          <w:ilvl w:val="0"/>
          <w:numId w:val="22"/>
        </w:numPr>
        <w:rPr>
          <w:rFonts w:ascii="Arial" w:cs="Arial" w:eastAsia="Arial" w:hAnsi="Arial"/>
          <w:sz w:val="16"/>
          <w:szCs w:val="16"/>
          <w:color w:val="auto"/>
        </w:rPr>
      </w:pPr>
      <w:r>
        <w:rPr>
          <w:rFonts w:ascii="Arial" w:cs="Arial" w:eastAsia="Arial" w:hAnsi="Arial"/>
          <w:sz w:val="20"/>
          <w:szCs w:val="20"/>
          <w:b w:val="1"/>
          <w:bCs w:val="1"/>
          <w:color w:val="auto"/>
        </w:rPr>
        <w:t xml:space="preserve">STIP: </w:t>
      </w:r>
      <w:r>
        <w:rPr>
          <w:rFonts w:ascii="Arial" w:cs="Arial" w:eastAsia="Arial" w:hAnsi="Arial"/>
          <w:sz w:val="20"/>
          <w:szCs w:val="20"/>
          <w:color w:val="auto"/>
        </w:rPr>
        <w:t>You will be eligible for participation in the Short-Term Incentive Plan (STIP) for your role at a target of 75% of</w:t>
      </w:r>
      <w:r>
        <w:rPr>
          <w:rFonts w:ascii="Arial" w:cs="Arial" w:eastAsia="Arial" w:hAnsi="Arial"/>
          <w:sz w:val="20"/>
          <w:szCs w:val="20"/>
          <w:b w:val="1"/>
          <w:bCs w:val="1"/>
          <w:color w:val="auto"/>
        </w:rPr>
        <w:t xml:space="preserve"> </w:t>
      </w:r>
      <w:r>
        <w:rPr>
          <w:rFonts w:ascii="Arial" w:cs="Arial" w:eastAsia="Arial" w:hAnsi="Arial"/>
          <w:sz w:val="20"/>
          <w:szCs w:val="20"/>
          <w:color w:val="auto"/>
        </w:rPr>
        <w:t>base salary, based on performance criteria determined by the Compensation Committee of the Board (“Committee”). For FY25, your STIP will be pro-rated based on the number of days in the job through the calendar year. The Company reserves the right to amend or discontinue this plan and will provide you with notice of any changes.</w:t>
      </w:r>
    </w:p>
    <w:p>
      <w:pPr>
        <w:spacing w:after="0" w:line="84" w:lineRule="exact"/>
        <w:rPr>
          <w:rFonts w:ascii="Arial" w:cs="Arial" w:eastAsia="Arial" w:hAnsi="Arial"/>
          <w:sz w:val="16"/>
          <w:szCs w:val="16"/>
          <w:color w:val="auto"/>
        </w:rPr>
      </w:pPr>
    </w:p>
    <w:p>
      <w:pPr>
        <w:ind w:left="620" w:hanging="307"/>
        <w:spacing w:after="0" w:line="25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21"/>
          <w:szCs w:val="21"/>
          <w:b w:val="1"/>
          <w:bCs w:val="1"/>
          <w:color w:val="auto"/>
        </w:rPr>
        <w:t xml:space="preserve">LTIP: </w:t>
      </w:r>
      <w:r>
        <w:rPr>
          <w:rFonts w:ascii="Arial" w:cs="Arial" w:eastAsia="Arial" w:hAnsi="Arial"/>
          <w:sz w:val="21"/>
          <w:szCs w:val="21"/>
          <w:color w:val="auto"/>
        </w:rPr>
        <w:t>You will be eligible to receive annual equity awards under the WillScot Holdings Corporation 2020 Incentive</w:t>
      </w:r>
      <w:r>
        <w:rPr>
          <w:rFonts w:ascii="Arial" w:cs="Arial" w:eastAsia="Arial" w:hAnsi="Arial"/>
          <w:sz w:val="21"/>
          <w:szCs w:val="21"/>
          <w:b w:val="1"/>
          <w:bCs w:val="1"/>
          <w:color w:val="auto"/>
        </w:rPr>
        <w:t xml:space="preserve"> </w:t>
      </w:r>
      <w:r>
        <w:rPr>
          <w:rFonts w:ascii="Arial" w:cs="Arial" w:eastAsia="Arial" w:hAnsi="Arial"/>
          <w:sz w:val="21"/>
          <w:szCs w:val="21"/>
          <w:color w:val="auto"/>
        </w:rPr>
        <w:t>Award Plan or other long-term equity incentive plan of the Company in effect (“Plan”). The level of participation in the Plan, if any, shall be determined in the discretion of the Committee from time to time, commencing with an annual grant to be issued in 2026 following the filing of the Company’s Form 10-K. The target grant value of this annual award is $1,000,000, 70% of which shall be in the form of performance-based restricted stock units (“PSUs”) vesting over three (3) years, and 30% of which shall be in</w:t>
      </w:r>
    </w:p>
    <w:p>
      <w:pPr>
        <w:sectPr>
          <w:pgSz w:w="11900" w:h="16838" w:orient="portrait"/>
          <w:cols w:equalWidth="0" w:num="1">
            <w:col w:w="11240"/>
          </w:cols>
          <w:pgMar w:left="320" w:top="139" w:right="339" w:bottom="1440" w:gutter="0" w:footer="0" w:header="0"/>
        </w:sectPr>
      </w:pPr>
    </w:p>
    <w:bookmarkStart w:id="45" w:name="page46"/>
    <w:bookmarkEnd w:id="45"/>
    <w:p>
      <w:pPr>
        <w:ind w:left="620" w:right="60"/>
        <w:spacing w:after="0" w:line="258" w:lineRule="auto"/>
        <w:rPr>
          <w:sz w:val="20"/>
          <w:szCs w:val="20"/>
          <w:color w:val="auto"/>
        </w:rPr>
      </w:pPr>
      <w:r>
        <w:rPr>
          <w:rFonts w:ascii="Arial" w:cs="Arial" w:eastAsia="Arial" w:hAnsi="Arial"/>
          <w:sz w:val="21"/>
          <w:szCs w:val="21"/>
          <w:color w:val="auto"/>
        </w:rPr>
        <w:t>the form of restricted stock units (“RSUs”) vesting ratably over four (4) years. Actual value of annual grants may be higher or lower based on Committee discretion. Terms and conditions of such awards shall be governed by the Plan and applicable award agreements.</w:t>
      </w:r>
    </w:p>
    <w:p>
      <w:pPr>
        <w:spacing w:after="0" w:line="98" w:lineRule="exact"/>
        <w:rPr>
          <w:sz w:val="20"/>
          <w:szCs w:val="20"/>
          <w:color w:val="auto"/>
        </w:rPr>
      </w:pPr>
    </w:p>
    <w:p>
      <w:pPr>
        <w:ind w:left="620" w:right="820" w:hanging="307"/>
        <w:spacing w:after="0" w:line="274"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21"/>
          <w:szCs w:val="21"/>
          <w:color w:val="auto"/>
        </w:rPr>
        <w:t>In consideration of unvested equity awards with your current employer, the Company will recommend to the Committee that you receive one-time grants as follows:</w:t>
      </w:r>
    </w:p>
    <w:p>
      <w:pPr>
        <w:spacing w:after="0" w:line="80" w:lineRule="exact"/>
        <w:rPr>
          <w:sz w:val="20"/>
          <w:szCs w:val="20"/>
          <w:color w:val="auto"/>
        </w:rPr>
      </w:pPr>
    </w:p>
    <w:p>
      <w:pPr>
        <w:ind w:left="1240" w:hanging="309"/>
        <w:spacing w:after="0"/>
        <w:tabs>
          <w:tab w:leader="none" w:pos="1240" w:val="left"/>
        </w:tabs>
        <w:numPr>
          <w:ilvl w:val="1"/>
          <w:numId w:val="24"/>
        </w:numPr>
        <w:rPr>
          <w:rFonts w:ascii="Arial" w:cs="Arial" w:eastAsia="Arial" w:hAnsi="Arial"/>
          <w:sz w:val="16"/>
          <w:szCs w:val="16"/>
          <w:color w:val="auto"/>
        </w:rPr>
      </w:pPr>
      <w:r>
        <w:rPr>
          <w:rFonts w:ascii="Arial" w:cs="Arial" w:eastAsia="Arial" w:hAnsi="Arial"/>
          <w:sz w:val="20"/>
          <w:szCs w:val="20"/>
          <w:color w:val="auto"/>
        </w:rPr>
        <w:t>$500,000 award, 70% in the form of PSUs and 30% in the form of RSUs, issued, in 2026 annual grant cycle</w:t>
      </w:r>
    </w:p>
    <w:p>
      <w:pPr>
        <w:spacing w:after="0" w:line="156" w:lineRule="exact"/>
        <w:rPr>
          <w:rFonts w:ascii="Arial" w:cs="Arial" w:eastAsia="Arial" w:hAnsi="Arial"/>
          <w:sz w:val="16"/>
          <w:szCs w:val="16"/>
          <w:color w:val="auto"/>
        </w:rPr>
      </w:pPr>
    </w:p>
    <w:p>
      <w:pPr>
        <w:ind w:left="1240" w:right="100" w:hanging="309"/>
        <w:spacing w:after="0" w:line="274" w:lineRule="auto"/>
        <w:tabs>
          <w:tab w:leader="none" w:pos="1232" w:val="left"/>
        </w:tabs>
        <w:numPr>
          <w:ilvl w:val="1"/>
          <w:numId w:val="24"/>
        </w:numPr>
        <w:rPr>
          <w:rFonts w:ascii="Arial" w:cs="Arial" w:eastAsia="Arial" w:hAnsi="Arial"/>
          <w:sz w:val="17"/>
          <w:szCs w:val="17"/>
          <w:color w:val="auto"/>
        </w:rPr>
      </w:pPr>
      <w:r>
        <w:rPr>
          <w:rFonts w:ascii="Arial" w:cs="Arial" w:eastAsia="Arial" w:hAnsi="Arial"/>
          <w:sz w:val="21"/>
          <w:szCs w:val="21"/>
          <w:color w:val="auto"/>
        </w:rPr>
        <w:t>$400,000 award, 100% in Restricted Stock Awards (“RSAs”) vesting one (1) year from the grant date, issued in June 2025</w:t>
      </w:r>
    </w:p>
    <w:p>
      <w:pPr>
        <w:spacing w:after="0" w:line="80" w:lineRule="exact"/>
        <w:rPr>
          <w:rFonts w:ascii="Arial" w:cs="Arial" w:eastAsia="Arial" w:hAnsi="Arial"/>
          <w:sz w:val="17"/>
          <w:szCs w:val="17"/>
          <w:color w:val="auto"/>
        </w:rPr>
      </w:pPr>
    </w:p>
    <w:p>
      <w:pPr>
        <w:ind w:left="620" w:right="280" w:hanging="307"/>
        <w:spacing w:after="0" w:line="27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21"/>
          <w:szCs w:val="21"/>
          <w:color w:val="auto"/>
        </w:rPr>
        <w:t>Additional details about any equity award(s), including vesting conditions, will be included in the grant acceptance agreement for each applicable award.</w:t>
      </w:r>
    </w:p>
    <w:p>
      <w:pPr>
        <w:spacing w:after="0" w:line="8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21"/>
          <w:szCs w:val="21"/>
          <w:b w:val="1"/>
          <w:bCs w:val="1"/>
          <w:color w:val="auto"/>
        </w:rPr>
        <w:t xml:space="preserve">SEVERANCE: </w:t>
      </w:r>
      <w:r>
        <w:rPr>
          <w:rFonts w:ascii="Arial" w:cs="Arial" w:eastAsia="Arial" w:hAnsi="Arial"/>
          <w:sz w:val="21"/>
          <w:szCs w:val="21"/>
          <w:color w:val="auto"/>
        </w:rPr>
        <w:t>See Exhibit A.</w:t>
      </w:r>
    </w:p>
    <w:p>
      <w:pPr>
        <w:spacing w:after="0" w:line="145" w:lineRule="exact"/>
        <w:rPr>
          <w:rFonts w:ascii="Arial" w:cs="Arial" w:eastAsia="Arial" w:hAnsi="Arial"/>
          <w:sz w:val="17"/>
          <w:szCs w:val="17"/>
          <w:color w:val="auto"/>
        </w:rPr>
      </w:pPr>
    </w:p>
    <w:p>
      <w:pPr>
        <w:jc w:val="both"/>
        <w:ind w:left="620" w:right="120" w:hanging="307"/>
        <w:spacing w:after="0" w:line="258"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21"/>
          <w:szCs w:val="21"/>
          <w:b w:val="1"/>
          <w:bCs w:val="1"/>
          <w:color w:val="auto"/>
        </w:rPr>
        <w:t xml:space="preserve">INDEMNIFICATION: </w:t>
      </w:r>
      <w:r>
        <w:rPr>
          <w:rFonts w:ascii="Arial" w:cs="Arial" w:eastAsia="Arial" w:hAnsi="Arial"/>
          <w:sz w:val="21"/>
          <w:szCs w:val="21"/>
          <w:color w:val="auto"/>
        </w:rPr>
        <w:t>The Company will indemnify you, and provide you with Directors &amp; Officers Liability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(“D&amp;O Insurance”) coverage, in each case, on terms and conditions no less favorable than those provided to other similarly situated executive officers of the Company.</w:t>
      </w:r>
    </w:p>
    <w:p>
      <w:pPr>
        <w:spacing w:after="0" w:line="201" w:lineRule="exact"/>
        <w:rPr>
          <w:rFonts w:ascii="Arial" w:cs="Arial" w:eastAsia="Arial" w:hAnsi="Arial"/>
          <w:sz w:val="17"/>
          <w:szCs w:val="17"/>
          <w:color w:val="auto"/>
        </w:rPr>
      </w:pPr>
    </w:p>
    <w:p>
      <w:pPr>
        <w:ind w:left="620" w:hanging="307"/>
        <w:spacing w:after="0" w:line="262" w:lineRule="auto"/>
        <w:tabs>
          <w:tab w:leader="none" w:pos="616" w:val="left"/>
        </w:tabs>
        <w:numPr>
          <w:ilvl w:val="0"/>
          <w:numId w:val="24"/>
        </w:numPr>
        <w:rPr>
          <w:rFonts w:ascii="Arial" w:cs="Arial" w:eastAsia="Arial" w:hAnsi="Arial"/>
          <w:sz w:val="16"/>
          <w:szCs w:val="16"/>
          <w:color w:val="auto"/>
        </w:rPr>
      </w:pPr>
      <w:r>
        <w:rPr>
          <w:rFonts w:ascii="Arial" w:cs="Arial" w:eastAsia="Arial" w:hAnsi="Arial"/>
          <w:sz w:val="20"/>
          <w:szCs w:val="20"/>
          <w:b w:val="1"/>
          <w:bCs w:val="1"/>
          <w:color w:val="auto"/>
        </w:rPr>
        <w:t xml:space="preserve">409A COMPLIANCE: </w:t>
      </w:r>
      <w:r>
        <w:rPr>
          <w:rFonts w:ascii="Arial" w:cs="Arial" w:eastAsia="Arial" w:hAnsi="Arial"/>
          <w:sz w:val="20"/>
          <w:szCs w:val="20"/>
          <w:color w:val="auto"/>
        </w:rPr>
        <w:t>All benefits payable hereunder are intended to be exempt from, or comply with,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of the Internal Revenue Code (“409A”) and the provisions of 409A are incorporated herein by reference. For purposes of 409A, each installment payment shall be treated as a separate payment and any payments to be made upon a termination of employment shall only be made upon a "separation from service" under 409A. If you are determined to be a "specified employee" under 409A, then any payment or benefit provided to you in connection with your termination of employment that is considered "nonqualified deferred compensation" under 409A and that is due within the first six months after your termination date shall be delayed and paid (without interest) on the first payroll date to occur following the six-month anniversary of your termination date or, if earlier, the date of your death, and any remaining payments shall be paid without delay in accordance with their original schedule.</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Our offer of employment at-will is contingent upon the following:</w:t>
      </w:r>
    </w:p>
    <w:p>
      <w:pPr>
        <w:spacing w:after="0" w:line="145" w:lineRule="exact"/>
        <w:rPr>
          <w:sz w:val="20"/>
          <w:szCs w:val="20"/>
          <w:color w:val="auto"/>
        </w:rPr>
      </w:pPr>
    </w:p>
    <w:p>
      <w:pPr>
        <w:ind w:left="620" w:right="280" w:hanging="307"/>
        <w:spacing w:after="0" w:line="27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21"/>
          <w:szCs w:val="21"/>
          <w:color w:val="auto"/>
        </w:rPr>
        <w:t>Satisfaction of required pre-employment screenings prior to your first day of work including a criminal background check and a drug screen per the Company’s Drug-Free Workplace policies.</w:t>
      </w:r>
    </w:p>
    <w:p>
      <w:pPr>
        <w:spacing w:after="0" w:line="80"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21"/>
          <w:szCs w:val="21"/>
          <w:color w:val="auto"/>
        </w:rPr>
        <w:t>Documentation within your first three (3) days of work that you are legally eligible to work in the United States.</w:t>
      </w:r>
    </w:p>
    <w:p>
      <w:pPr>
        <w:sectPr>
          <w:pgSz w:w="11900" w:h="16838" w:orient="portrait"/>
          <w:cols w:equalWidth="0" w:num="1">
            <w:col w:w="11220"/>
          </w:cols>
          <w:pgMar w:left="320" w:top="1364" w:right="359" w:bottom="1440" w:gutter="0" w:footer="0" w:header="0"/>
        </w:sectPr>
      </w:pPr>
    </w:p>
    <w:bookmarkStart w:id="46" w:name="page47"/>
    <w:bookmarkEnd w:id="46"/>
    <w:p>
      <w:pPr>
        <w:ind w:left="620" w:hanging="307"/>
        <w:spacing w:after="0" w:line="274"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21"/>
          <w:szCs w:val="21"/>
          <w:color w:val="auto"/>
        </w:rPr>
        <w:t>Completion of required new hire forms, including standard covenants for Confidentiality, Non-Disclosure, Non-Competition and Non-Solicitation.</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Please feel free to reach out with any questions you may have as you review our offer.</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We’re looking forward to you joining our executive leadership team!</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Felicia Gorcyca</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EVP &amp; Chief Human Resources Officer</w:t>
      </w:r>
    </w:p>
    <w:p>
      <w:pPr>
        <w:sectPr>
          <w:pgSz w:w="11900" w:h="16838" w:orient="portrait"/>
          <w:cols w:equalWidth="0" w:num="1">
            <w:col w:w="10620"/>
          </w:cols>
          <w:pgMar w:left="320" w:top="1364" w:right="959" w:bottom="1440" w:gutter="0" w:footer="0" w:header="0"/>
        </w:sectPr>
      </w:pPr>
    </w:p>
    <w:bookmarkStart w:id="47" w:name="page48"/>
    <w:bookmarkEnd w:id="47"/>
    <w:p>
      <w:pPr>
        <w:spacing w:after="0" w:line="249" w:lineRule="auto"/>
        <w:rPr>
          <w:sz w:val="20"/>
          <w:szCs w:val="20"/>
          <w:color w:val="auto"/>
        </w:rPr>
      </w:pPr>
      <w:r>
        <w:rPr>
          <w:rFonts w:ascii="Arial" w:cs="Arial" w:eastAsia="Arial" w:hAnsi="Arial"/>
          <w:sz w:val="21"/>
          <w:szCs w:val="21"/>
          <w:b w:val="1"/>
          <w:bCs w:val="1"/>
          <w:color w:val="auto"/>
        </w:rPr>
        <w:t xml:space="preserve">AGREEMENT ABOUT CONFIDENTIAL INFORMATION: </w:t>
      </w:r>
      <w:r>
        <w:rPr>
          <w:rFonts w:ascii="Arial" w:cs="Arial" w:eastAsia="Arial" w:hAnsi="Arial"/>
          <w:sz w:val="21"/>
          <w:szCs w:val="21"/>
          <w:color w:val="auto"/>
        </w:rPr>
        <w:t>By accepting this offer of employment, you agree that during</w:t>
      </w:r>
      <w:r>
        <w:rPr>
          <w:rFonts w:ascii="Arial" w:cs="Arial" w:eastAsia="Arial" w:hAnsi="Arial"/>
          <w:sz w:val="21"/>
          <w:szCs w:val="21"/>
          <w:b w:val="1"/>
          <w:bCs w:val="1"/>
          <w:color w:val="auto"/>
        </w:rPr>
        <w:t xml:space="preserve"> </w:t>
      </w:r>
      <w:r>
        <w:rPr>
          <w:rFonts w:ascii="Arial" w:cs="Arial" w:eastAsia="Arial" w:hAnsi="Arial"/>
          <w:sz w:val="21"/>
          <w:szCs w:val="21"/>
          <w:color w:val="auto"/>
        </w:rPr>
        <w:t>your employment with the Company, you will not use or disclose any confidential information or trade secrets, if any, of any former employer or any other person to whom you have an obligation of confidentiality, unless the former employer or other person consents to such disclosure in writing. You agree that in performing your duties, you will only use information that is generally known and used by persons with training and experience like yours, which is common knowledge in the industry or otherwise legally in the public domain, or which is otherwise provided or developed by WillScot. Further, you agree that you will not disclose any confidential information or trade secrets of WillScot either during or after your employment without written consent to do so.</w:t>
      </w:r>
    </w:p>
    <w:p>
      <w:pPr>
        <w:spacing w:after="0" w:line="110" w:lineRule="exact"/>
        <w:rPr>
          <w:sz w:val="20"/>
          <w:szCs w:val="20"/>
          <w:color w:val="auto"/>
        </w:rPr>
      </w:pPr>
    </w:p>
    <w:p>
      <w:pPr>
        <w:ind w:right="200"/>
        <w:spacing w:after="0" w:line="265" w:lineRule="auto"/>
        <w:rPr>
          <w:sz w:val="20"/>
          <w:szCs w:val="20"/>
          <w:color w:val="auto"/>
        </w:rPr>
      </w:pPr>
      <w:r>
        <w:rPr>
          <w:rFonts w:ascii="Arial" w:cs="Arial" w:eastAsia="Arial" w:hAnsi="Arial"/>
          <w:sz w:val="21"/>
          <w:szCs w:val="21"/>
          <w:b w:val="1"/>
          <w:bCs w:val="1"/>
          <w:color w:val="auto"/>
        </w:rPr>
        <w:t xml:space="preserve">ACKNOWLEDGMENT: </w:t>
      </w:r>
      <w:r>
        <w:rPr>
          <w:rFonts w:ascii="Arial" w:cs="Arial" w:eastAsia="Arial" w:hAnsi="Arial"/>
          <w:sz w:val="21"/>
          <w:szCs w:val="21"/>
          <w:color w:val="auto"/>
        </w:rPr>
        <w:t>I have read this offer letter in its entirety and understand the terms and conditions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described in this letter and any attached documents. I understand and agree that this offer letter does not constitute an employment contract or create any contractual rights, and I will be employed on an at-will basis.</w:t>
      </w:r>
    </w:p>
    <w:p>
      <w:pPr>
        <w:spacing w:after="0" w:line="200" w:lineRule="exact"/>
        <w:rPr>
          <w:sz w:val="20"/>
          <w:szCs w:val="20"/>
          <w:color w:val="auto"/>
        </w:rPr>
      </w:pPr>
    </w:p>
    <w:p>
      <w:pPr>
        <w:spacing w:after="0" w:line="25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WILLSCOT HOLDINGS CORP.</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By: /s/ Felicia Gorcyca</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Date: April 21, 2025</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Name: Felicia Gorcyca</w:t>
      </w:r>
    </w:p>
    <w:p>
      <w:pPr>
        <w:spacing w:after="0" w:line="132"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Title: EVP &amp; Chief Human Resources Officer</w:t>
      </w:r>
    </w:p>
    <w:p>
      <w:pPr>
        <w:spacing w:after="0" w:line="200" w:lineRule="exact"/>
        <w:rPr>
          <w:sz w:val="20"/>
          <w:szCs w:val="20"/>
          <w:color w:val="auto"/>
        </w:rPr>
      </w:pPr>
    </w:p>
    <w:p>
      <w:pPr>
        <w:spacing w:after="0" w:line="319"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EXECUTIVE</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By: /s/ Rohan Pal</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Date: April 21, 2025</w:t>
      </w:r>
    </w:p>
    <w:p>
      <w:pPr>
        <w:spacing w:after="0" w:line="132"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Name: Rohan Pal</w:t>
      </w:r>
    </w:p>
    <w:p>
      <w:pPr>
        <w:sectPr>
          <w:pgSz w:w="11900" w:h="16838" w:orient="portrait"/>
          <w:cols w:equalWidth="0" w:num="1">
            <w:col w:w="11220"/>
          </w:cols>
          <w:pgMar w:left="320" w:top="1364" w:right="359" w:bottom="1440" w:gutter="0" w:footer="0" w:header="0"/>
        </w:sectPr>
      </w:pPr>
    </w:p>
    <w:bookmarkStart w:id="48" w:name="page49"/>
    <w:bookmarkEnd w:id="48"/>
    <w:p>
      <w:pPr>
        <w:spacing w:after="0" w:line="258" w:lineRule="auto"/>
        <w:rPr>
          <w:sz w:val="20"/>
          <w:szCs w:val="20"/>
          <w:color w:val="auto"/>
        </w:rPr>
      </w:pPr>
      <w:r>
        <w:rPr>
          <w:rFonts w:ascii="Arial" w:cs="Arial" w:eastAsia="Arial" w:hAnsi="Arial"/>
          <w:sz w:val="21"/>
          <w:szCs w:val="21"/>
          <w:b w:val="1"/>
          <w:bCs w:val="1"/>
          <w:color w:val="auto"/>
        </w:rPr>
        <w:t xml:space="preserve">SIGN-ON BONUS: </w:t>
      </w:r>
      <w:r>
        <w:rPr>
          <w:rFonts w:ascii="Arial" w:cs="Arial" w:eastAsia="Arial" w:hAnsi="Arial"/>
          <w:sz w:val="21"/>
          <w:szCs w:val="21"/>
          <w:color w:val="auto"/>
        </w:rPr>
        <w:t>You will be eligible to receive a sign-on bonus award of $100,000 (less taxes), expected to be paid on</w:t>
      </w:r>
      <w:r>
        <w:rPr>
          <w:rFonts w:ascii="Arial" w:cs="Arial" w:eastAsia="Arial" w:hAnsi="Arial"/>
          <w:sz w:val="21"/>
          <w:szCs w:val="21"/>
          <w:b w:val="1"/>
          <w:bCs w:val="1"/>
          <w:color w:val="auto"/>
        </w:rPr>
        <w:t xml:space="preserve"> </w:t>
      </w:r>
      <w:r>
        <w:rPr>
          <w:rFonts w:ascii="Arial" w:cs="Arial" w:eastAsia="Arial" w:hAnsi="Arial"/>
          <w:sz w:val="21"/>
          <w:szCs w:val="21"/>
          <w:color w:val="auto"/>
        </w:rPr>
        <w:t>the first regularly scheduled pay date after employment starts. Please note that to receive the Sign-On Bonus, you are required to sign the terms and conditions outlined below. Repayment of this award is required under certain circumstances involving your voluntary resignation or for gross misconduct during your employment.</w:t>
      </w:r>
    </w:p>
    <w:p>
      <w:pPr>
        <w:spacing w:after="0" w:line="83"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21"/>
          <w:szCs w:val="21"/>
          <w:color w:val="auto"/>
        </w:rPr>
        <w:t>WillScot will offer me a $100,000 (less taxes) sign-on bonus.</w:t>
      </w:r>
    </w:p>
    <w:p>
      <w:pPr>
        <w:spacing w:after="0" w:line="145"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21"/>
          <w:szCs w:val="21"/>
          <w:color w:val="auto"/>
        </w:rPr>
        <w:t>I agree that if I voluntarily leave employment with WillScot within the three (3) years of receipt of any sign-on bonus, I will be responsible for repaying all such amounts paid by WillScot, reduced annually by 1/3 of the total amount of the sign-on bonus.</w:t>
      </w:r>
    </w:p>
    <w:p>
      <w:pPr>
        <w:spacing w:after="0" w:line="76" w:lineRule="exact"/>
        <w:rPr>
          <w:rFonts w:ascii="Arial" w:cs="Arial" w:eastAsia="Arial" w:hAnsi="Arial"/>
          <w:sz w:val="17"/>
          <w:szCs w:val="17"/>
          <w:color w:val="auto"/>
        </w:rPr>
      </w:pPr>
    </w:p>
    <w:p>
      <w:pPr>
        <w:ind w:left="620" w:right="180" w:hanging="307"/>
        <w:spacing w:after="0" w:line="267" w:lineRule="auto"/>
        <w:tabs>
          <w:tab w:leader="none" w:pos="616" w:val="left"/>
        </w:tabs>
        <w:numPr>
          <w:ilvl w:val="0"/>
          <w:numId w:val="27"/>
        </w:numPr>
        <w:rPr>
          <w:rFonts w:ascii="Arial" w:cs="Arial" w:eastAsia="Arial" w:hAnsi="Arial"/>
          <w:sz w:val="16"/>
          <w:szCs w:val="16"/>
          <w:color w:val="auto"/>
        </w:rPr>
      </w:pPr>
      <w:r>
        <w:rPr>
          <w:rFonts w:ascii="Arial" w:cs="Arial" w:eastAsia="Arial" w:hAnsi="Arial"/>
          <w:sz w:val="20"/>
          <w:szCs w:val="20"/>
          <w:color w:val="auto"/>
        </w:rPr>
        <w:t>I also agree that if, within three (3) year of receipt of any sign-on funds my employment is terminated due to gross misconduct, intentional financial or other improprieties (such as instances of serious improper behavior including gross violations of the Company’s EEO policy, Confidential Company Information Policy or Conflicts of Interest Policy as well as falsification of company records or similar gross violations) related to my management of or involvement with any of the Company’s employees, departments or branches, I will be responsible for repaying those amounts to WillScot as outlined in the repayment schedule contained above in Paragraph 2.</w:t>
      </w:r>
    </w:p>
    <w:p>
      <w:pPr>
        <w:spacing w:after="0" w:line="89" w:lineRule="exact"/>
        <w:rPr>
          <w:rFonts w:ascii="Arial" w:cs="Arial" w:eastAsia="Arial" w:hAnsi="Arial"/>
          <w:sz w:val="16"/>
          <w:szCs w:val="16"/>
          <w:color w:val="auto"/>
        </w:rPr>
      </w:pPr>
    </w:p>
    <w:p>
      <w:pPr>
        <w:ind w:left="620" w:right="480" w:hanging="307"/>
        <w:spacing w:after="0" w:line="274"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21"/>
          <w:szCs w:val="21"/>
          <w:color w:val="auto"/>
        </w:rPr>
        <w:t>If WillScot terminates my employment for any reason other than as outlined above, I will not be responsible for repaying any portion of the sign-on reimbursements.</w:t>
      </w:r>
    </w:p>
    <w:p>
      <w:pPr>
        <w:spacing w:after="0" w:line="80" w:lineRule="exact"/>
        <w:rPr>
          <w:rFonts w:ascii="Arial" w:cs="Arial" w:eastAsia="Arial" w:hAnsi="Arial"/>
          <w:sz w:val="17"/>
          <w:szCs w:val="17"/>
          <w:color w:val="auto"/>
        </w:rPr>
      </w:pPr>
    </w:p>
    <w:p>
      <w:pPr>
        <w:ind w:left="620" w:right="280" w:hanging="307"/>
        <w:spacing w:after="0" w:line="274"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21"/>
          <w:szCs w:val="21"/>
          <w:color w:val="auto"/>
        </w:rPr>
        <w:t>I authorize WillScot to withhold all or a portion of any amount due upon termination if such repayment is required from my final pay.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Initial: RP</w:t>
      </w:r>
    </w:p>
    <w:p>
      <w:pPr>
        <w:sectPr>
          <w:pgSz w:w="11900" w:h="16838" w:orient="portrait"/>
          <w:cols w:equalWidth="0" w:num="1">
            <w:col w:w="11140"/>
          </w:cols>
          <w:pgMar w:left="320" w:top="1364" w:right="439" w:bottom="1440" w:gutter="0" w:footer="0" w:header="0"/>
        </w:sectPr>
      </w:pPr>
    </w:p>
    <w:bookmarkStart w:id="49" w:name="page50"/>
    <w:bookmarkEnd w:id="49"/>
    <w:p>
      <w:pPr>
        <w:jc w:val="center"/>
        <w:ind w:right="120"/>
        <w:spacing w:after="0"/>
        <w:rPr>
          <w:sz w:val="20"/>
          <w:szCs w:val="20"/>
          <w:color w:val="auto"/>
        </w:rPr>
      </w:pPr>
      <w:r>
        <w:rPr>
          <w:rFonts w:ascii="Arial" w:cs="Arial" w:eastAsia="Arial" w:hAnsi="Arial"/>
          <w:sz w:val="21"/>
          <w:szCs w:val="21"/>
          <w:b w:val="1"/>
          <w:bCs w:val="1"/>
          <w:color w:val="auto"/>
        </w:rPr>
        <w:t>EXHIBIT A</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Payments Upon Termination</w:t>
      </w:r>
    </w:p>
    <w:p>
      <w:pPr>
        <w:spacing w:after="0" w:line="145" w:lineRule="exact"/>
        <w:rPr>
          <w:sz w:val="20"/>
          <w:szCs w:val="20"/>
          <w:color w:val="auto"/>
        </w:rPr>
      </w:pPr>
    </w:p>
    <w:p>
      <w:pPr>
        <w:ind w:left="1700" w:hanging="463"/>
        <w:spacing w:after="0"/>
        <w:tabs>
          <w:tab w:leader="none" w:pos="170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If your employment terminates because of your Disability (as defined below) you will receive</w:t>
      </w:r>
    </w:p>
    <w:p>
      <w:pPr>
        <w:spacing w:after="0" w:line="34" w:lineRule="exact"/>
        <w:rPr>
          <w:rFonts w:ascii="Arial" w:cs="Arial" w:eastAsia="Arial" w:hAnsi="Arial"/>
          <w:sz w:val="20"/>
          <w:szCs w:val="20"/>
          <w:color w:val="auto"/>
        </w:rPr>
      </w:pPr>
    </w:p>
    <w:p>
      <w:pPr>
        <w:jc w:val="both"/>
        <w:ind w:firstLine="1"/>
        <w:spacing w:after="0" w:line="247" w:lineRule="auto"/>
        <w:tabs>
          <w:tab w:leader="none" w:pos="263"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Accrued Benefits (as defined below); (ii) a pro rata portion (based on the number of days during the applicable fiscal period prior to the date of termination) of the STIP bonus you would have earned absent such termination, with such payment to be made based on actual performance and at the time STIP bonus payments are made to executives of the Company generally; (iii) any outstanding equity awards that are subject solely to time-based vesting conditions shall immediately vest in full and any outstanding equity awards that are subject to performance-based vesting conditions shall vest based on target performance for the applicable performance period in which termination occurs; and (iv) you shall be entitled to a lump sum cash payment, to be paid as soon as practicable after the date of termination, equal to the monthly total premium that would be incurred by you to obtain and pay for continued coverage under the Company’s health insurance plans pursuant to COBRA, as determined on the Date of Termination, multiplied by 12 (the “</w:t>
      </w:r>
      <w:r>
        <w:rPr>
          <w:rFonts w:ascii="Arial" w:cs="Arial" w:eastAsia="Arial" w:hAnsi="Arial"/>
          <w:sz w:val="21"/>
          <w:szCs w:val="21"/>
          <w:u w:val="single" w:color="auto"/>
          <w:color w:val="auto"/>
        </w:rPr>
        <w:t>Continued</w:t>
      </w:r>
      <w:r>
        <w:rPr>
          <w:rFonts w:ascii="Arial" w:cs="Arial" w:eastAsia="Arial" w:hAnsi="Arial"/>
          <w:sz w:val="21"/>
          <w:szCs w:val="21"/>
          <w:color w:val="auto"/>
        </w:rPr>
        <w:t xml:space="preserve"> </w:t>
      </w:r>
      <w:r>
        <w:rPr>
          <w:rFonts w:ascii="Arial" w:cs="Arial" w:eastAsia="Arial" w:hAnsi="Arial"/>
          <w:sz w:val="21"/>
          <w:szCs w:val="21"/>
          <w:u w:val="single" w:color="auto"/>
          <w:color w:val="auto"/>
        </w:rPr>
        <w:t>Coverage Payment</w:t>
      </w:r>
      <w:r>
        <w:rPr>
          <w:rFonts w:ascii="Arial" w:cs="Arial" w:eastAsia="Arial" w:hAnsi="Arial"/>
          <w:sz w:val="21"/>
          <w:szCs w:val="21"/>
          <w:color w:val="auto"/>
        </w:rPr>
        <w:t>”).</w:t>
      </w:r>
    </w:p>
    <w:p>
      <w:pPr>
        <w:spacing w:after="0" w:line="202" w:lineRule="exact"/>
        <w:rPr>
          <w:rFonts w:ascii="Arial" w:cs="Arial" w:eastAsia="Arial" w:hAnsi="Arial"/>
          <w:sz w:val="21"/>
          <w:szCs w:val="21"/>
          <w:color w:val="auto"/>
        </w:rPr>
      </w:pPr>
    </w:p>
    <w:p>
      <w:pPr>
        <w:jc w:val="both"/>
        <w:ind w:firstLine="1237"/>
        <w:spacing w:after="0" w:line="262" w:lineRule="auto"/>
        <w:tabs>
          <w:tab w:leader="none" w:pos="1708"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If your employment is terminated as a result of your death, the Company shall pay or provide to your designated beneficiary (as on file with the Company at such time) or if none, to your legal representative or estate, as applicable, (i) the amounts and the accelerated vesting of outstanding equity awards as set forth under subsection (a)</w:t>
      </w:r>
    </w:p>
    <w:p>
      <w:pPr>
        <w:spacing w:after="0" w:line="1" w:lineRule="exact"/>
        <w:rPr>
          <w:rFonts w:ascii="Arial" w:cs="Arial" w:eastAsia="Arial" w:hAnsi="Arial"/>
          <w:sz w:val="20"/>
          <w:szCs w:val="20"/>
          <w:color w:val="auto"/>
        </w:rPr>
      </w:pPr>
    </w:p>
    <w:p>
      <w:pPr>
        <w:ind w:right="20"/>
        <w:spacing w:after="0" w:line="292" w:lineRule="auto"/>
        <w:rPr>
          <w:rFonts w:ascii="Arial" w:cs="Arial" w:eastAsia="Arial" w:hAnsi="Arial"/>
          <w:sz w:val="20"/>
          <w:szCs w:val="20"/>
          <w:color w:val="auto"/>
        </w:rPr>
      </w:pPr>
      <w:r>
        <w:rPr>
          <w:rFonts w:ascii="Arial" w:cs="Arial" w:eastAsia="Arial" w:hAnsi="Arial"/>
          <w:sz w:val="20"/>
          <w:szCs w:val="20"/>
          <w:u w:val="single" w:color="auto"/>
          <w:color w:val="auto"/>
        </w:rPr>
        <w:t>(i)-(iii)</w:t>
      </w:r>
      <w:r>
        <w:rPr>
          <w:rFonts w:ascii="Arial" w:cs="Arial" w:eastAsia="Arial" w:hAnsi="Arial"/>
          <w:sz w:val="20"/>
          <w:szCs w:val="20"/>
          <w:color w:val="auto"/>
        </w:rPr>
        <w:t xml:space="preserve"> (but excluding, for the avoidance of doubt, the Continued Coverage Payment under clause (iv)); and (ii) one times your Base Salary at the time of termination, payable in a lump sum as soon as practicable after the date of termination.</w:t>
      </w:r>
    </w:p>
    <w:p>
      <w:pPr>
        <w:spacing w:after="0" w:line="155" w:lineRule="exact"/>
        <w:rPr>
          <w:rFonts w:ascii="Arial" w:cs="Arial" w:eastAsia="Arial" w:hAnsi="Arial"/>
          <w:sz w:val="20"/>
          <w:szCs w:val="20"/>
          <w:color w:val="auto"/>
        </w:rPr>
      </w:pPr>
    </w:p>
    <w:p>
      <w:pPr>
        <w:jc w:val="both"/>
        <w:ind w:firstLine="1237"/>
        <w:spacing w:after="0" w:line="251" w:lineRule="auto"/>
        <w:tabs>
          <w:tab w:leader="none" w:pos="1710"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 or by you without Good Reason</w:t>
      </w:r>
      <w:r>
        <w:rPr>
          <w:rFonts w:ascii="Arial" w:cs="Arial" w:eastAsia="Arial" w:hAnsi="Arial"/>
          <w:sz w:val="21"/>
          <w:szCs w:val="21"/>
          <w:color w:val="auto"/>
        </w:rPr>
        <w:t xml:space="preserve">. If the Company terminates your employment for Cause (as defined below) or you terminate your employment without Good Reason (as defined below), the Company shall pay to you the Accrued Benefits; </w:t>
      </w:r>
      <w:r>
        <w:rPr>
          <w:rFonts w:ascii="Arial" w:cs="Arial" w:eastAsia="Arial" w:hAnsi="Arial"/>
          <w:sz w:val="21"/>
          <w:szCs w:val="21"/>
          <w:u w:val="single" w:color="auto"/>
          <w:color w:val="auto"/>
        </w:rPr>
        <w:t>provided that</w:t>
      </w:r>
      <w:r>
        <w:rPr>
          <w:rFonts w:ascii="Arial" w:cs="Arial" w:eastAsia="Arial" w:hAnsi="Arial"/>
          <w:sz w:val="21"/>
          <w:szCs w:val="21"/>
          <w:color w:val="auto"/>
        </w:rPr>
        <w:t>, in the case of a termination of your employment by the Company for Cause, the Accrued Benefits shall not include any unpaid STIP bonus for the fiscal year ending prior to the date of termination.</w:t>
      </w:r>
    </w:p>
    <w:p>
      <w:pPr>
        <w:spacing w:after="0" w:line="206" w:lineRule="exact"/>
        <w:rPr>
          <w:rFonts w:ascii="Arial" w:cs="Arial" w:eastAsia="Arial" w:hAnsi="Arial"/>
          <w:sz w:val="21"/>
          <w:szCs w:val="21"/>
          <w:color w:val="auto"/>
        </w:rPr>
      </w:pPr>
    </w:p>
    <w:p>
      <w:pPr>
        <w:jc w:val="both"/>
        <w:ind w:firstLine="1237"/>
        <w:spacing w:after="0" w:line="250" w:lineRule="auto"/>
        <w:tabs>
          <w:tab w:leader="none" w:pos="1709"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 or by you with Good Reason</w:t>
      </w:r>
      <w:r>
        <w:rPr>
          <w:rFonts w:ascii="Arial" w:cs="Arial" w:eastAsia="Arial" w:hAnsi="Arial"/>
          <w:sz w:val="21"/>
          <w:szCs w:val="21"/>
          <w:color w:val="auto"/>
        </w:rPr>
        <w:t>. Subject to subs</w:t>
      </w:r>
      <w:r>
        <w:rPr>
          <w:rFonts w:ascii="Arial" w:cs="Arial" w:eastAsia="Arial" w:hAnsi="Arial"/>
          <w:sz w:val="21"/>
          <w:szCs w:val="21"/>
          <w:u w:val="single" w:color="auto"/>
          <w:color w:val="auto"/>
        </w:rPr>
        <w:t>ections (e)</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 (f)</w:t>
      </w:r>
      <w:r>
        <w:rPr>
          <w:rFonts w:ascii="Arial" w:cs="Arial" w:eastAsia="Arial" w:hAnsi="Arial"/>
          <w:sz w:val="21"/>
          <w:szCs w:val="21"/>
          <w:color w:val="auto"/>
        </w:rPr>
        <w:t>, if the Company terminates your employment for a reason other than for Cause (and other than due to death or Disability) or if you terminate your employment hereunder with Good Reason, (i) the Company shall pay you (A) the Accrued Benefits, (B) a pro rata portion (based on the number of days during the applicable fiscal period prior to the date of termination) of the STIP bonus you would have earned absent such termination, with such payment to be made based on actual performance and at the time bonus payments are made to executives of the Company generally, (C) a lump sum equal to 1x your target STIP</w:t>
      </w:r>
    </w:p>
    <w:p>
      <w:pPr>
        <w:sectPr>
          <w:pgSz w:w="11900" w:h="16838" w:orient="portrait"/>
          <w:cols w:equalWidth="0" w:num="1">
            <w:col w:w="11080"/>
          </w:cols>
          <w:pgMar w:left="460" w:top="1364" w:right="359" w:bottom="1440" w:gutter="0" w:footer="0" w:header="0"/>
        </w:sectPr>
      </w:pPr>
    </w:p>
    <w:bookmarkStart w:id="50" w:name="page51"/>
    <w:bookmarkEnd w:id="50"/>
    <w:p>
      <w:pPr>
        <w:jc w:val="both"/>
        <w:spacing w:after="0" w:line="252" w:lineRule="auto"/>
        <w:rPr>
          <w:sz w:val="20"/>
          <w:szCs w:val="20"/>
          <w:color w:val="auto"/>
        </w:rPr>
      </w:pPr>
      <w:r>
        <w:rPr>
          <w:rFonts w:ascii="Arial" w:cs="Arial" w:eastAsia="Arial" w:hAnsi="Arial"/>
          <w:sz w:val="21"/>
          <w:szCs w:val="21"/>
          <w:color w:val="auto"/>
        </w:rPr>
        <w:t>bonus for the year of termination, and (D) continued base salary for 12 months following the date of termination (the “</w:t>
      </w:r>
      <w:r>
        <w:rPr>
          <w:rFonts w:ascii="Arial" w:cs="Arial" w:eastAsia="Arial" w:hAnsi="Arial"/>
          <w:sz w:val="21"/>
          <w:szCs w:val="21"/>
          <w:u w:val="single" w:color="auto"/>
          <w:color w:val="auto"/>
        </w:rPr>
        <w:t>Severance Period</w:t>
      </w:r>
      <w:r>
        <w:rPr>
          <w:rFonts w:ascii="Arial" w:cs="Arial" w:eastAsia="Arial" w:hAnsi="Arial"/>
          <w:sz w:val="21"/>
          <w:szCs w:val="21"/>
          <w:color w:val="auto"/>
        </w:rPr>
        <w:t>”) payable in equal installments in accordance with the Company’s normal payroll practices (the “</w:t>
      </w:r>
      <w:r>
        <w:rPr>
          <w:rFonts w:ascii="Arial" w:cs="Arial" w:eastAsia="Arial" w:hAnsi="Arial"/>
          <w:sz w:val="21"/>
          <w:szCs w:val="21"/>
          <w:u w:val="single" w:color="auto"/>
          <w:color w:val="auto"/>
        </w:rPr>
        <w:t>Cash</w:t>
      </w:r>
      <w:r>
        <w:rPr>
          <w:rFonts w:ascii="Arial" w:cs="Arial" w:eastAsia="Arial" w:hAnsi="Arial"/>
          <w:sz w:val="21"/>
          <w:szCs w:val="21"/>
          <w:color w:val="auto"/>
        </w:rPr>
        <w:t xml:space="preserve"> </w:t>
      </w:r>
      <w:r>
        <w:rPr>
          <w:rFonts w:ascii="Arial" w:cs="Arial" w:eastAsia="Arial" w:hAnsi="Arial"/>
          <w:sz w:val="21"/>
          <w:szCs w:val="21"/>
          <w:u w:val="single" w:color="auto"/>
          <w:color w:val="auto"/>
        </w:rPr>
        <w:t>Severance Payment</w:t>
      </w:r>
      <w:r>
        <w:rPr>
          <w:rFonts w:ascii="Arial" w:cs="Arial" w:eastAsia="Arial" w:hAnsi="Arial"/>
          <w:sz w:val="21"/>
          <w:szCs w:val="21"/>
          <w:color w:val="auto"/>
        </w:rPr>
        <w:t>”); (ii) any outstanding equity awards shall continue to vest during the Severance Period; and (iii) you shall be entitled to the Continued Coverage Payment (collectively, but excluding the Accrued Benefits,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Benefits</w:t>
      </w:r>
      <w:r>
        <w:rPr>
          <w:rFonts w:ascii="Arial" w:cs="Arial" w:eastAsia="Arial" w:hAnsi="Arial"/>
          <w:sz w:val="21"/>
          <w:szCs w:val="21"/>
          <w:color w:val="auto"/>
        </w:rPr>
        <w:t>”). For clarity, to the extent any outstanding equity award is not scheduled to vest during the Severance Period, such award or portion thereof, as applicable, shall be forfeited on the Date of Termination.</w:t>
      </w:r>
    </w:p>
    <w:p>
      <w:pPr>
        <w:spacing w:after="0" w:line="193" w:lineRule="exact"/>
        <w:rPr>
          <w:sz w:val="20"/>
          <w:szCs w:val="20"/>
          <w:color w:val="auto"/>
        </w:rPr>
      </w:pPr>
    </w:p>
    <w:p>
      <w:pPr>
        <w:ind w:left="1840" w:hanging="603"/>
        <w:spacing w:after="0"/>
        <w:tabs>
          <w:tab w:leader="none" w:pos="184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left="640" w:firstLine="1852"/>
        <w:spacing w:after="0" w:line="267" w:lineRule="auto"/>
        <w:tabs>
          <w:tab w:leader="none" w:pos="2949"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apply if there is (A) a termination of your employment by the Company for a reason other than for Cause and other than due to your Disability or death or by you for Good Reason during the 12-month period after a Change in Control (as defined below); or (B) a termination of your employment by the Company for a reason other than for Cause and other than due to your Disability or death prior to a Change in Control, if the termination was at the request of a third party or otherwise arose in anticipation of a Change in Control (a termination described in either clause (A) or clause (B), a “</w:t>
      </w:r>
      <w:r>
        <w:rPr>
          <w:rFonts w:ascii="Arial" w:cs="Arial" w:eastAsia="Arial" w:hAnsi="Arial"/>
          <w:sz w:val="20"/>
          <w:szCs w:val="20"/>
          <w:u w:val="single" w:color="auto"/>
          <w:color w:val="auto"/>
        </w:rPr>
        <w:t>CIC Termination</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jc w:val="both"/>
        <w:ind w:left="640" w:firstLine="1852"/>
        <w:spacing w:after="0" w:line="252" w:lineRule="auto"/>
        <w:tabs>
          <w:tab w:leader="none" w:pos="2957" w:val="left"/>
        </w:tabs>
        <w:numPr>
          <w:ilvl w:val="1"/>
          <w:numId w:val="30"/>
        </w:numPr>
        <w:rPr>
          <w:rFonts w:ascii="Arial" w:cs="Arial" w:eastAsia="Arial" w:hAnsi="Arial"/>
          <w:sz w:val="21"/>
          <w:szCs w:val="21"/>
          <w:color w:val="auto"/>
        </w:rPr>
      </w:pPr>
      <w:r>
        <w:rPr>
          <w:rFonts w:ascii="Arial" w:cs="Arial" w:eastAsia="Arial" w:hAnsi="Arial"/>
          <w:sz w:val="21"/>
          <w:szCs w:val="21"/>
          <w:color w:val="auto"/>
        </w:rPr>
        <w:t>Subject to subs</w:t>
      </w:r>
      <w:r>
        <w:rPr>
          <w:rFonts w:ascii="Arial" w:cs="Arial" w:eastAsia="Arial" w:hAnsi="Arial"/>
          <w:sz w:val="21"/>
          <w:szCs w:val="21"/>
          <w:u w:val="single" w:color="auto"/>
          <w:color w:val="auto"/>
        </w:rPr>
        <w:t>ection (f)</w:t>
      </w:r>
      <w:r>
        <w:rPr>
          <w:rFonts w:ascii="Arial" w:cs="Arial" w:eastAsia="Arial" w:hAnsi="Arial"/>
          <w:sz w:val="21"/>
          <w:szCs w:val="21"/>
          <w:color w:val="auto"/>
        </w:rPr>
        <w:t>, if any such CIC Termination occurs, you shall receive the benefits set forth in subs</w:t>
      </w:r>
      <w:r>
        <w:rPr>
          <w:rFonts w:ascii="Arial" w:cs="Arial" w:eastAsia="Arial" w:hAnsi="Arial"/>
          <w:sz w:val="21"/>
          <w:szCs w:val="21"/>
          <w:u w:val="single" w:color="auto"/>
          <w:color w:val="auto"/>
        </w:rPr>
        <w:t>ection (d)</w:t>
      </w:r>
      <w:r>
        <w:rPr>
          <w:rFonts w:ascii="Arial" w:cs="Arial" w:eastAsia="Arial" w:hAnsi="Arial"/>
          <w:sz w:val="21"/>
          <w:szCs w:val="21"/>
          <w:color w:val="auto"/>
        </w:rPr>
        <w:t>, except that the Severance Benefits shall be modified as follows: (A) if such Change in Control is a “change in control event” under 409A (a “</w:t>
      </w:r>
      <w:r>
        <w:rPr>
          <w:rFonts w:ascii="Arial" w:cs="Arial" w:eastAsia="Arial" w:hAnsi="Arial"/>
          <w:sz w:val="21"/>
          <w:szCs w:val="21"/>
          <w:u w:val="single" w:color="auto"/>
          <w:color w:val="auto"/>
        </w:rPr>
        <w:t>Qualifying CIC</w:t>
      </w:r>
      <w:r>
        <w:rPr>
          <w:rFonts w:ascii="Arial" w:cs="Arial" w:eastAsia="Arial" w:hAnsi="Arial"/>
          <w:sz w:val="21"/>
          <w:szCs w:val="21"/>
          <w:color w:val="auto"/>
        </w:rPr>
        <w:t>”), the Cash Severance Payment shall be paid in a lump sum; (B) the Continued Coverage Payment shall be determined by multiplying the monthly COBRA premium by 18, instead of 12; and (C) any outstanding equity awards shall immediately vest in full (without regard to any time-based or performance-based vesting conditions).</w:t>
      </w:r>
    </w:p>
    <w:p>
      <w:pPr>
        <w:spacing w:after="0" w:line="206" w:lineRule="exact"/>
        <w:rPr>
          <w:rFonts w:ascii="Arial" w:cs="Arial" w:eastAsia="Arial" w:hAnsi="Arial"/>
          <w:sz w:val="21"/>
          <w:szCs w:val="21"/>
          <w:color w:val="auto"/>
        </w:rPr>
      </w:pPr>
    </w:p>
    <w:p>
      <w:pPr>
        <w:jc w:val="both"/>
        <w:ind w:firstLine="1237"/>
        <w:spacing w:after="0" w:line="252" w:lineRule="auto"/>
        <w:tabs>
          <w:tab w:leader="none" w:pos="171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xml:space="preserve"> As a condition to receiving the Severance Benefits, you must execute a release of claims in the form provided by the Company at the time of your termination (the “</w:t>
      </w: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To be eligible for Severance Benefits, you must execute and deliver the Release, and such Release must become irrevocable, within 60 days of the date of termination. The Severance Benefits shall be provided promptly after the Release becomes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to the extent the 60-day period spans two calendar years and to the extent required to comply with 409A, the Severance Benefits shall be provided on the 60th day following the date of termination.</w:t>
      </w:r>
    </w:p>
    <w:p>
      <w:pPr>
        <w:spacing w:after="0" w:line="322" w:lineRule="exact"/>
        <w:rPr>
          <w:rFonts w:ascii="Arial" w:cs="Arial" w:eastAsia="Arial" w:hAnsi="Arial"/>
          <w:sz w:val="21"/>
          <w:szCs w:val="21"/>
          <w:color w:val="auto"/>
        </w:rPr>
      </w:pPr>
    </w:p>
    <w:p>
      <w:pPr>
        <w:ind w:right="20" w:firstLine="1237"/>
        <w:spacing w:after="0" w:line="287" w:lineRule="auto"/>
        <w:tabs>
          <w:tab w:leader="none" w:pos="170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No Offset</w:t>
      </w:r>
      <w:r>
        <w:rPr>
          <w:rFonts w:ascii="Arial" w:cs="Arial" w:eastAsia="Arial" w:hAnsi="Arial"/>
          <w:sz w:val="21"/>
          <w:szCs w:val="21"/>
          <w:color w:val="auto"/>
        </w:rPr>
        <w:t>. In the event of termination of your employment, you shall be under no obligation to seek other employment and there shall be no offset against</w:t>
      </w:r>
    </w:p>
    <w:p>
      <w:pPr>
        <w:sectPr>
          <w:pgSz w:w="11900" w:h="16838" w:orient="portrait"/>
          <w:cols w:equalWidth="0" w:num="1">
            <w:col w:w="11080"/>
          </w:cols>
          <w:pgMar w:left="460" w:top="1364" w:right="359" w:bottom="1440" w:gutter="0" w:footer="0" w:header="0"/>
        </w:sectPr>
      </w:pPr>
    </w:p>
    <w:bookmarkStart w:id="51" w:name="page52"/>
    <w:bookmarkEnd w:id="51"/>
    <w:p>
      <w:pPr>
        <w:jc w:val="both"/>
        <w:ind w:left="140"/>
        <w:spacing w:after="0" w:line="258" w:lineRule="auto"/>
        <w:rPr>
          <w:sz w:val="20"/>
          <w:szCs w:val="20"/>
          <w:color w:val="auto"/>
        </w:rPr>
      </w:pPr>
      <w:r>
        <w:rPr>
          <w:rFonts w:ascii="Arial" w:cs="Arial" w:eastAsia="Arial" w:hAnsi="Arial"/>
          <w:sz w:val="21"/>
          <w:szCs w:val="21"/>
          <w:color w:val="auto"/>
        </w:rPr>
        <w:t>amounts due to you on account of any remuneration or benefits provided by any subsequent employment you may obtain. The Company’s obligation to make any payment pursuant to, and otherwise to perform its obligations under, this Exhibit A shall not be affected by any offset, counterclaim or other right that the Company or any Company affiliate may have against you for any reason.</w:t>
      </w:r>
    </w:p>
    <w:p>
      <w:pPr>
        <w:spacing w:after="0" w:line="186" w:lineRule="exact"/>
        <w:rPr>
          <w:sz w:val="20"/>
          <w:szCs w:val="20"/>
          <w:color w:val="auto"/>
        </w:rPr>
      </w:pPr>
    </w:p>
    <w:p>
      <w:pPr>
        <w:ind w:left="1840" w:hanging="463"/>
        <w:spacing w:after="0"/>
        <w:tabs>
          <w:tab w:leader="none" w:pos="18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Section 280G.</w:t>
      </w:r>
    </w:p>
    <w:p>
      <w:pPr>
        <w:spacing w:after="0" w:line="236" w:lineRule="exact"/>
        <w:rPr>
          <w:sz w:val="20"/>
          <w:szCs w:val="20"/>
          <w:color w:val="auto"/>
        </w:rPr>
      </w:pPr>
    </w:p>
    <w:p>
      <w:pPr>
        <w:jc w:val="both"/>
        <w:ind w:firstLine="239"/>
        <w:spacing w:after="0" w:line="261" w:lineRule="auto"/>
        <w:rPr>
          <w:sz w:val="20"/>
          <w:szCs w:val="20"/>
          <w:color w:val="auto"/>
        </w:rPr>
      </w:pPr>
      <w:r>
        <w:rPr>
          <w:rFonts w:ascii="Arial" w:cs="Arial" w:eastAsia="Arial" w:hAnsi="Arial"/>
          <w:sz w:val="20"/>
          <w:szCs w:val="20"/>
          <w:color w:val="auto"/>
        </w:rPr>
        <w:t>Notwithstanding any other provision of this Appendix or any other plan, arrangement or agreement to the contrary, if any of the payments or benefits provided or to be provided by the Company or its affiliates to you or your benefit pursuant to the terms of this Appendix or otherwise (“</w:t>
      </w:r>
      <w:r>
        <w:rPr>
          <w:rFonts w:ascii="Arial" w:cs="Arial" w:eastAsia="Arial" w:hAnsi="Arial"/>
          <w:sz w:val="20"/>
          <w:szCs w:val="20"/>
          <w:u w:val="single" w:color="auto"/>
          <w:color w:val="auto"/>
        </w:rPr>
        <w:t>Covered Payments</w:t>
      </w:r>
      <w:r>
        <w:rPr>
          <w:rFonts w:ascii="Arial" w:cs="Arial" w:eastAsia="Arial" w:hAnsi="Arial"/>
          <w:sz w:val="20"/>
          <w:szCs w:val="20"/>
          <w:color w:val="auto"/>
        </w:rPr>
        <w:t>”) constitute “parachute payments” within the meaning of Section 280G of the Internal Revenue Code of 1986, as amended (the “Code”), and would, but for this subsection (h)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20"/>
          <w:szCs w:val="20"/>
          <w:u w:val="single" w:color="auto"/>
          <w:color w:val="auto"/>
        </w:rPr>
        <w:t>Excise Tax</w:t>
      </w:r>
      <w:r>
        <w:rPr>
          <w:rFonts w:ascii="Arial" w:cs="Arial" w:eastAsia="Arial" w:hAnsi="Arial"/>
          <w:sz w:val="20"/>
          <w:szCs w:val="20"/>
          <w:color w:val="auto"/>
        </w:rPr>
        <w:t>”), then prior to making the Covered Payments, a calculation shall be made comparing (i) the Net Benefit (as defined below) to you of the Covered Payments after payment of the Excise Tax to (ii) the Net Benefit to you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Arial" w:cs="Arial" w:eastAsia="Arial" w:hAnsi="Arial"/>
          <w:sz w:val="20"/>
          <w:szCs w:val="20"/>
          <w:u w:val="single" w:color="auto"/>
          <w:color w:val="auto"/>
        </w:rPr>
        <w:t>Net Benefit</w:t>
      </w:r>
      <w:r>
        <w:rPr>
          <w:rFonts w:ascii="Arial" w:cs="Arial" w:eastAsia="Arial" w:hAnsi="Arial"/>
          <w:sz w:val="20"/>
          <w:szCs w:val="20"/>
          <w:color w:val="auto"/>
        </w:rPr>
        <w:t>” shall mean the present value of the Covered Payments net of all federal, state, local, foreign income, employment and excise taxes. The calculation shall take into consideration all available exemptions, including to what extent (if any) to what extent (if any) such payment or benefits or portions thereof may properly be treated as “reasonable compensation for personal services rendered” by you before, or after, the Change in Control, within the meaning of Code Section 280G(b)(4) and the regulations issued thereunder, including, without limitation, the valuation of covenants that require you to refrain from performing services.</w:t>
      </w:r>
    </w:p>
    <w:p>
      <w:pPr>
        <w:spacing w:after="0" w:line="188" w:lineRule="exact"/>
        <w:rPr>
          <w:sz w:val="20"/>
          <w:szCs w:val="20"/>
          <w:color w:val="auto"/>
        </w:rPr>
      </w:pPr>
    </w:p>
    <w:p>
      <w:pPr>
        <w:jc w:val="both"/>
        <w:ind w:firstLine="250"/>
        <w:spacing w:after="0" w:line="258" w:lineRule="auto"/>
        <w:rPr>
          <w:sz w:val="20"/>
          <w:szCs w:val="20"/>
          <w:color w:val="auto"/>
        </w:rPr>
      </w:pPr>
      <w:r>
        <w:rPr>
          <w:rFonts w:ascii="Arial" w:cs="Arial" w:eastAsia="Arial" w:hAnsi="Arial"/>
          <w:sz w:val="21"/>
          <w:szCs w:val="21"/>
          <w:color w:val="auto"/>
        </w:rPr>
        <w:t>The Covered Payments shall be reduced in a manner that maximizes your economic position. In applying this principle, the reduction shall be made in a manner consistent with the requirements of 409A, and where two economically equivalent amounts are subject to reduction but payable at different times, such amounts shall be reduced on a pro rata basis but not below zero.</w:t>
      </w:r>
    </w:p>
    <w:p>
      <w:pPr>
        <w:spacing w:after="0" w:line="186" w:lineRule="exact"/>
        <w:rPr>
          <w:sz w:val="20"/>
          <w:szCs w:val="20"/>
          <w:color w:val="auto"/>
        </w:rPr>
      </w:pPr>
    </w:p>
    <w:p>
      <w:pPr>
        <w:jc w:val="both"/>
        <w:ind w:firstLine="218"/>
        <w:spacing w:after="0" w:line="251" w:lineRule="auto"/>
        <w:rPr>
          <w:sz w:val="20"/>
          <w:szCs w:val="20"/>
          <w:color w:val="auto"/>
        </w:rPr>
      </w:pPr>
      <w:r>
        <w:rPr>
          <w:rFonts w:ascii="Arial" w:cs="Arial" w:eastAsia="Arial" w:hAnsi="Arial"/>
          <w:sz w:val="21"/>
          <w:szCs w:val="21"/>
          <w:color w:val="auto"/>
        </w:rPr>
        <w:t>Any determination required under this subsection (h) shall be made in writing in good faith by an independent accounting firm selected by the Company that is reasonably acceptable to you (the “</w:t>
      </w:r>
      <w:r>
        <w:rPr>
          <w:rFonts w:ascii="Arial" w:cs="Arial" w:eastAsia="Arial" w:hAnsi="Arial"/>
          <w:sz w:val="21"/>
          <w:szCs w:val="21"/>
          <w:u w:val="single" w:color="auto"/>
          <w:color w:val="auto"/>
        </w:rPr>
        <w:t>Accountants</w:t>
      </w:r>
      <w:r>
        <w:rPr>
          <w:rFonts w:ascii="Arial" w:cs="Arial" w:eastAsia="Arial" w:hAnsi="Arial"/>
          <w:sz w:val="21"/>
          <w:szCs w:val="21"/>
          <w:color w:val="auto"/>
        </w:rPr>
        <w:t>”) which shall provide detailed supporting calculations to the Company and you as requested by the Company or you. The Company and you shall provide the Accountants with such information and documents as the Accountants may reasonably request in order to make a determination hereunder. For purposes of making the calculations and determinations</w:t>
      </w:r>
    </w:p>
    <w:p>
      <w:pPr>
        <w:sectPr>
          <w:pgSz w:w="11900" w:h="16838" w:orient="portrait"/>
          <w:cols w:equalWidth="0" w:num="1">
            <w:col w:w="11220"/>
          </w:cols>
          <w:pgMar w:left="320" w:top="1364" w:right="359" w:bottom="1440" w:gutter="0" w:footer="0" w:header="0"/>
        </w:sectPr>
      </w:pPr>
    </w:p>
    <w:bookmarkStart w:id="52" w:name="page53"/>
    <w:bookmarkEnd w:id="52"/>
    <w:p>
      <w:pPr>
        <w:jc w:val="both"/>
        <w:ind w:right="20"/>
        <w:spacing w:after="0" w:line="258" w:lineRule="auto"/>
        <w:rPr>
          <w:sz w:val="20"/>
          <w:szCs w:val="20"/>
          <w:color w:val="auto"/>
        </w:rPr>
      </w:pPr>
      <w:r>
        <w:rPr>
          <w:rFonts w:ascii="Arial" w:cs="Arial" w:eastAsia="Arial" w:hAnsi="Arial"/>
          <w:sz w:val="21"/>
          <w:szCs w:val="21"/>
          <w:color w:val="auto"/>
        </w:rPr>
        <w:t>required by this subs</w:t>
      </w:r>
      <w:r>
        <w:rPr>
          <w:rFonts w:ascii="Arial" w:cs="Arial" w:eastAsia="Arial" w:hAnsi="Arial"/>
          <w:sz w:val="21"/>
          <w:szCs w:val="21"/>
          <w:u w:val="single" w:color="auto"/>
          <w:color w:val="auto"/>
        </w:rPr>
        <w:t>ection</w:t>
      </w:r>
      <w:r>
        <w:rPr>
          <w:rFonts w:ascii="Arial" w:cs="Arial" w:eastAsia="Arial" w:hAnsi="Arial"/>
          <w:sz w:val="21"/>
          <w:szCs w:val="21"/>
          <w:color w:val="auto"/>
        </w:rPr>
        <w:t xml:space="preserve">, the Accountants may rely on reasonable, good faith assumptions and approximations concerning the application of Section 280G and Section 4999 of the Code. The Accountants’ determinations shall be final and binding on the Company and you. The Company shall be responsible for all reasonable and customary fees and expenses incurred by the Accountants in connection with the calculations required by this </w:t>
      </w:r>
      <w:r>
        <w:rPr>
          <w:rFonts w:ascii="Arial" w:cs="Arial" w:eastAsia="Arial" w:hAnsi="Arial"/>
          <w:sz w:val="21"/>
          <w:szCs w:val="21"/>
          <w:u w:val="single" w:color="auto"/>
          <w:color w:val="auto"/>
        </w:rPr>
        <w:t>subsection</w:t>
      </w:r>
      <w:r>
        <w:rPr>
          <w:rFonts w:ascii="Arial" w:cs="Arial" w:eastAsia="Arial" w:hAnsi="Arial"/>
          <w:sz w:val="21"/>
          <w:szCs w:val="21"/>
          <w:color w:val="auto"/>
        </w:rPr>
        <w:t>.</w:t>
      </w:r>
    </w:p>
    <w:p>
      <w:pPr>
        <w:spacing w:after="0" w:line="186" w:lineRule="exact"/>
        <w:rPr>
          <w:sz w:val="20"/>
          <w:szCs w:val="20"/>
          <w:color w:val="auto"/>
        </w:rPr>
      </w:pPr>
    </w:p>
    <w:p>
      <w:pPr>
        <w:jc w:val="both"/>
        <w:ind w:left="140" w:right="20" w:firstLine="1237"/>
        <w:spacing w:after="0" w:line="252" w:lineRule="auto"/>
        <w:tabs>
          <w:tab w:leader="none" w:pos="1856" w:val="left"/>
        </w:tabs>
        <w:numPr>
          <w:ilvl w:val="0"/>
          <w:numId w:val="32"/>
        </w:numPr>
        <w:rPr>
          <w:rFonts w:ascii="Arial" w:cs="Arial" w:eastAsia="Arial" w:hAnsi="Arial"/>
          <w:sz w:val="21"/>
          <w:szCs w:val="21"/>
          <w:color w:val="auto"/>
        </w:rPr>
      </w:pPr>
      <w:r>
        <w:rPr>
          <w:rFonts w:ascii="Arial" w:cs="Arial" w:eastAsia="Arial" w:hAnsi="Arial"/>
          <w:sz w:val="21"/>
          <w:szCs w:val="21"/>
          <w:color w:val="auto"/>
        </w:rPr>
        <w:t>Governing Law. This Appendix and, the rights, and obligations of the parties hereto, and any claims or disputes relating thereto, shall be governed by and construed in accordance with the laws of the State of Arizona (but not including any choice of law rule thereof that would cause the laws of another jurisdiction to apply). In the event of a dispute concerning or arising out of this Appendix the prevailing party (meaning the party who received substantially all of the relief sought) in such action will be reimbursed by the other party for all costs (including, without limitation, reasonable attorneys’ fees) incurred in connection with any such action.</w:t>
      </w:r>
    </w:p>
    <w:p>
      <w:pPr>
        <w:spacing w:after="0" w:line="193" w:lineRule="exact"/>
        <w:rPr>
          <w:rFonts w:ascii="Arial" w:cs="Arial" w:eastAsia="Arial" w:hAnsi="Arial"/>
          <w:sz w:val="21"/>
          <w:szCs w:val="21"/>
          <w:color w:val="auto"/>
        </w:rPr>
      </w:pPr>
    </w:p>
    <w:p>
      <w:pPr>
        <w:jc w:val="both"/>
        <w:ind w:left="140" w:right="20" w:firstLine="1237"/>
        <w:spacing w:after="0" w:line="250" w:lineRule="auto"/>
        <w:tabs>
          <w:tab w:leader="none" w:pos="185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Effect on Other Agreements</w:t>
      </w:r>
      <w:r>
        <w:rPr>
          <w:rFonts w:ascii="Arial" w:cs="Arial" w:eastAsia="Arial" w:hAnsi="Arial"/>
          <w:sz w:val="21"/>
          <w:szCs w:val="21"/>
          <w:color w:val="auto"/>
        </w:rPr>
        <w:t>. The provisions hereof shall supersede the terms of any written plan, policy, agreement, award or other arrangement of the Company (an “Other Agreement”) to the extent application of the terms of this Appendix is more favorable to you. In no event, however, shall you be entitled to duplicative benefits under this Appendix and under an Other Agreement. Further, in the event that the Company reasonably determines that it is unclear whether the provisions hereof or the provisions of an Other Agreement would result in more favorable treatment to you, then the provisions hereof shall control. All amounts or benefits provided hereunder shall be subject to the Company’s compensation recoupment (clawback) policy, as in effect from time to time.</w:t>
      </w:r>
    </w:p>
    <w:p>
      <w:pPr>
        <w:spacing w:after="0" w:line="198" w:lineRule="exact"/>
        <w:rPr>
          <w:rFonts w:ascii="Arial" w:cs="Arial" w:eastAsia="Arial" w:hAnsi="Arial"/>
          <w:sz w:val="21"/>
          <w:szCs w:val="21"/>
          <w:color w:val="auto"/>
        </w:rPr>
      </w:pPr>
    </w:p>
    <w:p>
      <w:pPr>
        <w:ind w:left="1840" w:hanging="463"/>
        <w:spacing w:after="0"/>
        <w:tabs>
          <w:tab w:leader="none" w:pos="184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36" w:lineRule="exact"/>
        <w:rPr>
          <w:sz w:val="20"/>
          <w:szCs w:val="20"/>
          <w:color w:val="auto"/>
        </w:rPr>
      </w:pPr>
    </w:p>
    <w:p>
      <w:pPr>
        <w:ind w:firstLine="61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Accrued Benefits</w:t>
      </w:r>
      <w:r>
        <w:rPr>
          <w:rFonts w:ascii="Arial" w:cs="Arial" w:eastAsia="Arial" w:hAnsi="Arial"/>
          <w:sz w:val="21"/>
          <w:szCs w:val="21"/>
          <w:color w:val="auto"/>
        </w:rPr>
        <w:t>” means (i) base salary through the date of termination; (ii) any earned but unpaid STIP bonus for the fiscal year ending prior to the date of termination; (iii) any amounts owing to you for reimbursement of expenses properly incurred by you prior to the date of termination and which are reimbursable in accordance with Company policy; and (iv) any other benefits or amounts due and owing to you under the terms of any plan, program or arrangement of the Company. Amounts payable pursuant to clause (i) shall be paid promptly after the date of termination and all other amounts will be paid in accordance with the terms of the applicable plan, program or arrangement (as modified herein).</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means the Board of Directors of the Company.</w:t>
      </w:r>
    </w:p>
    <w:p>
      <w:pPr>
        <w:spacing w:after="0" w:line="236" w:lineRule="exact"/>
        <w:rPr>
          <w:sz w:val="20"/>
          <w:szCs w:val="20"/>
          <w:color w:val="auto"/>
        </w:rPr>
      </w:pPr>
    </w:p>
    <w:p>
      <w:pPr>
        <w:ind w:right="220" w:firstLine="619"/>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(i) your conviction of, or plea of nolo contendere to, a felony (other than in connection with a traffic violation) under any state or federal law, the circumstances of which are substantially related to your duties or responsibilities; (ii) your failure to substantially perform your essential job functions; (iii) your commission of</w:t>
      </w:r>
    </w:p>
    <w:p>
      <w:pPr>
        <w:sectPr>
          <w:pgSz w:w="11900" w:h="16838" w:orient="portrait"/>
          <w:cols w:equalWidth="0" w:num="1">
            <w:col w:w="11240"/>
          </w:cols>
          <w:pgMar w:left="320" w:top="1364" w:right="339" w:bottom="1440" w:gutter="0" w:footer="0" w:header="0"/>
        </w:sectPr>
      </w:pPr>
    </w:p>
    <w:bookmarkStart w:id="53" w:name="page54"/>
    <w:bookmarkEnd w:id="53"/>
    <w:p>
      <w:pPr>
        <w:ind w:right="80"/>
        <w:spacing w:after="0" w:line="258" w:lineRule="auto"/>
        <w:rPr>
          <w:sz w:val="20"/>
          <w:szCs w:val="20"/>
          <w:color w:val="auto"/>
        </w:rPr>
      </w:pPr>
      <w:r>
        <w:rPr>
          <w:rFonts w:ascii="Arial" w:cs="Arial" w:eastAsia="Arial" w:hAnsi="Arial"/>
          <w:sz w:val="21"/>
          <w:szCs w:val="21"/>
          <w:color w:val="auto"/>
        </w:rPr>
        <w:t>an act of fraud or material misconduct with respect to the Company or an affiliate thereof; (iv) any material misconduct that could be reasonably expected to damage the reputation or business of the Company; or (v) your violation of a material written policy of the Company.</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w:t>
      </w:r>
      <w:r>
        <w:rPr>
          <w:rFonts w:ascii="Arial" w:cs="Arial" w:eastAsia="Arial" w:hAnsi="Arial"/>
          <w:sz w:val="21"/>
          <w:szCs w:val="21"/>
          <w:color w:val="auto"/>
        </w:rPr>
        <w:t>” means the occurrence of any one of the following events:</w:t>
      </w:r>
    </w:p>
    <w:p>
      <w:pPr>
        <w:spacing w:after="0" w:line="132" w:lineRule="exact"/>
        <w:rPr>
          <w:sz w:val="20"/>
          <w:szCs w:val="20"/>
          <w:color w:val="auto"/>
        </w:rPr>
      </w:pPr>
    </w:p>
    <w:p>
      <w:pPr>
        <w:jc w:val="both"/>
        <w:ind w:left="560" w:firstLine="421"/>
        <w:spacing w:after="0" w:line="249" w:lineRule="auto"/>
        <w:tabs>
          <w:tab w:leader="none" w:pos="1228"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“person” (as such term is defined in the Securities Exchange Act of 1934, as amended (the “</w:t>
      </w:r>
      <w:r>
        <w:rPr>
          <w:rFonts w:ascii="Arial" w:cs="Arial" w:eastAsia="Arial" w:hAnsi="Arial"/>
          <w:sz w:val="21"/>
          <w:szCs w:val="21"/>
          <w:u w:val="single" w:color="auto"/>
          <w:color w:val="auto"/>
        </w:rPr>
        <w:t>Exchange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 xml:space="preserve">”) and as used in Sections 13(d)(3) and 14(d)(2) of the Exchange Act) is or becomes a “beneficial owner” (as defined in Rule 13d-3 under the Exchange Act), directly or indirectly, of securities of the Company representing 35% or more of the combined voting power of the Company’s then outstanding securities eligible to vote for the election of the Board (the “Company </w:t>
      </w:r>
      <w:r>
        <w:rPr>
          <w:rFonts w:ascii="Arial" w:cs="Arial" w:eastAsia="Arial" w:hAnsi="Arial"/>
          <w:sz w:val="21"/>
          <w:szCs w:val="21"/>
          <w:u w:val="single" w:color="auto"/>
          <w:color w:val="auto"/>
        </w:rPr>
        <w:t>Voting Securities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Board approves in advance the acquisition of beneficial ownership of 35% or more of Company Voting Securities by such person;</w:t>
      </w:r>
    </w:p>
    <w:p>
      <w:pPr>
        <w:spacing w:after="0" w:line="196" w:lineRule="exact"/>
        <w:rPr>
          <w:sz w:val="20"/>
          <w:szCs w:val="20"/>
          <w:color w:val="auto"/>
        </w:rPr>
      </w:pPr>
    </w:p>
    <w:p>
      <w:pPr>
        <w:jc w:val="both"/>
        <w:ind w:left="560" w:firstLine="420"/>
        <w:spacing w:after="0" w:line="260" w:lineRule="auto"/>
        <w:rPr>
          <w:sz w:val="20"/>
          <w:szCs w:val="20"/>
          <w:color w:val="auto"/>
        </w:rPr>
      </w:pPr>
      <w:r>
        <w:rPr>
          <w:rFonts w:ascii="Arial" w:cs="Arial" w:eastAsia="Arial" w:hAnsi="Arial"/>
          <w:sz w:val="20"/>
          <w:szCs w:val="20"/>
          <w:color w:val="auto"/>
        </w:rPr>
        <w:t>(ii)The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Combination</w:t>
      </w:r>
      <w:r>
        <w:rPr>
          <w:rFonts w:ascii="Arial" w:cs="Arial" w:eastAsia="Arial" w:hAnsi="Arial"/>
          <w:sz w:val="20"/>
          <w:szCs w:val="20"/>
          <w:color w:val="auto"/>
        </w:rPr>
        <w:t>”), unless immediately following such Business Combination: (A) more than 50% of the total voting power of (1) the corporation resulting from such Business Combination (the “</w:t>
      </w:r>
      <w:r>
        <w:rPr>
          <w:rFonts w:ascii="Arial" w:cs="Arial" w:eastAsia="Arial" w:hAnsi="Arial"/>
          <w:sz w:val="20"/>
          <w:szCs w:val="20"/>
          <w:u w:val="single" w:color="auto"/>
          <w:color w:val="auto"/>
        </w:rPr>
        <w:t>Surviving Corporation</w:t>
      </w:r>
      <w:r>
        <w:rPr>
          <w:rFonts w:ascii="Arial" w:cs="Arial" w:eastAsia="Arial" w:hAnsi="Arial"/>
          <w:sz w:val="20"/>
          <w:szCs w:val="20"/>
          <w:color w:val="auto"/>
        </w:rPr>
        <w:t>”), or (2) if applicable, the ultimate parent corporation that directly or indirectly has beneficial ownership of 100% of the voting securities eligible to elect directors of the Surviving Corporation (the “</w:t>
      </w:r>
      <w:r>
        <w:rPr>
          <w:rFonts w:ascii="Arial" w:cs="Arial" w:eastAsia="Arial" w:hAnsi="Arial"/>
          <w:sz w:val="20"/>
          <w:szCs w:val="20"/>
          <w:u w:val="single" w:color="auto"/>
          <w:color w:val="auto"/>
        </w:rPr>
        <w:t>Parent Corporation</w:t>
      </w:r>
      <w:r>
        <w:rPr>
          <w:rFonts w:ascii="Arial" w:cs="Arial" w:eastAsia="Arial" w:hAnsi="Arial"/>
          <w:sz w:val="20"/>
          <w:szCs w:val="20"/>
          <w:color w:val="auto"/>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w:t>
      </w:r>
    </w:p>
    <w:p>
      <w:pPr>
        <w:spacing w:after="0" w:line="7" w:lineRule="exact"/>
        <w:rPr>
          <w:sz w:val="20"/>
          <w:szCs w:val="20"/>
          <w:color w:val="auto"/>
        </w:rPr>
      </w:pPr>
    </w:p>
    <w:p>
      <w:pPr>
        <w:jc w:val="both"/>
        <w:ind w:left="560" w:firstLine="1"/>
        <w:spacing w:after="0" w:line="248" w:lineRule="auto"/>
        <w:tabs>
          <w:tab w:leader="none" w:pos="922"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w:t>
      </w:r>
    </w:p>
    <w:p>
      <w:pPr>
        <w:sectPr>
          <w:pgSz w:w="11900" w:h="16838" w:orient="portrait"/>
          <w:cols w:equalWidth="0" w:num="1">
            <w:col w:w="11220"/>
          </w:cols>
          <w:pgMar w:left="320" w:top="1364" w:right="359" w:bottom="1440" w:gutter="0" w:footer="0" w:header="0"/>
        </w:sectPr>
      </w:pPr>
    </w:p>
    <w:bookmarkStart w:id="54" w:name="page55"/>
    <w:bookmarkEnd w:id="54"/>
    <w:p>
      <w:pPr>
        <w:jc w:val="both"/>
        <w:ind w:left="480" w:right="20"/>
        <w:spacing w:after="0" w:line="254" w:lineRule="auto"/>
        <w:rPr>
          <w:sz w:val="20"/>
          <w:szCs w:val="20"/>
          <w:color w:val="auto"/>
        </w:rPr>
      </w:pPr>
      <w:r>
        <w:rPr>
          <w:rFonts w:ascii="Arial" w:cs="Arial" w:eastAsia="Arial" w:hAnsi="Arial"/>
          <w:sz w:val="21"/>
          <w:szCs w:val="21"/>
          <w:color w:val="auto"/>
        </w:rPr>
        <w:t>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21"/>
          <w:szCs w:val="21"/>
          <w:u w:val="single" w:color="auto"/>
          <w:color w:val="auto"/>
        </w:rPr>
        <w:t>Non</w:t>
      </w:r>
      <w:r>
        <w:rPr>
          <w:rFonts w:ascii="Arial" w:cs="Arial" w:eastAsia="Arial" w:hAnsi="Arial"/>
          <w:sz w:val="21"/>
          <w:szCs w:val="21"/>
          <w:b w:val="1"/>
          <w:bCs w:val="1"/>
          <w:u w:val="single" w:color="auto"/>
          <w:color w:val="auto"/>
        </w:rPr>
        <w:t>-</w:t>
      </w:r>
      <w:r>
        <w:rPr>
          <w:rFonts w:ascii="Arial" w:cs="Arial" w:eastAsia="Arial" w:hAnsi="Arial"/>
          <w:sz w:val="21"/>
          <w:szCs w:val="21"/>
          <w:u w:val="single" w:color="auto"/>
          <w:color w:val="auto"/>
        </w:rPr>
        <w:t>Qualifying Transaction</w:t>
      </w:r>
      <w:r>
        <w:rPr>
          <w:rFonts w:ascii="Arial" w:cs="Arial" w:eastAsia="Arial" w:hAnsi="Arial"/>
          <w:sz w:val="21"/>
          <w:szCs w:val="21"/>
          <w:color w:val="auto"/>
        </w:rPr>
        <w:t>”); or</w:t>
      </w:r>
    </w:p>
    <w:p>
      <w:pPr>
        <w:spacing w:after="0" w:line="192" w:lineRule="exact"/>
        <w:rPr>
          <w:sz w:val="20"/>
          <w:szCs w:val="20"/>
          <w:color w:val="auto"/>
        </w:rPr>
      </w:pPr>
    </w:p>
    <w:p>
      <w:pPr>
        <w:ind w:left="480" w:right="20" w:firstLine="421"/>
        <w:spacing w:after="0" w:line="274" w:lineRule="auto"/>
        <w:tabs>
          <w:tab w:leader="none" w:pos="1768"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consummation of a sale of all or substantially all of the Company’s assets or the stockholders of the Company approve a plan of complete liquidation or dissolution of the Company.</w:t>
      </w:r>
    </w:p>
    <w:p>
      <w:pPr>
        <w:spacing w:after="0" w:line="312"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 xml:space="preserve">Notwithstanding the foregoing, a Change in Control shall not be deemed to occur solely because any person acquires beneficial ownership of more than 35% of the Company Voting Securities as a result of the acquisition of Company Voting Securities by the Company which reduces the number of Company Voting Securities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193"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you shall have been substantially unable to perform your material duties for the Company by reason of illness, physical or mental disability or other similar incapacity, which inability shall continue for 180 consecutive days or 270 days in any 24-month period.</w:t>
      </w:r>
    </w:p>
    <w:p>
      <w:pPr>
        <w:spacing w:after="0" w:line="201" w:lineRule="exact"/>
        <w:rPr>
          <w:sz w:val="20"/>
          <w:szCs w:val="20"/>
          <w:color w:val="auto"/>
        </w:rPr>
      </w:pPr>
    </w:p>
    <w:p>
      <w:pPr>
        <w:jc w:val="both"/>
        <w:ind w:firstLine="54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Good Reason</w:t>
      </w:r>
      <w:r>
        <w:rPr>
          <w:rFonts w:ascii="Arial" w:cs="Arial" w:eastAsia="Arial" w:hAnsi="Arial"/>
          <w:sz w:val="21"/>
          <w:szCs w:val="21"/>
          <w:color w:val="auto"/>
        </w:rPr>
        <w:t>” means, unless otherwise agreed to in writing by you, (i) any material diminution or adverse change in your title(s) or reporting to other than the Chief Executive Officer; (ii) a reduction in your base salary or target STIP bonus; (iii) a failure to grant you, in any consecutive 12 month period, long term incentive equity awards having a grant date fair value (as determined by the Committee in good faith) of at least $1,000,000; (iv) a material diminution in your authority, responsibilities or duties or material interference with your carrying out your duties; (v) the assignment of duties inconsistent with your position or status with the Company as of your start date; (vi) a relocation of your primary place of employment to a location more than 75 miles from the Company’s executive headquarters; or (vii) any action or inaction by the Company that constitutes a material breach of the terms of this offer letter. In order to invoke a termination for Good Reason, (A) you must give written notice to the Chief Executive Officer of the occurrence of an event of Good Reason within 60 days of its occurrence, (B) the Company must fail to cure such event within 30 days of such notice, and (C) you must terminate employment within 10 days of the expiration of such cure period.</w:t>
      </w:r>
    </w:p>
    <w:p>
      <w:pPr>
        <w:sectPr>
          <w:pgSz w:w="11900" w:h="16838" w:orient="portrait"/>
          <w:cols w:equalWidth="0" w:num="1">
            <w:col w:w="11160"/>
          </w:cols>
          <w:pgMar w:left="400" w:top="1364" w:right="339" w:bottom="1440" w:gutter="0" w:footer="0" w:header="0"/>
        </w:sectPr>
      </w:pPr>
    </w:p>
    <w:bookmarkStart w:id="55" w:name="page56"/>
    <w:bookmarkEnd w:id="55"/>
    <w:p>
      <w:pPr>
        <w:spacing w:after="0" w:line="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SEPARATION AND RELEASE AGREEMENT</w:t>
      </w:r>
    </w:p>
    <w:p>
      <w:pPr>
        <w:spacing w:after="0" w:line="125" w:lineRule="exact"/>
        <w:rPr>
          <w:sz w:val="20"/>
          <w:szCs w:val="20"/>
          <w:color w:val="auto"/>
        </w:rPr>
      </w:pPr>
    </w:p>
    <w:p>
      <w:pPr>
        <w:jc w:val="both"/>
        <w:ind w:firstLine="619"/>
        <w:spacing w:after="0" w:line="281" w:lineRule="auto"/>
        <w:rPr>
          <w:sz w:val="20"/>
          <w:szCs w:val="20"/>
          <w:color w:val="auto"/>
        </w:rPr>
      </w:pPr>
      <w:r>
        <w:rPr>
          <w:rFonts w:ascii="Times New Roman" w:cs="Times New Roman" w:eastAsia="Times New Roman" w:hAnsi="Times New Roman"/>
          <w:sz w:val="17"/>
          <w:szCs w:val="17"/>
          <w:color w:val="auto"/>
        </w:rPr>
        <w:t>This Separation and Release Agreement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between Sally J. Shanks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and WillScot Holdings Corporation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(hereinafter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 and is entered into this 19th day of July 2025. This Agreement will not become effective until the expiration of seven (7) days from Employee’s execution of this Agreement, provided Employee has not revoked this Agreement by such time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151" w:lineRule="exact"/>
        <w:rPr>
          <w:sz w:val="20"/>
          <w:szCs w:val="20"/>
          <w:color w:val="auto"/>
        </w:rPr>
      </w:pPr>
    </w:p>
    <w:p>
      <w:pPr>
        <w:jc w:val="both"/>
        <w:ind w:right="20" w:firstLine="619"/>
        <w:spacing w:after="0" w:line="294" w:lineRule="auto"/>
        <w:rPr>
          <w:sz w:val="20"/>
          <w:szCs w:val="20"/>
          <w:color w:val="auto"/>
        </w:rPr>
      </w:pPr>
      <w:r>
        <w:rPr>
          <w:rFonts w:ascii="Times New Roman" w:cs="Times New Roman" w:eastAsia="Times New Roman" w:hAnsi="Times New Roman"/>
          <w:sz w:val="17"/>
          <w:szCs w:val="17"/>
          <w:color w:val="auto"/>
        </w:rPr>
        <w:t xml:space="preserve">WHEREAS, Employee has been employed by Company and is a party to that certain Amended Offer Letter dated March 18, 2019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Letter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WHEREAS, Employee’s employment with Company is terminating effective August 15, 2025 or such earlier or later date as the parties agree resulting in the Employee exiting the Company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WHEREAS, Company and Employee desire to avoid disputes and/or litigation regarding Employee’s termination from employment or any events or circumstances preceding or coincident with the termination from employment;</w:t>
      </w:r>
    </w:p>
    <w:p>
      <w:pPr>
        <w:spacing w:after="0" w:line="151" w:lineRule="exact"/>
        <w:rPr>
          <w:sz w:val="20"/>
          <w:szCs w:val="20"/>
          <w:color w:val="auto"/>
        </w:rPr>
      </w:pPr>
    </w:p>
    <w:p>
      <w:pPr>
        <w:jc w:val="both"/>
        <w:ind w:right="20" w:firstLine="619"/>
        <w:spacing w:after="0" w:line="287" w:lineRule="auto"/>
        <w:rPr>
          <w:sz w:val="20"/>
          <w:szCs w:val="20"/>
          <w:color w:val="auto"/>
        </w:rPr>
      </w:pPr>
      <w:r>
        <w:rPr>
          <w:rFonts w:ascii="Times New Roman" w:cs="Times New Roman" w:eastAsia="Times New Roman" w:hAnsi="Times New Roman"/>
          <w:sz w:val="17"/>
          <w:szCs w:val="17"/>
          <w:color w:val="auto"/>
        </w:rPr>
        <w:t>WHEREAS, Company and Employee have agreed upon the terms on which Employee is willing, for sufficient and lawful consideration, to compromise any claims known and unknown which Employee may have against Company; and</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in consideration of these recitals and the promises and agreements set forth in this Agreement, Employee’s employment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will terminate upon the following terms:</w:t>
      </w:r>
    </w:p>
    <w:p>
      <w:pPr>
        <w:spacing w:after="0" w:line="200" w:lineRule="exact"/>
        <w:rPr>
          <w:sz w:val="20"/>
          <w:szCs w:val="20"/>
          <w:color w:val="auto"/>
        </w:rPr>
      </w:pPr>
    </w:p>
    <w:p>
      <w:pPr>
        <w:jc w:val="both"/>
        <w:ind w:left="480" w:firstLine="621"/>
        <w:spacing w:after="0" w:line="256" w:lineRule="auto"/>
        <w:tabs>
          <w:tab w:leader="none" w:pos="17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Release</w:t>
      </w:r>
      <w:r>
        <w:rPr>
          <w:rFonts w:ascii="Times New Roman" w:cs="Times New Roman" w:eastAsia="Times New Roman" w:hAnsi="Times New Roman"/>
          <w:sz w:val="17"/>
          <w:szCs w:val="17"/>
          <w:color w:val="auto"/>
        </w:rPr>
        <w:t>: Employee for himself or herself and on behalf of Employee’s attorneys heirs, assigns, successors, executors, and administrators, each in their capacity as such, and to the extent allowed by law,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arising out of Employee’s employment relationship with the Company,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Maryland Fair Employment Practices Act, the Maryland Health Care Worker Whistleblower Protection Act, the Maryland False Claims Act, the Maryland Parental Leave Act, the Maryland Healthy Working Families Act, or any other municipal, local, state, or federal law, common or statutory.</w:t>
      </w:r>
    </w:p>
    <w:p>
      <w:pPr>
        <w:spacing w:after="0" w:line="182"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this Agreement does not waive any claims or rights: (i) that may arise after the date on which Employee signs this Agreement, including the right to enforce this Agreement; (ii) that cannot be released as a matter of law, including Employee’s rights to COBRA, workers compensation, and unemployment insurance (the application for which shall not be contested by Company); and/or (iii) to accrued, vested benefits under any employee benefit, stock, savings, insurance, or pension plan of Company.</w:t>
      </w:r>
    </w:p>
    <w:p>
      <w:pPr>
        <w:sectPr>
          <w:pgSz w:w="11900" w:h="16838" w:orient="portrait"/>
          <w:cols w:equalWidth="0" w:num="1">
            <w:col w:w="11080"/>
          </w:cols>
          <w:pgMar w:left="460" w:top="1440" w:right="359" w:bottom="1440" w:gutter="0" w:footer="0" w:header="0"/>
        </w:sectPr>
      </w:pPr>
    </w:p>
    <w:bookmarkStart w:id="56" w:name="page57"/>
    <w:bookmarkEnd w:id="56"/>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Furthermore, nothing in this Agreement shall apply to, modify or in any way supersede obligations arising from any of (x) the terms of directors and officers insurance and/or (y) any indemnification agreement for the benefit of Employee as a result of Employee’s position as a director or officer of Company or one of its affiliates.</w:t>
      </w:r>
    </w:p>
    <w:p>
      <w:pPr>
        <w:spacing w:after="0" w:line="16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Company, parents, subsidiaries, affiliated and related corporations, firms, and associations, partnerships, and entities, and their successors and assigns, each in their capacity as such, irrevocably and unconditionally release, acquits, and forever discharges Employee from any and all claims and causes of action whatsoever, whether known or unknown, arising out of Employee’s relationship with Company.</w:t>
      </w:r>
    </w:p>
    <w:p>
      <w:pPr>
        <w:spacing w:after="0" w:line="165" w:lineRule="exact"/>
        <w:rPr>
          <w:sz w:val="20"/>
          <w:szCs w:val="20"/>
          <w:color w:val="auto"/>
        </w:rPr>
      </w:pPr>
    </w:p>
    <w:p>
      <w:pPr>
        <w:jc w:val="both"/>
        <w:ind w:right="20" w:firstLine="621"/>
        <w:spacing w:after="0" w:line="257" w:lineRule="auto"/>
        <w:tabs>
          <w:tab w:leader="none" w:pos="123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 Not to Sue</w:t>
      </w:r>
      <w:r>
        <w:rPr>
          <w:rFonts w:ascii="Times New Roman" w:cs="Times New Roman" w:eastAsia="Times New Roman" w:hAnsi="Times New Roman"/>
          <w:sz w:val="17"/>
          <w:szCs w:val="17"/>
          <w:color w:val="auto"/>
        </w:rPr>
        <w:t>: Employee also COVENANTS NOT TO SUE, OR OTHERWISE PARTICIPATE IN ANY ACTION OR CLASS ACTION against Company or any of the released parties based upon any of the claims released in this Agreement. Further, Employee hereby waives the right to recover any damages or benefits in any proceeding Employee may bring before the Equal Employment Opportunity Commission (the “</w:t>
      </w:r>
      <w:r>
        <w:rPr>
          <w:rFonts w:ascii="Times New Roman" w:cs="Times New Roman" w:eastAsia="Times New Roman" w:hAnsi="Times New Roman"/>
          <w:sz w:val="17"/>
          <w:szCs w:val="17"/>
          <w:b w:val="1"/>
          <w:bCs w:val="1"/>
          <w:i w:val="1"/>
          <w:iCs w:val="1"/>
          <w:color w:val="auto"/>
        </w:rPr>
        <w:t>EEOC</w:t>
      </w:r>
      <w:r>
        <w:rPr>
          <w:rFonts w:ascii="Times New Roman" w:cs="Times New Roman" w:eastAsia="Times New Roman" w:hAnsi="Times New Roman"/>
          <w:sz w:val="17"/>
          <w:szCs w:val="17"/>
          <w:color w:val="auto"/>
        </w:rPr>
        <w:t>”), any state human rights commission, or any other governmental agency or entity or in any proceeding brought by the EEOC, any state human rights commission, or any other governmental agency or entity on Employee’s behalf with respect to any claim released in this Agreement. Notwithstanding the foregoing, Employee shall not be considered in breach of this provision with respect to any of the following: Employee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w:t>
      </w:r>
    </w:p>
    <w:p>
      <w:pPr>
        <w:spacing w:after="0" w:line="175" w:lineRule="exact"/>
        <w:rPr>
          <w:rFonts w:ascii="Times New Roman" w:cs="Times New Roman" w:eastAsia="Times New Roman" w:hAnsi="Times New Roman"/>
          <w:sz w:val="17"/>
          <w:szCs w:val="17"/>
          <w:color w:val="auto"/>
        </w:rPr>
      </w:pPr>
    </w:p>
    <w:p>
      <w:pPr>
        <w:jc w:val="both"/>
        <w:ind w:right="20" w:firstLine="621"/>
        <w:spacing w:after="0" w:line="264" w:lineRule="auto"/>
        <w:tabs>
          <w:tab w:leader="none" w:pos="123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Terms</w:t>
      </w:r>
      <w:r>
        <w:rPr>
          <w:rFonts w:ascii="Times New Roman" w:cs="Times New Roman" w:eastAsia="Times New Roman" w:hAnsi="Times New Roman"/>
          <w:sz w:val="17"/>
          <w:szCs w:val="17"/>
          <w:color w:val="auto"/>
        </w:rPr>
        <w:t xml:space="preserve">: Upon the expiration of seven (7) days from Employee’s execution of this Agreement, provided that this Agreement has become effective in accordance with its terms, and in consideration for the promises, covenants, agreements, and releases set forth herein, including but not limited to Employee’s compliance with the provisions set forth on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attached hereto, Company agrees to pay or provide Employee the following benefits (collectively, the “</w:t>
      </w:r>
      <w:r>
        <w:rPr>
          <w:rFonts w:ascii="Times New Roman" w:cs="Times New Roman" w:eastAsia="Times New Roman" w:hAnsi="Times New Roman"/>
          <w:sz w:val="17"/>
          <w:szCs w:val="17"/>
          <w:b w:val="1"/>
          <w:bCs w:val="1"/>
          <w:i w:val="1"/>
          <w:iCs w:val="1"/>
          <w:color w:val="auto"/>
        </w:rPr>
        <w:t>Severance Benefits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621"/>
        <w:spacing w:after="0" w:line="233" w:lineRule="auto"/>
        <w:tabs>
          <w:tab w:leader="none" w:pos="122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in the gross amount of US $548,990 (which represents ten months of base salary plus Short-Term Incentive Plan (STIP) bonus at target), which shall be paid within twenty (20) calendar days after the Termination Date provided the Second Release as included in Exhibit A (the “</w:t>
      </w:r>
      <w:r>
        <w:rPr>
          <w:rFonts w:ascii="Times New Roman" w:cs="Times New Roman" w:eastAsia="Times New Roman" w:hAnsi="Times New Roman"/>
          <w:sz w:val="17"/>
          <w:szCs w:val="17"/>
          <w:b w:val="1"/>
          <w:bCs w:val="1"/>
          <w:i w:val="1"/>
          <w:iCs w:val="1"/>
          <w:color w:val="auto"/>
        </w:rPr>
        <w:t>Second Release</w:t>
      </w:r>
      <w:r>
        <w:rPr>
          <w:rFonts w:ascii="Times New Roman" w:cs="Times New Roman" w:eastAsia="Times New Roman" w:hAnsi="Times New Roman"/>
          <w:sz w:val="17"/>
          <w:szCs w:val="17"/>
          <w:color w:val="auto"/>
        </w:rPr>
        <w:t>”) has been executed and the seven (7) day revocation period has expired, less applicable withholding taxes; and</w:t>
      </w:r>
    </w:p>
    <w:p>
      <w:pPr>
        <w:spacing w:after="0" w:line="152" w:lineRule="exact"/>
        <w:rPr>
          <w:rFonts w:ascii="Times New Roman" w:cs="Times New Roman" w:eastAsia="Times New Roman" w:hAnsi="Times New Roman"/>
          <w:sz w:val="17"/>
          <w:szCs w:val="17"/>
          <w:color w:val="auto"/>
        </w:rPr>
      </w:pPr>
    </w:p>
    <w:p>
      <w:pPr>
        <w:jc w:val="both"/>
        <w:ind w:firstLine="621"/>
        <w:spacing w:after="0" w:line="226" w:lineRule="auto"/>
        <w:tabs>
          <w:tab w:leader="none" w:pos="123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Seven and one half months (7.5/12, or (62.5%)) of the STIP bonus that Employee would have been entitled to receive for fiscal year 2025 had employment continued representing 7.5 months of prorated bonus, based on the level of achievement of the H1 EBITDA performance goal, which shall be paid within twenty (20) calendar days after the Termination Date provided the Second Release has been executed and the seven (7) day revocation period has expired, less applicable withholding taxes; and</w:t>
      </w:r>
    </w:p>
    <w:p>
      <w:pPr>
        <w:spacing w:after="0" w:line="153" w:lineRule="exact"/>
        <w:rPr>
          <w:rFonts w:ascii="Times New Roman" w:cs="Times New Roman" w:eastAsia="Times New Roman" w:hAnsi="Times New Roman"/>
          <w:sz w:val="17"/>
          <w:szCs w:val="17"/>
          <w:color w:val="auto"/>
        </w:rPr>
      </w:pPr>
    </w:p>
    <w:p>
      <w:pPr>
        <w:jc w:val="both"/>
        <w:ind w:firstLine="621"/>
        <w:spacing w:after="0" w:line="233" w:lineRule="auto"/>
        <w:tabs>
          <w:tab w:leader="none" w:pos="122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in the gross amount of US $1,070 (which represents twelve months of employer contributions towards the dental coverage that the Employee has in effect at such time), which shall be paid within twenty (20) calendar days after the Termination Date provided the Second Release has been executed and the seven (7) day revocation period has expired, less applicable withholding taxes; and</w:t>
      </w:r>
    </w:p>
    <w:p>
      <w:pPr>
        <w:spacing w:after="0" w:line="152" w:lineRule="exact"/>
        <w:rPr>
          <w:rFonts w:ascii="Times New Roman" w:cs="Times New Roman" w:eastAsia="Times New Roman" w:hAnsi="Times New Roman"/>
          <w:sz w:val="17"/>
          <w:szCs w:val="17"/>
          <w:color w:val="auto"/>
        </w:rPr>
      </w:pPr>
    </w:p>
    <w:p>
      <w:pPr>
        <w:jc w:val="both"/>
        <w:ind w:firstLine="621"/>
        <w:spacing w:after="0" w:line="233" w:lineRule="auto"/>
        <w:tabs>
          <w:tab w:leader="none" w:pos="123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vesting of Employee’s outstanding equity awards under the Company’s 2020 Incentive Plan or 2024 Incentive Awards Plan through May 15, 2026. The Company will allow, and the Employee is able to elect, to withhold shares equal to the withholding tax obligations up to the statutory maximum allowed. If elected by Employee, the Company shall timely remit the cash for taxes to the appropriate taxing jurisdiction.</w:t>
      </w:r>
    </w:p>
    <w:p>
      <w:pPr>
        <w:spacing w:after="0" w:line="165" w:lineRule="exact"/>
        <w:rPr>
          <w:sz w:val="20"/>
          <w:szCs w:val="20"/>
          <w:color w:val="auto"/>
        </w:rPr>
      </w:pPr>
    </w:p>
    <w:p>
      <w:pPr>
        <w:ind w:right="20" w:firstLine="621"/>
        <w:spacing w:after="0" w:line="287" w:lineRule="auto"/>
        <w:tabs>
          <w:tab w:leader="none" w:pos="123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Revoke</w:t>
      </w:r>
      <w:r>
        <w:rPr>
          <w:rFonts w:ascii="Times New Roman" w:cs="Times New Roman" w:eastAsia="Times New Roman" w:hAnsi="Times New Roman"/>
          <w:sz w:val="17"/>
          <w:szCs w:val="17"/>
          <w:color w:val="auto"/>
        </w:rPr>
        <w:t>: Employee may revoke this Agreement by notice to Company, in writing, received within seven (7) days of the date of its execution by Employee (the “</w:t>
      </w:r>
      <w:r>
        <w:rPr>
          <w:rFonts w:ascii="Times New Roman" w:cs="Times New Roman" w:eastAsia="Times New Roman" w:hAnsi="Times New Roman"/>
          <w:sz w:val="17"/>
          <w:szCs w:val="17"/>
          <w:b w:val="1"/>
          <w:bCs w:val="1"/>
          <w:i w:val="1"/>
          <w:iCs w:val="1"/>
          <w:color w:val="auto"/>
        </w:rPr>
        <w:t>Revocation</w:t>
      </w:r>
    </w:p>
    <w:p>
      <w:pPr>
        <w:sectPr>
          <w:pgSz w:w="11900" w:h="16838" w:orient="portrait"/>
          <w:cols w:equalWidth="0" w:num="1">
            <w:col w:w="10620"/>
          </w:cols>
          <w:pgMar w:left="940" w:top="1361" w:right="339" w:bottom="1440" w:gutter="0" w:footer="0" w:header="0"/>
        </w:sectPr>
      </w:pPr>
    </w:p>
    <w:bookmarkStart w:id="57" w:name="page58"/>
    <w:bookmarkEnd w:id="57"/>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Period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 agrees that Employee will not receive the benefits provided by this Agreement if Employee revokes this Agreement. Employee also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acknowledges and agrees that if Company has not received from Employee notice of Employee’s revocation of this Agreement prior to the expiration of the Revocation Period, Employee will have forever waived Employee’s right to revoke this Agreement, and this Agreement shall thereafter be enforceable and have full force and effect commencing the day after the end of the Revocation Period.</w:t>
      </w:r>
    </w:p>
    <w:p>
      <w:pPr>
        <w:spacing w:after="0" w:line="167" w:lineRule="exact"/>
        <w:rPr>
          <w:sz w:val="20"/>
          <w:szCs w:val="20"/>
          <w:color w:val="auto"/>
        </w:rPr>
      </w:pPr>
    </w:p>
    <w:p>
      <w:pPr>
        <w:jc w:val="both"/>
        <w:ind w:firstLine="621"/>
        <w:spacing w:after="0" w:line="260" w:lineRule="auto"/>
        <w:tabs>
          <w:tab w:leader="none" w:pos="123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w:t>
      </w:r>
      <w:r>
        <w:rPr>
          <w:rFonts w:ascii="Times New Roman" w:cs="Times New Roman" w:eastAsia="Times New Roman" w:hAnsi="Times New Roman"/>
          <w:sz w:val="17"/>
          <w:szCs w:val="17"/>
          <w:color w:val="auto"/>
        </w:rPr>
        <w:t>: Employee acknowledges and agrees that: (a) as of the Termination Date, Employee is hereby removed or is deemed to resign from any and all positions she holds with Company or any affiliate, and Employee agrees to execute any documents reasonably requested by Company in connection therewith; (b) except as provided by this Agreement, Employee has no contractual right or claim to the Severance Benefits; and</w:t>
      </w:r>
    </w:p>
    <w:p>
      <w:pPr>
        <w:ind w:firstLine="2"/>
        <w:spacing w:after="0" w:line="266" w:lineRule="auto"/>
        <w:tabs>
          <w:tab w:leader="none" w:pos="24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payments pursuant to this Agreement shall terminate immediately if Employee materially breaches any of the material provisions of this Agreement, including but not limited to the provisions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firstLine="621"/>
        <w:spacing w:after="0" w:line="287" w:lineRule="auto"/>
        <w:tabs>
          <w:tab w:leader="none" w:pos="123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Non-Admissions</w:t>
      </w:r>
      <w:r>
        <w:rPr>
          <w:rFonts w:ascii="Times New Roman" w:cs="Times New Roman" w:eastAsia="Times New Roman" w:hAnsi="Times New Roman"/>
          <w:sz w:val="17"/>
          <w:szCs w:val="17"/>
          <w:color w:val="auto"/>
        </w:rPr>
        <w:t>: Employee acknowledges that by entering into this Agreement, Company does not admit, and does specifically deny, any violation of any local, state, or federal law.</w:t>
      </w:r>
    </w:p>
    <w:p>
      <w:pPr>
        <w:spacing w:after="0" w:line="151" w:lineRule="exact"/>
        <w:rPr>
          <w:rFonts w:ascii="Times New Roman" w:cs="Times New Roman" w:eastAsia="Times New Roman" w:hAnsi="Times New Roman"/>
          <w:sz w:val="17"/>
          <w:szCs w:val="17"/>
          <w:color w:val="auto"/>
        </w:rPr>
      </w:pPr>
    </w:p>
    <w:p>
      <w:pPr>
        <w:ind w:firstLine="621"/>
        <w:spacing w:after="0" w:line="287" w:lineRule="auto"/>
        <w:tabs>
          <w:tab w:leader="none" w:pos="123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51" w:lineRule="exact"/>
        <w:rPr>
          <w:rFonts w:ascii="Times New Roman" w:cs="Times New Roman" w:eastAsia="Times New Roman" w:hAnsi="Times New Roman"/>
          <w:sz w:val="17"/>
          <w:szCs w:val="17"/>
          <w:color w:val="auto"/>
        </w:rPr>
      </w:pPr>
    </w:p>
    <w:p>
      <w:pPr>
        <w:jc w:val="both"/>
        <w:ind w:firstLine="621"/>
        <w:spacing w:after="0" w:line="270" w:lineRule="auto"/>
        <w:tabs>
          <w:tab w:leader="none" w:pos="123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xml:space="preserve">: This Agreement (including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constitutes the entire agreement between Employee and Company, and supersedes all prior and contemporaneous negotiations and agreements, oral or written, with respect to the matters addressed herein. This Agreement cannot be changed or terminated except pursuant to a written agreement executed by the parties.</w:t>
      </w:r>
    </w:p>
    <w:p>
      <w:pPr>
        <w:spacing w:after="0" w:line="165" w:lineRule="exact"/>
        <w:rPr>
          <w:rFonts w:ascii="Times New Roman" w:cs="Times New Roman" w:eastAsia="Times New Roman" w:hAnsi="Times New Roman"/>
          <w:sz w:val="17"/>
          <w:szCs w:val="17"/>
          <w:color w:val="auto"/>
        </w:rPr>
      </w:pPr>
    </w:p>
    <w:p>
      <w:pPr>
        <w:ind w:firstLine="621"/>
        <w:spacing w:after="0" w:line="287" w:lineRule="auto"/>
        <w:tabs>
          <w:tab w:leader="none" w:pos="123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Maryland, except where preempted by federal law.</w:t>
      </w:r>
    </w:p>
    <w:p>
      <w:pPr>
        <w:spacing w:after="0" w:line="151" w:lineRule="exact"/>
        <w:rPr>
          <w:rFonts w:ascii="Times New Roman" w:cs="Times New Roman" w:eastAsia="Times New Roman" w:hAnsi="Times New Roman"/>
          <w:sz w:val="17"/>
          <w:szCs w:val="17"/>
          <w:color w:val="auto"/>
        </w:rPr>
      </w:pPr>
    </w:p>
    <w:p>
      <w:pPr>
        <w:jc w:val="both"/>
        <w:ind w:firstLine="621"/>
        <w:spacing w:after="0" w:line="257" w:lineRule="auto"/>
        <w:tabs>
          <w:tab w:leader="none" w:pos="123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Statement of Understanding</w:t>
      </w:r>
      <w:r>
        <w:rPr>
          <w:rFonts w:ascii="Times New Roman" w:cs="Times New Roman" w:eastAsia="Times New Roman" w:hAnsi="Times New Roman"/>
          <w:sz w:val="17"/>
          <w:szCs w:val="17"/>
          <w:color w:val="auto"/>
        </w:rPr>
        <w:t>: By executing this Agreement, Employee acknowledges that (a) Employee has had at least twenty-one (21) days, in accordance with the Age Discrimination in Employment Act, as amended, (the “</w:t>
      </w:r>
      <w:r>
        <w:rPr>
          <w:rFonts w:ascii="Times New Roman" w:cs="Times New Roman" w:eastAsia="Times New Roman" w:hAnsi="Times New Roman"/>
          <w:sz w:val="17"/>
          <w:szCs w:val="17"/>
          <w:b w:val="1"/>
          <w:bCs w:val="1"/>
          <w:i w:val="1"/>
          <w:iCs w:val="1"/>
          <w:color w:val="auto"/>
        </w:rPr>
        <w:t>ADEA</w:t>
      </w:r>
      <w:r>
        <w:rPr>
          <w:rFonts w:ascii="Times New Roman" w:cs="Times New Roman" w:eastAsia="Times New Roman" w:hAnsi="Times New Roman"/>
          <w:sz w:val="17"/>
          <w:szCs w:val="17"/>
          <w:color w:val="auto"/>
        </w:rPr>
        <w:t>”) to consider the terms of this Agreement and has considered its terms for such a period of time or has knowingly and voluntarily waived Employee’s 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 voluntarily, of Employee’s own free will, and without any coercion, undue influence, threat, or intimidation of any kind or type whatsoever.</w:t>
      </w:r>
    </w:p>
    <w:p>
      <w:pPr>
        <w:spacing w:after="0" w:line="178" w:lineRule="exact"/>
        <w:rPr>
          <w:rFonts w:ascii="Times New Roman" w:cs="Times New Roman" w:eastAsia="Times New Roman" w:hAnsi="Times New Roman"/>
          <w:sz w:val="17"/>
          <w:szCs w:val="17"/>
          <w:color w:val="auto"/>
        </w:rPr>
      </w:pPr>
    </w:p>
    <w:p>
      <w:pPr>
        <w:ind w:firstLine="621"/>
        <w:spacing w:after="0" w:line="287" w:lineRule="auto"/>
        <w:tabs>
          <w:tab w:leader="none" w:pos="122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and other communications to any Party hereunder shall be in writing (including e-mail transmission, so long as a receipt of such e-mail is requested and received) and shall be given,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to Employee:</w:t>
      </w:r>
    </w:p>
    <w:p>
      <w:pPr>
        <w:spacing w:after="0" w:line="2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Email: sjshanks@comcast.net</w:t>
      </w:r>
    </w:p>
    <w:p>
      <w:pPr>
        <w:sectPr>
          <w:pgSz w:w="11900" w:h="16838" w:orient="portrait"/>
          <w:cols w:equalWidth="0" w:num="1">
            <w:col w:w="10600"/>
          </w:cols>
          <w:pgMar w:left="940" w:top="1355" w:right="359" w:bottom="1440" w:gutter="0" w:footer="0" w:header="0"/>
        </w:sectPr>
      </w:pPr>
    </w:p>
    <w:bookmarkStart w:id="58" w:name="page59"/>
    <w:bookmarkEnd w:id="58"/>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WillScot Holdings Corporation</w:t>
      </w:r>
    </w:p>
    <w:p>
      <w:pPr>
        <w:spacing w:after="0" w:line="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EVP, Chief Legal Officer</w:t>
      </w:r>
    </w:p>
    <w:p>
      <w:pPr>
        <w:spacing w:after="0" w:line="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646 E. Van Buren Street, Suite 400</w:t>
      </w:r>
    </w:p>
    <w:p>
      <w:pPr>
        <w:spacing w:after="0" w:line="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Phoenix, AZ 85008</w:t>
      </w:r>
    </w:p>
    <w:p>
      <w:pPr>
        <w:spacing w:after="0" w:line="5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 xml:space="preserve">Phone: </w:t>
      </w:r>
      <w:r>
        <w:rPr>
          <w:rFonts w:ascii="Times New Roman" w:cs="Times New Roman" w:eastAsia="Times New Roman" w:hAnsi="Times New Roman"/>
          <w:sz w:val="17"/>
          <w:szCs w:val="17"/>
          <w:b w:val="1"/>
          <w:bCs w:val="1"/>
          <w:color w:val="auto"/>
        </w:rPr>
        <w:t>480-309-2762</w:t>
      </w:r>
    </w:p>
    <w:p>
      <w:pPr>
        <w:spacing w:after="0" w:line="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Email: hezron.lopez@willscot.com</w:t>
      </w: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or to such other email, address or number as such party may hereafter specify to the other party.</w:t>
      </w:r>
    </w:p>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EMPLOYEE</w:t>
            </w:r>
          </w:p>
        </w:tc>
        <w:tc>
          <w:tcPr>
            <w:tcW w:w="6560" w:type="dxa"/>
            <w:vAlign w:val="bottom"/>
            <w:gridSpan w:val="3"/>
          </w:tcPr>
          <w:p>
            <w:pPr>
              <w:ind w:left="3300"/>
              <w:spacing w:after="0"/>
              <w:rPr>
                <w:sz w:val="20"/>
                <w:szCs w:val="20"/>
                <w:color w:val="auto"/>
              </w:rPr>
            </w:pPr>
            <w:r>
              <w:rPr>
                <w:rFonts w:ascii="Times New Roman" w:cs="Times New Roman" w:eastAsia="Times New Roman" w:hAnsi="Times New Roman"/>
                <w:sz w:val="17"/>
                <w:szCs w:val="17"/>
                <w:b w:val="1"/>
                <w:bCs w:val="1"/>
                <w:color w:val="auto"/>
              </w:rPr>
              <w:t>WILLSCOT HOLDINGS CORPORATION</w:t>
            </w:r>
          </w:p>
        </w:tc>
      </w:tr>
      <w:tr>
        <w:trPr>
          <w:trHeight w:val="605"/>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 Sally J. Shanks</w:t>
            </w:r>
          </w:p>
        </w:tc>
        <w:tc>
          <w:tcPr>
            <w:tcW w:w="6560" w:type="dxa"/>
            <w:vAlign w:val="bottom"/>
            <w:gridSpan w:val="3"/>
          </w:tcPr>
          <w:p>
            <w:pPr>
              <w:ind w:left="3300"/>
              <w:spacing w:after="0"/>
              <w:rPr>
                <w:sz w:val="20"/>
                <w:szCs w:val="20"/>
                <w:color w:val="auto"/>
              </w:rPr>
            </w:pPr>
            <w:r>
              <w:rPr>
                <w:rFonts w:ascii="Times New Roman" w:cs="Times New Roman" w:eastAsia="Times New Roman" w:hAnsi="Times New Roman"/>
                <w:sz w:val="17"/>
                <w:szCs w:val="17"/>
                <w:color w:val="auto"/>
              </w:rPr>
              <w:t>By: /s/ Felicia Gorcyca</w:t>
            </w:r>
          </w:p>
        </w:tc>
      </w:tr>
      <w:tr>
        <w:trPr>
          <w:trHeight w:val="20"/>
        </w:trPr>
        <w:tc>
          <w:tcPr>
            <w:tcW w:w="22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5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Sally J. Shanks</w:t>
            </w:r>
          </w:p>
        </w:tc>
        <w:tc>
          <w:tcPr>
            <w:tcW w:w="6560" w:type="dxa"/>
            <w:vAlign w:val="bottom"/>
            <w:gridSpan w:val="3"/>
          </w:tcPr>
          <w:p>
            <w:pPr>
              <w:ind w:left="3300"/>
              <w:spacing w:after="0"/>
              <w:rPr>
                <w:sz w:val="20"/>
                <w:szCs w:val="20"/>
                <w:color w:val="auto"/>
              </w:rPr>
            </w:pPr>
            <w:r>
              <w:rPr>
                <w:rFonts w:ascii="Times New Roman" w:cs="Times New Roman" w:eastAsia="Times New Roman" w:hAnsi="Times New Roman"/>
                <w:sz w:val="17"/>
                <w:szCs w:val="17"/>
                <w:color w:val="auto"/>
              </w:rPr>
              <w:t>Name: Felicia Gorcyca</w:t>
            </w:r>
          </w:p>
        </w:tc>
      </w:tr>
      <w:tr>
        <w:trPr>
          <w:trHeight w:val="28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Date: July 19, 2025</w:t>
            </w:r>
          </w:p>
        </w:tc>
        <w:tc>
          <w:tcPr>
            <w:tcW w:w="6560" w:type="dxa"/>
            <w:vAlign w:val="bottom"/>
            <w:gridSpan w:val="3"/>
          </w:tcPr>
          <w:p>
            <w:pPr>
              <w:ind w:left="3300"/>
              <w:spacing w:after="0"/>
              <w:rPr>
                <w:sz w:val="20"/>
                <w:szCs w:val="20"/>
                <w:color w:val="auto"/>
              </w:rPr>
            </w:pPr>
            <w:r>
              <w:rPr>
                <w:rFonts w:ascii="Times New Roman" w:cs="Times New Roman" w:eastAsia="Times New Roman" w:hAnsi="Times New Roman"/>
                <w:sz w:val="17"/>
                <w:szCs w:val="17"/>
                <w:color w:val="auto"/>
              </w:rPr>
              <w:t>Title: EVP, Chief Human Resources Officer</w:t>
            </w:r>
          </w:p>
        </w:tc>
      </w:tr>
      <w:tr>
        <w:trPr>
          <w:trHeight w:val="245"/>
        </w:trPr>
        <w:tc>
          <w:tcPr>
            <w:tcW w:w="2280" w:type="dxa"/>
            <w:vAlign w:val="bottom"/>
          </w:tcPr>
          <w:p>
            <w:pPr>
              <w:spacing w:after="0"/>
              <w:rPr>
                <w:sz w:val="21"/>
                <w:szCs w:val="21"/>
                <w:color w:val="auto"/>
              </w:rPr>
            </w:pPr>
          </w:p>
        </w:tc>
        <w:tc>
          <w:tcPr>
            <w:tcW w:w="6560" w:type="dxa"/>
            <w:vAlign w:val="bottom"/>
            <w:gridSpan w:val="3"/>
          </w:tcPr>
          <w:p>
            <w:pPr>
              <w:ind w:left="3300"/>
              <w:spacing w:after="0"/>
              <w:rPr>
                <w:sz w:val="20"/>
                <w:szCs w:val="20"/>
                <w:color w:val="auto"/>
              </w:rPr>
            </w:pPr>
            <w:r>
              <w:rPr>
                <w:rFonts w:ascii="Times New Roman" w:cs="Times New Roman" w:eastAsia="Times New Roman" w:hAnsi="Times New Roman"/>
                <w:sz w:val="17"/>
                <w:szCs w:val="17"/>
                <w:color w:val="auto"/>
              </w:rPr>
              <w:t>Date: July 19, 2025</w:t>
            </w:r>
          </w:p>
        </w:tc>
      </w:tr>
    </w:tbl>
    <w:p>
      <w:pPr>
        <w:sectPr>
          <w:pgSz w:w="11900" w:h="16838" w:orient="portrait"/>
          <w:cols w:equalWidth="0" w:num="1">
            <w:col w:w="11080"/>
          </w:cols>
          <w:pgMar w:left="460" w:top="1440"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RESTRICTIVE COVENANTS</w:t>
      </w: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consideration of the Severance Benefits to be provided to Employee, Employee agrees to the following:</w:t>
      </w:r>
    </w:p>
    <w:p>
      <w:pPr>
        <w:spacing w:after="0" w:line="307" w:lineRule="exact"/>
        <w:rPr>
          <w:sz w:val="20"/>
          <w:szCs w:val="20"/>
          <w:color w:val="auto"/>
        </w:rPr>
      </w:pPr>
    </w:p>
    <w:p>
      <w:pPr>
        <w:ind w:left="-20" w:firstLine="622"/>
        <w:spacing w:after="0" w:line="255" w:lineRule="auto"/>
        <w:tabs>
          <w:tab w:leader="none" w:pos="121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Certain capitalized terms used in this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have the meanings set forth below. Other capitalized terms used but not defined herein have the meanings given in the Separation and Release Agreement, of which this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is a part.</w:t>
      </w:r>
    </w:p>
    <w:p>
      <w:pPr>
        <w:spacing w:after="0" w:line="145" w:lineRule="exact"/>
        <w:rPr>
          <w:rFonts w:ascii="Times New Roman" w:cs="Times New Roman" w:eastAsia="Times New Roman" w:hAnsi="Times New Roman"/>
          <w:sz w:val="17"/>
          <w:szCs w:val="17"/>
          <w:color w:val="auto"/>
        </w:rPr>
      </w:pPr>
    </w:p>
    <w:p>
      <w:pPr>
        <w:jc w:val="both"/>
        <w:ind w:left="1280" w:right="80" w:hanging="306"/>
        <w:spacing w:after="0" w:line="256" w:lineRule="auto"/>
        <w:tabs>
          <w:tab w:leader="none" w:pos="12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means information that is created and used in the Company Business and which is not generally known by the public, including but not limited to: proprietary or customized software and database (including the Company’s database); research and development; the Company’s confidential records pertaining to its Customers, including key Customer contact information;; confidential business opportunities; strategies for advertising and marketing; confidential business processes and strategies, including training, policies and procedures; product documents and forms; personnel composition (wages, specialization, etc.); financial data and reports, including pricing, quoting and billing methods; and any other business information that the Company maintains as confidential or that gives the Company an advantage or opportunity to gain an advantage over its competitors in the Company Business. Employee specifically understands and agrees that the term “Confidential Information” also includes all confidential information of a third party that may be communicated to, acquired by, learned of, or developed by Employee in the course of or as a result of Employee’s employment with the Company.</w:t>
      </w:r>
    </w:p>
    <w:p>
      <w:pPr>
        <w:spacing w:after="0" w:line="204" w:lineRule="exact"/>
        <w:rPr>
          <w:rFonts w:ascii="Times New Roman" w:cs="Times New Roman" w:eastAsia="Times New Roman" w:hAnsi="Times New Roman"/>
          <w:sz w:val="17"/>
          <w:szCs w:val="17"/>
          <w:color w:val="auto"/>
        </w:rPr>
      </w:pPr>
    </w:p>
    <w:p>
      <w:pPr>
        <w:ind w:left="1280" w:right="8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Information does not include information that is or may become known to Employee or to the public from sources outside the Company and through means other than a breach of the provisions herein or disclosed by Employee after written approval from the Company.</w:t>
      </w:r>
    </w:p>
    <w:p>
      <w:pPr>
        <w:spacing w:after="0" w:line="158" w:lineRule="exact"/>
        <w:rPr>
          <w:rFonts w:ascii="Times New Roman" w:cs="Times New Roman" w:eastAsia="Times New Roman" w:hAnsi="Times New Roman"/>
          <w:sz w:val="17"/>
          <w:szCs w:val="17"/>
          <w:color w:val="auto"/>
        </w:rPr>
      </w:pPr>
    </w:p>
    <w:p>
      <w:pPr>
        <w:jc w:val="both"/>
        <w:ind w:left="1280" w:right="80" w:hanging="306"/>
        <w:spacing w:after="0" w:line="267" w:lineRule="auto"/>
        <w:tabs>
          <w:tab w:leader="none" w:pos="12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Business</w:t>
      </w:r>
      <w:r>
        <w:rPr>
          <w:rFonts w:ascii="Times New Roman" w:cs="Times New Roman" w:eastAsia="Times New Roman" w:hAnsi="Times New Roman"/>
          <w:sz w:val="17"/>
          <w:szCs w:val="17"/>
          <w:color w:val="auto"/>
        </w:rPr>
        <w:t>” means the portable modular office, portable storage container, temperature-controlled storage, perimeter solutions, and clearspan structures business, including the design, manufacture, rental, sale, or lease of any of the following or components thereof of portable storage containers, portable storage trailers, portable offices, portable temperature-controlled containers or trailers, fencing, or clearspan structures.</w:t>
      </w:r>
    </w:p>
    <w:p>
      <w:pPr>
        <w:spacing w:after="0" w:line="187" w:lineRule="exact"/>
        <w:rPr>
          <w:rFonts w:ascii="Times New Roman" w:cs="Times New Roman" w:eastAsia="Times New Roman" w:hAnsi="Times New Roman"/>
          <w:sz w:val="17"/>
          <w:szCs w:val="17"/>
          <w:color w:val="auto"/>
        </w:rPr>
      </w:pPr>
    </w:p>
    <w:p>
      <w:pPr>
        <w:jc w:val="both"/>
        <w:ind w:left="1280" w:right="80" w:hanging="306"/>
        <w:spacing w:after="0" w:line="273" w:lineRule="auto"/>
        <w:tabs>
          <w:tab w:leader="none" w:pos="12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Competitive Product or Service</w:t>
      </w:r>
      <w:r>
        <w:rPr>
          <w:rFonts w:ascii="Times New Roman" w:cs="Times New Roman" w:eastAsia="Times New Roman" w:hAnsi="Times New Roman"/>
          <w:sz w:val="17"/>
          <w:szCs w:val="17"/>
          <w:color w:val="auto"/>
        </w:rPr>
        <w:t>” means any product, process, system or service (in existence or under development) of any person or organization other than the Company that is the same as or similar to the Company Business (in existence or under development) and upon which Employee worked or had responsibilities at the Company during the twenty-four (24) months prior to the Termination Date.</w:t>
      </w:r>
    </w:p>
    <w:p>
      <w:pPr>
        <w:spacing w:after="0" w:line="183" w:lineRule="exact"/>
        <w:rPr>
          <w:rFonts w:ascii="Times New Roman" w:cs="Times New Roman" w:eastAsia="Times New Roman" w:hAnsi="Times New Roman"/>
          <w:sz w:val="17"/>
          <w:szCs w:val="17"/>
          <w:color w:val="auto"/>
        </w:rPr>
      </w:pPr>
    </w:p>
    <w:p>
      <w:pPr>
        <w:ind w:left="1280" w:hanging="305"/>
        <w:spacing w:after="0"/>
        <w:tabs>
          <w:tab w:leader="none" w:pos="12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means Employee or any other person or organization engaged in in the Company Business.</w:t>
      </w:r>
    </w:p>
    <w:p>
      <w:pPr>
        <w:spacing w:after="0" w:line="242" w:lineRule="exact"/>
        <w:rPr>
          <w:rFonts w:ascii="Times New Roman" w:cs="Times New Roman" w:eastAsia="Times New Roman" w:hAnsi="Times New Roman"/>
          <w:sz w:val="17"/>
          <w:szCs w:val="17"/>
          <w:color w:val="auto"/>
        </w:rPr>
      </w:pPr>
    </w:p>
    <w:p>
      <w:pPr>
        <w:jc w:val="both"/>
        <w:ind w:left="1280" w:right="80" w:hanging="306"/>
        <w:spacing w:after="0" w:line="273" w:lineRule="auto"/>
        <w:tabs>
          <w:tab w:leader="none" w:pos="12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Customer</w:t>
      </w:r>
      <w:r>
        <w:rPr>
          <w:rFonts w:ascii="Times New Roman" w:cs="Times New Roman" w:eastAsia="Times New Roman" w:hAnsi="Times New Roman"/>
          <w:sz w:val="17"/>
          <w:szCs w:val="17"/>
          <w:color w:val="auto"/>
        </w:rPr>
        <w:t>” means any person(s) whom, within twenty-four (24) months prior to the Termination Date, Employee, directly or Indirectly (defined below): (a) provided products or services in connection with the Company Business, or (b) provided written proposals concerning receiving products or services from the Company.</w:t>
      </w:r>
    </w:p>
    <w:p>
      <w:pPr>
        <w:spacing w:after="0" w:line="183" w:lineRule="exact"/>
        <w:rPr>
          <w:rFonts w:ascii="Times New Roman" w:cs="Times New Roman" w:eastAsia="Times New Roman" w:hAnsi="Times New Roman"/>
          <w:sz w:val="17"/>
          <w:szCs w:val="17"/>
          <w:color w:val="auto"/>
        </w:rPr>
      </w:pPr>
    </w:p>
    <w:p>
      <w:pPr>
        <w:ind w:left="1280" w:right="620" w:hanging="306"/>
        <w:spacing w:after="0" w:line="278" w:lineRule="auto"/>
        <w:tabs>
          <w:tab w:leader="none" w:pos="127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Indirectly</w:t>
      </w:r>
      <w:r>
        <w:rPr>
          <w:rFonts w:ascii="Times New Roman" w:cs="Times New Roman" w:eastAsia="Times New Roman" w:hAnsi="Times New Roman"/>
          <w:sz w:val="17"/>
          <w:szCs w:val="17"/>
          <w:color w:val="auto"/>
        </w:rPr>
        <w:t>” means that Employee will not assist others in performing activities in which Employee is directly prohibited from engaging hereunder, including through employees whom Employee supervised.</w:t>
      </w:r>
    </w:p>
    <w:p>
      <w:pPr>
        <w:sectPr>
          <w:pgSz w:w="11900" w:h="16838" w:orient="portrait"/>
          <w:cols w:equalWidth="0" w:num="1">
            <w:col w:w="11220"/>
          </w:cols>
          <w:pgMar w:left="340" w:top="1434" w:right="339" w:bottom="1440" w:gutter="0" w:footer="0" w:header="0"/>
        </w:sectPr>
      </w:pPr>
    </w:p>
    <w:bookmarkStart w:id="60" w:name="page61"/>
    <w:bookmarkEnd w:id="60"/>
    <w:p>
      <w:pPr>
        <w:spacing w:after="0" w:line="173" w:lineRule="exact"/>
        <w:rPr>
          <w:sz w:val="20"/>
          <w:szCs w:val="20"/>
          <w:color w:val="auto"/>
        </w:rPr>
      </w:pPr>
    </w:p>
    <w:p>
      <w:pPr>
        <w:ind w:left="678" w:hanging="306"/>
        <w:spacing w:after="0"/>
        <w:tabs>
          <w:tab w:leader="none" w:pos="67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w:t>
      </w:r>
      <w:r>
        <w:rPr>
          <w:rFonts w:ascii="Times New Roman" w:cs="Times New Roman" w:eastAsia="Times New Roman" w:hAnsi="Times New Roman"/>
          <w:sz w:val="17"/>
          <w:szCs w:val="17"/>
          <w:color w:val="auto"/>
        </w:rPr>
        <w:t>” means the Employee’s primary job duties in connection with the Company Business.</w:t>
      </w:r>
    </w:p>
    <w:p>
      <w:pPr>
        <w:spacing w:after="0" w:line="268" w:lineRule="exact"/>
        <w:rPr>
          <w:rFonts w:ascii="Times New Roman" w:cs="Times New Roman" w:eastAsia="Times New Roman" w:hAnsi="Times New Roman"/>
          <w:sz w:val="17"/>
          <w:szCs w:val="17"/>
          <w:color w:val="auto"/>
        </w:rPr>
      </w:pPr>
    </w:p>
    <w:p>
      <w:pPr>
        <w:jc w:val="both"/>
        <w:ind w:left="678" w:right="140" w:hanging="306"/>
        <w:spacing w:after="0" w:line="260" w:lineRule="auto"/>
        <w:tabs>
          <w:tab w:leader="none" w:pos="67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Geographic Area</w:t>
      </w:r>
      <w:r>
        <w:rPr>
          <w:rFonts w:ascii="Times New Roman" w:cs="Times New Roman" w:eastAsia="Times New Roman" w:hAnsi="Times New Roman"/>
          <w:sz w:val="17"/>
          <w:szCs w:val="17"/>
          <w:color w:val="auto"/>
        </w:rPr>
        <w:t>” means (a) within fifty (50) miles (or if a court of competent jurisdiction determines that fifty (50) miles is too far, then twenty-five (25) miles) of any Company branch where Participant worked during the twenty-four (24) months prior to the Termination Date and any (b) territory (i.e.: (x) state(s), (y) county(ies), or (z) city(ies) in which ,during the last twenty-four (24) months prior to the Last Day, Participant: (i) provided material services on behalf of the Company (or in which Participant supervised directly or Indirectly, in whole or in part, the servicing activities) in connection with the Company Business and/or (ii) solicited Customers or otherwise sold services on behalf of the Company (or in which Participant supervised directly or Indirectly, in whole or in part, the solicitation or servicing activities related to such Customers) in connection with the Company Business.</w:t>
      </w:r>
    </w:p>
    <w:p>
      <w:pPr>
        <w:spacing w:after="0" w:line="193" w:lineRule="exact"/>
        <w:rPr>
          <w:rFonts w:ascii="Times New Roman" w:cs="Times New Roman" w:eastAsia="Times New Roman" w:hAnsi="Times New Roman"/>
          <w:sz w:val="17"/>
          <w:szCs w:val="17"/>
          <w:color w:val="auto"/>
        </w:rPr>
      </w:pPr>
    </w:p>
    <w:p>
      <w:pPr>
        <w:ind w:left="678" w:hanging="305"/>
        <w:spacing w:after="0"/>
        <w:tabs>
          <w:tab w:leader="none" w:pos="67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Trade Secret</w:t>
      </w:r>
      <w:r>
        <w:rPr>
          <w:rFonts w:ascii="Times New Roman" w:cs="Times New Roman" w:eastAsia="Times New Roman" w:hAnsi="Times New Roman"/>
          <w:sz w:val="17"/>
          <w:szCs w:val="17"/>
          <w:color w:val="auto"/>
        </w:rPr>
        <w:t>” means information defined as a trade secret under applicable state law or the Defend Trade Secrets Act of 2016.</w:t>
      </w:r>
    </w:p>
    <w:p>
      <w:pPr>
        <w:spacing w:after="0" w:line="274" w:lineRule="exact"/>
        <w:rPr>
          <w:rFonts w:ascii="Times New Roman" w:cs="Times New Roman" w:eastAsia="Times New Roman" w:hAnsi="Times New Roman"/>
          <w:sz w:val="17"/>
          <w:szCs w:val="17"/>
          <w:color w:val="auto"/>
        </w:rPr>
      </w:pPr>
    </w:p>
    <w:p>
      <w:pPr>
        <w:jc w:val="both"/>
        <w:ind w:left="-622" w:firstLine="622"/>
        <w:spacing w:after="0" w:line="216" w:lineRule="auto"/>
        <w:tabs>
          <w:tab w:leader="none" w:pos="6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Employee agrees that during the nine (9) month period following the Termination Date, and within the Restricted Geographic Area, Employee will not, directly or Indirectly, perform the same or similar responsibilities Employee performed for the Company in connection with a Competitive Product or Service. Notwithstanding the foregoing, Employee may accept employment with a Competitor whose business is diversified, provided that: (a) Employee will not be engaged in working on or providing Competitive Products or Services or otherwise use or disclose Confidential Information or Trade Secrets; and (b) the Company receives written assurances from the Competitor and Employee that are satisfactory to the Company that Employee will not work on or provide Competitive Products or Services, or otherwise use or disclose Confidential Information or Trade Secrets. In addition, nothing in this Agreement is intended to prevent Employee from investing Employee’s funds in securities of a person engaged in a business that is directly competitive with the Company if the securities of such a person are listed for trading on a registered securities exchange or actively traded in an over-the-counter market and Employee’s holdings represent less than one percent (1%) of the total number of outstanding shares or principal amount of the securities of such a person.</w:t>
      </w:r>
    </w:p>
    <w:p>
      <w:pPr>
        <w:spacing w:after="0" w:line="156" w:lineRule="exact"/>
        <w:rPr>
          <w:rFonts w:ascii="Times New Roman" w:cs="Times New Roman" w:eastAsia="Times New Roman" w:hAnsi="Times New Roman"/>
          <w:sz w:val="17"/>
          <w:szCs w:val="17"/>
          <w:color w:val="auto"/>
        </w:rPr>
      </w:pPr>
    </w:p>
    <w:p>
      <w:pPr>
        <w:jc w:val="both"/>
        <w:ind w:left="-622" w:firstLine="622"/>
        <w:spacing w:after="0" w:line="233" w:lineRule="auto"/>
        <w:tabs>
          <w:tab w:leader="none" w:pos="6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 and Non-Inducement of Customers</w:t>
      </w:r>
      <w:r>
        <w:rPr>
          <w:rFonts w:ascii="Times New Roman" w:cs="Times New Roman" w:eastAsia="Times New Roman" w:hAnsi="Times New Roman"/>
          <w:sz w:val="17"/>
          <w:szCs w:val="17"/>
          <w:color w:val="auto"/>
        </w:rPr>
        <w:t>. During the two-year period following the Termination Date, and in connection with a Competitive Product or Service, Employee shall not directly or Indirectly: (a) solicit or attempt to solicit any Customer; or (b) induce or encourage any Customer to terminate a relationship with the Company or otherwise to cease accepting services or products from the Company.</w:t>
      </w:r>
    </w:p>
    <w:p>
      <w:pPr>
        <w:spacing w:after="0" w:line="152" w:lineRule="exact"/>
        <w:rPr>
          <w:rFonts w:ascii="Times New Roman" w:cs="Times New Roman" w:eastAsia="Times New Roman" w:hAnsi="Times New Roman"/>
          <w:sz w:val="17"/>
          <w:szCs w:val="17"/>
          <w:color w:val="auto"/>
        </w:rPr>
      </w:pPr>
    </w:p>
    <w:p>
      <w:pPr>
        <w:jc w:val="both"/>
        <w:ind w:left="-622" w:firstLine="622"/>
        <w:spacing w:after="0" w:line="225" w:lineRule="auto"/>
        <w:tabs>
          <w:tab w:leader="none" w:pos="6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 and Non-Inducement of Employees</w:t>
      </w:r>
      <w:r>
        <w:rPr>
          <w:rFonts w:ascii="Times New Roman" w:cs="Times New Roman" w:eastAsia="Times New Roman" w:hAnsi="Times New Roman"/>
          <w:sz w:val="17"/>
          <w:szCs w:val="17"/>
          <w:color w:val="auto"/>
        </w:rPr>
        <w:t>. During the period twenty-four (24) months after the Participant’s Last Day, Participant shall not directly or Indirectly: (a) solicit, recruit, encourage (or attempt to solicit, recruit or encourage), or by assisting others in soliciting, recruiting or encouraging, any Company employees; (b) contact or communicate with employees for the purpose of inducing, assisting, encouraging and/or facilitating them to terminate their employment with the Company; and/or (c) offer employment or work to any employees.The foregoing shall not limit the Employee’s ability to provide a reference in connection with employment with respect to any current or former employees of the Company.</w:t>
      </w:r>
    </w:p>
    <w:p>
      <w:pPr>
        <w:spacing w:after="0" w:line="153" w:lineRule="exact"/>
        <w:rPr>
          <w:rFonts w:ascii="Times New Roman" w:cs="Times New Roman" w:eastAsia="Times New Roman" w:hAnsi="Times New Roman"/>
          <w:sz w:val="17"/>
          <w:szCs w:val="17"/>
          <w:color w:val="auto"/>
        </w:rPr>
      </w:pPr>
    </w:p>
    <w:p>
      <w:pPr>
        <w:ind w:left="-622" w:firstLine="622"/>
        <w:spacing w:after="0" w:line="239" w:lineRule="auto"/>
        <w:tabs>
          <w:tab w:leader="none" w:pos="6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Non-Interference of Vendors and Suppliers</w:t>
      </w:r>
      <w:r>
        <w:rPr>
          <w:rFonts w:ascii="Times New Roman" w:cs="Times New Roman" w:eastAsia="Times New Roman" w:hAnsi="Times New Roman"/>
          <w:sz w:val="17"/>
          <w:szCs w:val="17"/>
          <w:color w:val="auto"/>
        </w:rPr>
        <w:t>. Employee agrees that during the two-year period following the Termination Date, Employee will not directly or Indirectly interfere with the Company’s relationships with its vendors and suppliers in any manner that is prohibited by law.</w:t>
      </w:r>
    </w:p>
    <w:p>
      <w:pPr>
        <w:spacing w:after="0" w:line="165" w:lineRule="exact"/>
        <w:rPr>
          <w:rFonts w:ascii="Times New Roman" w:cs="Times New Roman" w:eastAsia="Times New Roman" w:hAnsi="Times New Roman"/>
          <w:sz w:val="17"/>
          <w:szCs w:val="17"/>
          <w:color w:val="auto"/>
        </w:rPr>
      </w:pPr>
    </w:p>
    <w:p>
      <w:pPr>
        <w:jc w:val="both"/>
        <w:ind w:left="-622" w:firstLine="622"/>
        <w:spacing w:after="0" w:line="218" w:lineRule="auto"/>
        <w:tabs>
          <w:tab w:leader="none" w:pos="6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Employee agrees that for the two-year period following the Termination Date, Employee will not, and will not permit any other person or entity to, directly or Indirectly, without the prior written consent of the Company: (a) use Confidential Information or Trade Secrets for the benefit of any person or entity other than the Company; (b) remove, copy, duplicate or otherwise reproduce any document or tangible item embodying or pertaining to any of the Confidential Information or Trade Secrets, except as required to perform responsibilities for Company; and (c) publish, release, disclose, deliver or otherwise make available to any third party any Confidential Information or Trade Secrets by any communication, including oral, documentary, electronic or magnetic information transmittal device or media. Notwithstanding the foregoing, Employee understands that Trade Secrets are protected by statute and are not subject to any time limits. Employee also agrees to contact the Company before using, disclosing, or distributing any Confidential Information or Trade Secrets if Employee has any questions about whether such information is protected information.</w:t>
      </w:r>
    </w:p>
    <w:p>
      <w:pPr>
        <w:sectPr>
          <w:pgSz w:w="11900" w:h="16838" w:orient="portrait"/>
          <w:cols w:equalWidth="0" w:num="1">
            <w:col w:w="10618"/>
          </w:cols>
          <w:pgMar w:left="942" w:top="1440" w:right="339" w:bottom="1440" w:gutter="0" w:footer="0" w:header="0"/>
        </w:sectPr>
      </w:pPr>
    </w:p>
    <w:bookmarkStart w:id="61" w:name="page62"/>
    <w:bookmarkEnd w:id="61"/>
    <w:p>
      <w:pPr>
        <w:jc w:val="both"/>
        <w:ind w:left="-622" w:firstLine="622"/>
        <w:spacing w:after="0" w:line="222" w:lineRule="auto"/>
        <w:tabs>
          <w:tab w:leader="none" w:pos="6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Non-Disparagement and Defamation</w:t>
      </w:r>
      <w:r>
        <w:rPr>
          <w:rFonts w:ascii="Times New Roman" w:cs="Times New Roman" w:eastAsia="Times New Roman" w:hAnsi="Times New Roman"/>
          <w:sz w:val="17"/>
          <w:szCs w:val="17"/>
          <w:color w:val="auto"/>
        </w:rPr>
        <w:t>. Employee and Company each agree that during the two-year period following the Termination Date, neither will, directly or Indirectly make, publish or communicate to any person or entity or in any public forum (including on any social media platform) any defamatory or disparaging remarks, comments or statements concerning the other or, in the case of the Company, any of its employees, officers, members of its Board of Directors, and existing and prospective Customers, suppliers, investors and other associated third parties; and, in the case of the Employee, her future employer and business partners.</w:t>
      </w:r>
    </w:p>
    <w:p>
      <w:pPr>
        <w:spacing w:after="0" w:line="165"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The prohibitions contained herein shall not, in any way:</w:t>
      </w:r>
    </w:p>
    <w:p>
      <w:pPr>
        <w:spacing w:after="0" w:line="178" w:lineRule="exact"/>
        <w:rPr>
          <w:rFonts w:ascii="Times New Roman" w:cs="Times New Roman" w:eastAsia="Times New Roman" w:hAnsi="Times New Roman"/>
          <w:sz w:val="17"/>
          <w:szCs w:val="17"/>
          <w:color w:val="auto"/>
        </w:rPr>
      </w:pPr>
    </w:p>
    <w:p>
      <w:pPr>
        <w:jc w:val="both"/>
        <w:ind w:left="-2" w:firstLine="621"/>
        <w:spacing w:after="0" w:line="226" w:lineRule="auto"/>
        <w:tabs>
          <w:tab w:leader="none" w:pos="1226"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impede Employee from exercising protected rights to the extent that such rights cannot be waived by agreement or from complying with applicable law or regulation or a valid order of a court of competent jurisdiction or an authorized government agency, provided that such compliance does not exceed that required by the law, regulation or order. Employee agrees to promptly provide the Company with written notice of any such order.</w:t>
      </w:r>
    </w:p>
    <w:p>
      <w:pPr>
        <w:spacing w:after="0" w:line="153" w:lineRule="exact"/>
        <w:rPr>
          <w:rFonts w:ascii="Times New Roman" w:cs="Times New Roman" w:eastAsia="Times New Roman" w:hAnsi="Times New Roman"/>
          <w:sz w:val="17"/>
          <w:szCs w:val="17"/>
          <w:color w:val="auto"/>
        </w:rPr>
      </w:pPr>
    </w:p>
    <w:p>
      <w:pPr>
        <w:jc w:val="both"/>
        <w:ind w:left="-2" w:firstLine="621"/>
        <w:spacing w:after="0" w:line="226" w:lineRule="auto"/>
        <w:tabs>
          <w:tab w:leader="none" w:pos="123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impede Employee from reporting a possible violation of federal, state, or local law or regulation to any governmental agency or entity, including but not limited to the Department of Justice, the Securities and Exchange Commission, the Congress, or any agency (including but not limited to the National Labor Relations Board or the Equal Employment Opportunity Commission) or Inspector General, or making other disclosures that are protected under any whistleblower provision of federal, state, or local law or regulation.</w:t>
      </w:r>
    </w:p>
    <w:p>
      <w:pPr>
        <w:spacing w:after="0" w:line="166" w:lineRule="exact"/>
        <w:rPr>
          <w:rFonts w:ascii="Times New Roman" w:cs="Times New Roman" w:eastAsia="Times New Roman" w:hAnsi="Times New Roman"/>
          <w:sz w:val="17"/>
          <w:szCs w:val="17"/>
          <w:color w:val="auto"/>
        </w:rPr>
      </w:pPr>
    </w:p>
    <w:p>
      <w:pPr>
        <w:jc w:val="both"/>
        <w:ind w:left="-2" w:firstLine="621"/>
        <w:spacing w:after="0" w:line="222" w:lineRule="auto"/>
        <w:tabs>
          <w:tab w:leader="none" w:pos="1226"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Employee being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Disclosures to attorneys, made under seal, or pursuant to court order are also protected in certain circumstances under the Defend Trade Secrets Act of 2016.</w:t>
      </w:r>
    </w:p>
    <w:p>
      <w:pPr>
        <w:spacing w:after="0" w:line="153" w:lineRule="exact"/>
        <w:rPr>
          <w:rFonts w:ascii="Times New Roman" w:cs="Times New Roman" w:eastAsia="Times New Roman" w:hAnsi="Times New Roman"/>
          <w:sz w:val="17"/>
          <w:szCs w:val="17"/>
          <w:color w:val="auto"/>
        </w:rPr>
      </w:pPr>
    </w:p>
    <w:p>
      <w:pPr>
        <w:jc w:val="both"/>
        <w:ind w:left="-2" w:firstLine="621"/>
        <w:spacing w:after="0" w:line="225" w:lineRule="auto"/>
        <w:tabs>
          <w:tab w:leader="none" w:pos="123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impede, or interfere with Employee’s right to respond accurately and fully to any question, inquiry, or request for information regarding Employee or Employee’s employment with the Company when required by legal process by a Federal, State or other legal authority, or from initiating communications directly with, or responding to any inquiry from, or providing truthful testimony and information to, any Federal, State, or other regulatory authority in the course of an investigation or proceeding authorized by law and carried out by such agency. Employee is not required to contact the Company regarding the subject matter of any such communications before Employee engages in such communications.</w:t>
      </w:r>
    </w:p>
    <w:p>
      <w:pPr>
        <w:spacing w:after="0" w:line="153" w:lineRule="exact"/>
        <w:rPr>
          <w:rFonts w:ascii="Times New Roman" w:cs="Times New Roman" w:eastAsia="Times New Roman" w:hAnsi="Times New Roman"/>
          <w:sz w:val="17"/>
          <w:szCs w:val="17"/>
          <w:color w:val="auto"/>
        </w:rPr>
      </w:pPr>
    </w:p>
    <w:p>
      <w:pPr>
        <w:jc w:val="both"/>
        <w:ind w:left="-622" w:firstLine="622"/>
        <w:spacing w:after="0" w:line="222" w:lineRule="auto"/>
        <w:tabs>
          <w:tab w:leader="none" w:pos="6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are Reasonable</w:t>
      </w:r>
      <w:r>
        <w:rPr>
          <w:rFonts w:ascii="Times New Roman" w:cs="Times New Roman" w:eastAsia="Times New Roman" w:hAnsi="Times New Roman"/>
          <w:sz w:val="17"/>
          <w:szCs w:val="17"/>
          <w:color w:val="auto"/>
        </w:rPr>
        <w:t>. Employee agrees that the covenants in this section are necessary and essential to protect the Company’s proprietary and confidential business information and goodwill in its Customers and employees; that the area, duration and scope of the covenants in this section are reasonable and necessary to protect the Company; that they do not unduly oppress or restrict Employee’s ability to earn a livelihood in Employee’s chosen profession; that they are not an undue restraint on Employee’s trade or any of the public interests that may be involved; that good and valuable consideration exists for Employee’s agreement to be bound by such covenants; and that the Company has a legitimate business purpose in requiring Employee to abide by the covenants set forth in this section.</w:t>
      </w:r>
    </w:p>
    <w:p>
      <w:pPr>
        <w:spacing w:after="0" w:line="152" w:lineRule="exact"/>
        <w:rPr>
          <w:rFonts w:ascii="Times New Roman" w:cs="Times New Roman" w:eastAsia="Times New Roman" w:hAnsi="Times New Roman"/>
          <w:sz w:val="17"/>
          <w:szCs w:val="17"/>
          <w:color w:val="auto"/>
        </w:rPr>
      </w:pPr>
    </w:p>
    <w:p>
      <w:pPr>
        <w:jc w:val="both"/>
        <w:ind w:left="-622" w:firstLine="622"/>
        <w:spacing w:after="0" w:line="220" w:lineRule="auto"/>
        <w:tabs>
          <w:tab w:leader="none" w:pos="61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Should any one or more of the parts or subparts of a provision contained in this Appendix, for any reason, be held to be invalid, illegal or unenforceable in any respect in any jurisdiction, such invalidity, illegality or unenforceability shall not affect any other part or subpart of a provision of this Appendix or any other jurisdiction, but the parties agree that a court shall reform and construe this Appendix as if such invalid, illegal or unenforceable part or subpart of a provision had never been contained in this Appendix, and a court shall reform such part or subpart so that it would be valid, legal and enforceable to the maximum extent permitted in such jurisdiction. Without limiting the foregoing, the parties intend that the parts and subparts in this Appendix shall be deemed a series of separate covenants and agreements. If, in any legal proceeding, a court shall refuse to enforce all the parts and subparts, it is the intention of the parties that the remaining non-eliminated separate parts and subparts be enforced in such a proceeding.</w:t>
      </w:r>
    </w:p>
    <w:p>
      <w:pPr>
        <w:spacing w:after="0" w:line="150" w:lineRule="exact"/>
        <w:rPr>
          <w:rFonts w:ascii="Times New Roman" w:cs="Times New Roman" w:eastAsia="Times New Roman" w:hAnsi="Times New Roman"/>
          <w:sz w:val="17"/>
          <w:szCs w:val="17"/>
          <w:color w:val="auto"/>
        </w:rPr>
      </w:pPr>
    </w:p>
    <w:p>
      <w:pPr>
        <w:jc w:val="both"/>
        <w:ind w:left="-622" w:firstLine="622"/>
        <w:spacing w:after="0" w:line="233" w:lineRule="auto"/>
        <w:tabs>
          <w:tab w:leader="none" w:pos="60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Relief, Remedies, and Enforcement</w:t>
      </w:r>
      <w:r>
        <w:rPr>
          <w:rFonts w:ascii="Times New Roman" w:cs="Times New Roman" w:eastAsia="Times New Roman" w:hAnsi="Times New Roman"/>
          <w:sz w:val="17"/>
          <w:szCs w:val="17"/>
          <w:color w:val="auto"/>
        </w:rPr>
        <w:t>. Each party acknowledges that the covenants and obligations set forth in this Agreement are reasonable and necessary to protect the legitimate interests of the other party. Each party further agrees that any breach or threatened breach of this Agreement would cause the other party irreparable harm for which monetary damages alone may not be an adequate remedy. If either party fails to comply with any</w:t>
      </w:r>
    </w:p>
    <w:p>
      <w:pPr>
        <w:sectPr>
          <w:pgSz w:w="11900" w:h="16838" w:orient="portrait"/>
          <w:cols w:equalWidth="0" w:num="1">
            <w:col w:w="10618"/>
          </w:cols>
          <w:pgMar w:left="942" w:top="1348" w:right="339" w:bottom="1440" w:gutter="0" w:footer="0" w:header="0"/>
        </w:sectPr>
      </w:pPr>
    </w:p>
    <w:bookmarkStart w:id="62" w:name="page63"/>
    <w:bookmarkEnd w:id="62"/>
    <w:p>
      <w:pPr>
        <w:spacing w:after="0" w:line="224" w:lineRule="auto"/>
        <w:rPr>
          <w:sz w:val="20"/>
          <w:szCs w:val="20"/>
          <w:color w:val="auto"/>
        </w:rPr>
      </w:pPr>
      <w:r>
        <w:rPr>
          <w:rFonts w:ascii="Times New Roman" w:cs="Times New Roman" w:eastAsia="Times New Roman" w:hAnsi="Times New Roman"/>
          <w:sz w:val="17"/>
          <w:szCs w:val="17"/>
          <w:color w:val="auto"/>
        </w:rPr>
        <w:t>material provision of this Agreement, the non-breaching party shall be entitled to enforce this Agreement by seeking all appropriate relief, including but not limited to temporary restraining orders, preliminary or permanent injunctions, or any other equitable or legal relief, as well as costs and reasonable attorneys’ fees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incurred in enforcing the terms of this Agreement.</w:t>
      </w:r>
    </w:p>
    <w:p>
      <w:pPr>
        <w:sectPr>
          <w:pgSz w:w="11900" w:h="16838" w:orient="portrait"/>
          <w:cols w:equalWidth="0" w:num="1">
            <w:col w:w="11240"/>
          </w:cols>
          <w:pgMar w:left="320" w:top="134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RELEASE</w:t>
      </w:r>
    </w:p>
    <w:p>
      <w:pPr>
        <w:spacing w:after="0" w:line="265" w:lineRule="exact"/>
        <w:rPr>
          <w:sz w:val="20"/>
          <w:szCs w:val="20"/>
          <w:color w:val="auto"/>
        </w:rPr>
      </w:pPr>
    </w:p>
    <w:p>
      <w:pPr>
        <w:ind w:left="200" w:firstLine="14"/>
        <w:spacing w:after="0" w:line="263" w:lineRule="auto"/>
        <w:rPr>
          <w:sz w:val="20"/>
          <w:szCs w:val="20"/>
          <w:color w:val="auto"/>
        </w:rPr>
      </w:pPr>
      <w:r>
        <w:rPr>
          <w:rFonts w:ascii="Times New Roman" w:cs="Times New Roman" w:eastAsia="Times New Roman" w:hAnsi="Times New Roman"/>
          <w:sz w:val="17"/>
          <w:szCs w:val="17"/>
          <w:color w:val="auto"/>
        </w:rPr>
        <w:t>WillScot Holdings Corporation (the “Company”) and Sally Shanks (the “Employee”) entered into a Separation Agreement and Release (“Agreement”). WHEREAS, the Employee and Company understand and agree that they may not execute this Second Release (“Release”) until the Termination Date set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Agreement (i.e., August 15, 2025).</w:t>
      </w:r>
    </w:p>
    <w:p>
      <w:pPr>
        <w:spacing w:after="0" w:line="11"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7"/>
          <w:szCs w:val="17"/>
          <w:color w:val="auto"/>
        </w:rPr>
        <w:t>NOW, THEREFORE, in exchange for the consideration provided for in the Agreement, the Employee and the Company mutually agree to restate, reaffirm and be bound by the releases set forth in Article 1 of the Agreement as of the date hereof. This Release will not become effective until the expiration of seven (7) days from Employee’s execution of this Release, provided Employee has not revoked this Release by such time.</w:t>
      </w:r>
    </w:p>
    <w:p>
      <w:pPr>
        <w:spacing w:after="0" w:line="200" w:lineRule="exact"/>
        <w:rPr>
          <w:sz w:val="20"/>
          <w:szCs w:val="20"/>
          <w:color w:val="auto"/>
        </w:rPr>
      </w:pPr>
    </w:p>
    <w:p>
      <w:pPr>
        <w:spacing w:after="0" w:line="332"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EMPLOYEE</w:t>
            </w:r>
          </w:p>
        </w:tc>
        <w:tc>
          <w:tcPr>
            <w:tcW w:w="5220" w:type="dxa"/>
            <w:vAlign w:val="bottom"/>
            <w:gridSpan w:val="3"/>
          </w:tcPr>
          <w:p>
            <w:pPr>
              <w:ind w:left="1960"/>
              <w:spacing w:after="0"/>
              <w:rPr>
                <w:sz w:val="20"/>
                <w:szCs w:val="20"/>
                <w:color w:val="auto"/>
              </w:rPr>
            </w:pPr>
            <w:r>
              <w:rPr>
                <w:rFonts w:ascii="Times New Roman" w:cs="Times New Roman" w:eastAsia="Times New Roman" w:hAnsi="Times New Roman"/>
                <w:sz w:val="17"/>
                <w:szCs w:val="17"/>
                <w:b w:val="1"/>
                <w:bCs w:val="1"/>
                <w:color w:val="auto"/>
              </w:rPr>
              <w:t>WILLSCOT HOLDINGS CORPORATION</w:t>
            </w:r>
          </w:p>
        </w:tc>
      </w:tr>
      <w:tr>
        <w:trPr>
          <w:trHeight w:val="605"/>
        </w:trPr>
        <w:tc>
          <w:tcPr>
            <w:tcW w:w="104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2220" w:type="dxa"/>
            <w:vAlign w:val="bottom"/>
          </w:tcPr>
          <w:p>
            <w:pPr>
              <w:ind w:left="1960"/>
              <w:spacing w:after="0"/>
              <w:rPr>
                <w:sz w:val="20"/>
                <w:szCs w:val="20"/>
                <w:color w:val="auto"/>
              </w:rPr>
            </w:pPr>
            <w:r>
              <w:rPr>
                <w:rFonts w:ascii="Times New Roman" w:cs="Times New Roman" w:eastAsia="Times New Roman" w:hAnsi="Times New Roman"/>
                <w:sz w:val="17"/>
                <w:szCs w:val="17"/>
                <w:color w:val="auto"/>
                <w:w w:val="97"/>
              </w:rPr>
              <w:t>By:</w:t>
            </w:r>
          </w:p>
        </w:tc>
        <w:tc>
          <w:tcPr>
            <w:tcW w:w="106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r>
        <w:trPr>
          <w:trHeight w:val="354"/>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Sally J. Shanks</w:t>
            </w:r>
          </w:p>
        </w:tc>
        <w:tc>
          <w:tcPr>
            <w:tcW w:w="5220" w:type="dxa"/>
            <w:vAlign w:val="bottom"/>
            <w:gridSpan w:val="3"/>
          </w:tcPr>
          <w:p>
            <w:pPr>
              <w:ind w:left="1960"/>
              <w:spacing w:after="0"/>
              <w:rPr>
                <w:sz w:val="20"/>
                <w:szCs w:val="20"/>
                <w:color w:val="auto"/>
              </w:rPr>
            </w:pPr>
            <w:r>
              <w:rPr>
                <w:rFonts w:ascii="Times New Roman" w:cs="Times New Roman" w:eastAsia="Times New Roman" w:hAnsi="Times New Roman"/>
                <w:sz w:val="17"/>
                <w:szCs w:val="17"/>
                <w:color w:val="auto"/>
              </w:rPr>
              <w:t>Name:</w:t>
            </w:r>
          </w:p>
        </w:tc>
      </w:tr>
      <w:tr>
        <w:trPr>
          <w:trHeight w:val="284"/>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August ___, 2025</w:t>
            </w:r>
          </w:p>
        </w:tc>
        <w:tc>
          <w:tcPr>
            <w:tcW w:w="5220" w:type="dxa"/>
            <w:vAlign w:val="bottom"/>
            <w:gridSpan w:val="3"/>
          </w:tcPr>
          <w:p>
            <w:pPr>
              <w:ind w:left="1960"/>
              <w:spacing w:after="0"/>
              <w:rPr>
                <w:sz w:val="20"/>
                <w:szCs w:val="20"/>
                <w:color w:val="auto"/>
              </w:rPr>
            </w:pPr>
            <w:r>
              <w:rPr>
                <w:rFonts w:ascii="Times New Roman" w:cs="Times New Roman" w:eastAsia="Times New Roman" w:hAnsi="Times New Roman"/>
                <w:sz w:val="17"/>
                <w:szCs w:val="17"/>
                <w:color w:val="auto"/>
              </w:rPr>
              <w:t>Title:</w:t>
            </w:r>
          </w:p>
        </w:tc>
      </w:tr>
      <w:tr>
        <w:trPr>
          <w:trHeight w:val="245"/>
        </w:trPr>
        <w:tc>
          <w:tcPr>
            <w:tcW w:w="10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20" w:type="dxa"/>
            <w:vAlign w:val="bottom"/>
            <w:gridSpan w:val="3"/>
          </w:tcPr>
          <w:p>
            <w:pPr>
              <w:ind w:left="1960"/>
              <w:spacing w:after="0"/>
              <w:rPr>
                <w:sz w:val="20"/>
                <w:szCs w:val="20"/>
                <w:color w:val="auto"/>
              </w:rPr>
            </w:pPr>
            <w:r>
              <w:rPr>
                <w:rFonts w:ascii="Times New Roman" w:cs="Times New Roman" w:eastAsia="Times New Roman" w:hAnsi="Times New Roman"/>
                <w:sz w:val="17"/>
                <w:szCs w:val="17"/>
                <w:color w:val="auto"/>
              </w:rPr>
              <w:t>Date: August __, 2025</w:t>
            </w:r>
          </w:p>
        </w:tc>
      </w:tr>
    </w:tbl>
    <w:p>
      <w:pPr>
        <w:sectPr>
          <w:pgSz w:w="11900" w:h="16838" w:orient="portrait"/>
          <w:cols w:equalWidth="0" w:num="1">
            <w:col w:w="11240"/>
          </w:cols>
          <w:pgMar w:left="320" w:top="135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This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###GRANT_DATE###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by and between WillScot Holdings Corporation,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###PARTICIPANT_NAME### (the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Holdings Corporation 2020 Incentive Award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Capitalized terms used in this Agreement but not defined herein will have the meaning ascribed to them in the Plan.</w:t>
      </w:r>
    </w:p>
    <w:p>
      <w:pPr>
        <w:spacing w:after="0" w:line="127" w:lineRule="exact"/>
        <w:rPr>
          <w:sz w:val="20"/>
          <w:szCs w:val="20"/>
          <w:color w:val="auto"/>
        </w:rPr>
      </w:pPr>
    </w:p>
    <w:p>
      <w:pPr>
        <w:jc w:val="both"/>
        <w:ind w:firstLine="622"/>
        <w:spacing w:after="0" w:line="215" w:lineRule="auto"/>
        <w:tabs>
          <w:tab w:leader="none" w:pos="123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Pursuant to Section 9 of the Plan, the Company hereby issues to the Participant on the Grant Date an Award consisting of ###TOTAL_AWARDS### Restricted Stock Units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4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Each Restricted Stock Unit includes the right to receive a cash payment equal to the amount of any cash dividends paid with respect to one Share, so long as the applicable record date for such cash dividends occurs on or after the Grant Date and before the Restricted Stock Unit is settled; provided that the right to receive such cash payment will be subject to the same terms and conditions (including the risk of forfeiture) as apply to the Restricted Stock Unit to which it relates. For clarity, the cash payment will be made only to the extent that, and at the same time as, the related Restricted Stock Unit is settled, or it will be forfeited as and when the related Restricted Stock Unit is forfeited.</w:t>
      </w:r>
    </w:p>
    <w:p>
      <w:pPr>
        <w:spacing w:after="0" w:line="146" w:lineRule="exact"/>
        <w:rPr>
          <w:sz w:val="20"/>
          <w:szCs w:val="20"/>
          <w:color w:val="auto"/>
        </w:rPr>
      </w:pPr>
    </w:p>
    <w:p>
      <w:pPr>
        <w:ind w:firstLine="622"/>
        <w:spacing w:after="0" w:line="235" w:lineRule="auto"/>
        <w:tabs>
          <w:tab w:leader="none" w:pos="123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Units is made in consideration of the services to be rendered by the Participant to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otherwise provided in Section 4 or in the Plan, provided that the Participant remains in continuous service through the applicable vesting date, the Restricted Stock Units will vest in accordance with the schedule set forth in the chart below (the period during which restrictions apply,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Once vested, the Restricted Stock Units shall become “</w:t>
      </w:r>
      <w:r>
        <w:rPr>
          <w:rFonts w:ascii="Times New Roman" w:cs="Times New Roman" w:eastAsia="Times New Roman" w:hAnsi="Times New Roman"/>
          <w:sz w:val="21"/>
          <w:szCs w:val="21"/>
          <w:b w:val="1"/>
          <w:bCs w:val="1"/>
          <w:color w:val="auto"/>
        </w:rPr>
        <w:t>Vested Units</w:t>
      </w:r>
      <w:r>
        <w:rPr>
          <w:rFonts w:ascii="Times New Roman" w:cs="Times New Roman" w:eastAsia="Times New Roman" w:hAnsi="Times New Roman"/>
          <w:sz w:val="21"/>
          <w:szCs w:val="21"/>
          <w:color w:val="auto"/>
        </w:rPr>
        <w:t>.”</w:t>
      </w:r>
    </w:p>
    <w:p>
      <w:pPr>
        <w:spacing w:after="0" w:line="190" w:lineRule="exact"/>
        <w:rPr>
          <w:sz w:val="20"/>
          <w:szCs w:val="20"/>
          <w:color w:val="auto"/>
        </w:rPr>
      </w:pPr>
    </w:p>
    <w:tbl>
      <w:tblPr>
        <w:tblLayout w:type="fixed"/>
        <w:tblInd w:w="1710" w:type="dxa"/>
        <w:tblCellMar>
          <w:top w:w="0" w:type="dxa"/>
          <w:left w:w="0" w:type="dxa"/>
          <w:bottom w:w="0" w:type="dxa"/>
          <w:right w:w="0" w:type="dxa"/>
        </w:tblCellMar>
      </w:tblPr>
      <w:tr>
        <w:trPr>
          <w:trHeight w:val="245"/>
        </w:trPr>
        <w:tc>
          <w:tcPr>
            <w:tcW w:w="2120" w:type="dxa"/>
            <w:vAlign w:val="bottom"/>
            <w:tcBorders>
              <w:top w:val="single" w:sz="8" w:color="999999"/>
              <w:left w:val="single" w:sz="8" w:color="999999"/>
              <w:right w:val="single" w:sz="8" w:color="999999"/>
            </w:tcBorders>
          </w:tcPr>
          <w:p>
            <w:pPr>
              <w:jc w:val="center"/>
              <w:spacing w:after="0"/>
              <w:rPr>
                <w:sz w:val="20"/>
                <w:szCs w:val="20"/>
                <w:color w:val="auto"/>
              </w:rPr>
            </w:pPr>
            <w:r>
              <w:rPr>
                <w:rFonts w:ascii="Times New Roman" w:cs="Times New Roman" w:eastAsia="Times New Roman" w:hAnsi="Times New Roman"/>
                <w:sz w:val="21"/>
                <w:szCs w:val="21"/>
                <w:color w:val="auto"/>
                <w:w w:val="97"/>
              </w:rPr>
              <w:t>Percentage of</w:t>
            </w:r>
          </w:p>
        </w:tc>
        <w:tc>
          <w:tcPr>
            <w:tcW w:w="3600" w:type="dxa"/>
            <w:vAlign w:val="bottom"/>
            <w:tcBorders>
              <w:top w:val="single" w:sz="8" w:color="999999"/>
              <w:right w:val="single" w:sz="8" w:color="999999"/>
            </w:tcBorders>
          </w:tcPr>
          <w:p>
            <w:pPr>
              <w:ind w:left="1260"/>
              <w:spacing w:after="0"/>
              <w:rPr>
                <w:sz w:val="20"/>
                <w:szCs w:val="20"/>
                <w:color w:val="auto"/>
              </w:rPr>
            </w:pPr>
            <w:r>
              <w:rPr>
                <w:rFonts w:ascii="Times New Roman" w:cs="Times New Roman" w:eastAsia="Times New Roman" w:hAnsi="Times New Roman"/>
                <w:sz w:val="21"/>
                <w:szCs w:val="21"/>
                <w:color w:val="auto"/>
              </w:rPr>
              <w:t>Vesting Date</w:t>
            </w:r>
          </w:p>
        </w:tc>
      </w:tr>
      <w:tr>
        <w:trPr>
          <w:trHeight w:val="168"/>
        </w:trPr>
        <w:tc>
          <w:tcPr>
            <w:tcW w:w="2120" w:type="dxa"/>
            <w:vAlign w:val="bottom"/>
            <w:tcBorders>
              <w:left w:val="single" w:sz="8" w:color="999999"/>
              <w:right w:val="single" w:sz="8" w:color="999999"/>
            </w:tcBorders>
          </w:tcPr>
          <w:p>
            <w:pPr>
              <w:jc w:val="center"/>
              <w:spacing w:after="0" w:line="168" w:lineRule="exact"/>
              <w:rPr>
                <w:sz w:val="20"/>
                <w:szCs w:val="20"/>
                <w:color w:val="auto"/>
              </w:rPr>
            </w:pPr>
            <w:r>
              <w:rPr>
                <w:rFonts w:ascii="Times New Roman" w:cs="Times New Roman" w:eastAsia="Times New Roman" w:hAnsi="Times New Roman"/>
                <w:sz w:val="19"/>
                <w:szCs w:val="19"/>
                <w:color w:val="auto"/>
              </w:rPr>
              <w:t>Restricted Stock Units</w:t>
            </w:r>
          </w:p>
        </w:tc>
        <w:tc>
          <w:tcPr>
            <w:tcW w:w="3600" w:type="dxa"/>
            <w:vAlign w:val="bottom"/>
            <w:tcBorders>
              <w:right w:val="single" w:sz="8" w:color="999999"/>
            </w:tcBorders>
          </w:tcPr>
          <w:p>
            <w:pPr>
              <w:spacing w:after="0"/>
              <w:rPr>
                <w:sz w:val="14"/>
                <w:szCs w:val="14"/>
                <w:color w:val="auto"/>
              </w:rPr>
            </w:pPr>
          </w:p>
        </w:tc>
      </w:tr>
      <w:tr>
        <w:trPr>
          <w:trHeight w:val="268"/>
        </w:trPr>
        <w:tc>
          <w:tcPr>
            <w:tcW w:w="2120" w:type="dxa"/>
            <w:vAlign w:val="bottom"/>
            <w:tcBorders>
              <w:left w:val="single" w:sz="8" w:color="999999"/>
              <w:right w:val="single" w:sz="8" w:color="999999"/>
            </w:tcBorders>
          </w:tcPr>
          <w:p>
            <w:pPr>
              <w:jc w:val="center"/>
              <w:spacing w:after="0"/>
              <w:rPr>
                <w:sz w:val="20"/>
                <w:szCs w:val="20"/>
                <w:color w:val="auto"/>
              </w:rPr>
            </w:pPr>
            <w:r>
              <w:rPr>
                <w:rFonts w:ascii="Times New Roman" w:cs="Times New Roman" w:eastAsia="Times New Roman" w:hAnsi="Times New Roman"/>
                <w:sz w:val="21"/>
                <w:szCs w:val="21"/>
                <w:color w:val="auto"/>
                <w:w w:val="94"/>
              </w:rPr>
              <w:t>Vesting</w:t>
            </w:r>
          </w:p>
        </w:tc>
        <w:tc>
          <w:tcPr>
            <w:tcW w:w="3600" w:type="dxa"/>
            <w:vAlign w:val="bottom"/>
            <w:tcBorders>
              <w:right w:val="single" w:sz="8" w:color="999999"/>
            </w:tcBorders>
          </w:tcPr>
          <w:p>
            <w:pPr>
              <w:spacing w:after="0"/>
              <w:rPr>
                <w:sz w:val="23"/>
                <w:szCs w:val="23"/>
                <w:color w:val="auto"/>
              </w:rPr>
            </w:pPr>
          </w:p>
        </w:tc>
      </w:tr>
      <w:tr>
        <w:trPr>
          <w:trHeight w:val="170"/>
        </w:trPr>
        <w:tc>
          <w:tcPr>
            <w:tcW w:w="2120" w:type="dxa"/>
            <w:vAlign w:val="bottom"/>
            <w:tcBorders>
              <w:left w:val="single" w:sz="8" w:color="999999"/>
              <w:bottom w:val="single" w:sz="8" w:color="auto"/>
              <w:right w:val="single" w:sz="8" w:color="999999"/>
            </w:tcBorders>
          </w:tcPr>
          <w:p>
            <w:pPr>
              <w:spacing w:after="0"/>
              <w:rPr>
                <w:sz w:val="14"/>
                <w:szCs w:val="14"/>
                <w:color w:val="auto"/>
              </w:rPr>
            </w:pPr>
          </w:p>
        </w:tc>
        <w:tc>
          <w:tcPr>
            <w:tcW w:w="3600" w:type="dxa"/>
            <w:vAlign w:val="bottom"/>
            <w:tcBorders>
              <w:bottom w:val="single" w:sz="8" w:color="auto"/>
              <w:right w:val="single" w:sz="8" w:color="999999"/>
            </w:tcBorders>
          </w:tcPr>
          <w:p>
            <w:pPr>
              <w:spacing w:after="0"/>
              <w:rPr>
                <w:sz w:val="14"/>
                <w:szCs w:val="14"/>
                <w:color w:val="auto"/>
              </w:rPr>
            </w:pPr>
          </w:p>
        </w:tc>
      </w:tr>
      <w:tr>
        <w:trPr>
          <w:trHeight w:val="287"/>
        </w:trPr>
        <w:tc>
          <w:tcPr>
            <w:tcW w:w="2120" w:type="dxa"/>
            <w:vAlign w:val="bottom"/>
            <w:tcBorders>
              <w:left w:val="single" w:sz="8" w:color="999999"/>
              <w:right w:val="single" w:sz="8" w:color="999999"/>
            </w:tcBorders>
          </w:tcPr>
          <w:p>
            <w:pPr>
              <w:jc w:val="right"/>
              <w:ind w:right="1439"/>
              <w:spacing w:after="0"/>
              <w:rPr>
                <w:sz w:val="20"/>
                <w:szCs w:val="20"/>
                <w:color w:val="auto"/>
              </w:rPr>
            </w:pPr>
            <w:r>
              <w:rPr>
                <w:rFonts w:ascii="Times New Roman" w:cs="Times New Roman" w:eastAsia="Times New Roman" w:hAnsi="Times New Roman"/>
                <w:sz w:val="21"/>
                <w:szCs w:val="21"/>
                <w:color w:val="auto"/>
              </w:rPr>
              <w:t>100%</w:t>
            </w:r>
          </w:p>
        </w:tc>
        <w:tc>
          <w:tcPr>
            <w:tcW w:w="3600" w:type="dxa"/>
            <w:vAlign w:val="bottom"/>
            <w:tcBorders>
              <w:right w:val="single" w:sz="8" w:color="999999"/>
            </w:tcBorders>
          </w:tcPr>
          <w:p>
            <w:pPr>
              <w:ind w:left="80"/>
              <w:spacing w:after="0"/>
              <w:rPr>
                <w:sz w:val="20"/>
                <w:szCs w:val="20"/>
                <w:color w:val="auto"/>
              </w:rPr>
            </w:pPr>
            <w:r>
              <w:rPr>
                <w:rFonts w:ascii="Times New Roman" w:cs="Times New Roman" w:eastAsia="Times New Roman" w:hAnsi="Times New Roman"/>
                <w:sz w:val="21"/>
                <w:szCs w:val="21"/>
                <w:color w:val="auto"/>
              </w:rPr>
              <w:t>First anniversary of Grant Date</w:t>
            </w:r>
          </w:p>
        </w:tc>
      </w:tr>
      <w:tr>
        <w:trPr>
          <w:trHeight w:val="209"/>
        </w:trPr>
        <w:tc>
          <w:tcPr>
            <w:tcW w:w="2120" w:type="dxa"/>
            <w:vAlign w:val="bottom"/>
            <w:tcBorders>
              <w:left w:val="single" w:sz="8" w:color="999999"/>
              <w:bottom w:val="single" w:sz="8" w:color="999999"/>
              <w:right w:val="single" w:sz="8" w:color="999999"/>
            </w:tcBorders>
          </w:tcPr>
          <w:p>
            <w:pPr>
              <w:spacing w:after="0"/>
              <w:rPr>
                <w:sz w:val="18"/>
                <w:szCs w:val="18"/>
                <w:color w:val="auto"/>
              </w:rPr>
            </w:pPr>
          </w:p>
        </w:tc>
        <w:tc>
          <w:tcPr>
            <w:tcW w:w="3600" w:type="dxa"/>
            <w:vAlign w:val="bottom"/>
            <w:tcBorders>
              <w:bottom w:val="single" w:sz="8" w:color="999999"/>
              <w:right w:val="single" w:sz="8" w:color="999999"/>
            </w:tcBorders>
          </w:tcPr>
          <w:p>
            <w:pPr>
              <w:spacing w:after="0"/>
              <w:rPr>
                <w:sz w:val="18"/>
                <w:szCs w:val="18"/>
                <w:color w:val="auto"/>
              </w:rPr>
            </w:pPr>
          </w:p>
        </w:tc>
      </w:tr>
    </w:tbl>
    <w:p>
      <w:pPr>
        <w:spacing w:after="0" w:line="284" w:lineRule="exact"/>
        <w:rPr>
          <w:sz w:val="20"/>
          <w:szCs w:val="20"/>
          <w:color w:val="auto"/>
        </w:rPr>
      </w:pPr>
    </w:p>
    <w:p>
      <w:pPr>
        <w:ind w:left="1240" w:hanging="618"/>
        <w:spacing w:after="0"/>
        <w:tabs>
          <w:tab w:leader="none" w:pos="12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Service/Employment.</w:t>
      </w:r>
    </w:p>
    <w:p>
      <w:pPr>
        <w:spacing w:after="0" w:line="171"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If the Participant’s employment or service terminates for any reason other than death or Disability (as described in Section 4.2) at any time before all of the Restricted Stock Units have vested, then the Participant’s unvested Restricted Stock Units shall be automatically forfeited upon such termination of employment or service and neither the Company nor any Affiliate shall have any further obligations to the Participant under this Agreement. Notwithstanding the foregoing or any provision of this Agreement or the Plan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361" w:right="339" w:bottom="1440" w:gutter="0" w:footer="0" w:header="0"/>
        </w:sectPr>
      </w:pPr>
    </w:p>
    <w:bookmarkStart w:id="65" w:name="page66"/>
    <w:bookmarkEnd w:id="65"/>
    <w:p>
      <w:pPr>
        <w:jc w:val="both"/>
        <w:spacing w:after="0" w:line="217" w:lineRule="auto"/>
        <w:rPr>
          <w:sz w:val="20"/>
          <w:szCs w:val="20"/>
          <w:color w:val="auto"/>
        </w:rPr>
      </w:pPr>
      <w:r>
        <w:rPr>
          <w:rFonts w:ascii="Times New Roman" w:cs="Times New Roman" w:eastAsia="Times New Roman" w:hAnsi="Times New Roman"/>
          <w:sz w:val="21"/>
          <w:szCs w:val="21"/>
          <w:color w:val="auto"/>
        </w:rPr>
        <w:t>contrary: (a) if the Participant has in effect an employment, retention or separation agreement that addresses the treatment of the Restricted Stock Units upon the Participant’s termination of employment or service (other than for death or Disability, which are governed by Section 4.2), then such agreement shall apply and shall supersede the foregoing provision, and (b) if the Participant experiences a Qualifying Termination on or within the 12-month period following the consummation of the Change in Control, any Restricted Period in effect on the date of such Qualifying Termination shall expire as of such date.</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due to the Participant’s death or Disability (as defined herein), provided the Participant could not be terminated for Cause at such time, the Participant shall become fully vested in his or her Restricted Stock Units, the Restricted Period shall expire, and the Participant’s Restricted Stock Units shall be settled in accordance with Section 7. For purposes of this Agreement, the Participant is considered to have terminated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46" w:lineRule="exact"/>
        <w:rPr>
          <w:sz w:val="20"/>
          <w:szCs w:val="20"/>
          <w:color w:val="auto"/>
        </w:rPr>
      </w:pPr>
    </w:p>
    <w:p>
      <w:pPr>
        <w:jc w:val="both"/>
        <w:ind w:firstLine="622"/>
        <w:spacing w:after="0" w:line="215" w:lineRule="auto"/>
        <w:tabs>
          <w:tab w:leader="none" w:pos="123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of the Common Shares underlying the Restricted Stock Units unless and until such shares are sold or otherwise disposed of, and as record owner shall be entitled to all rights of a shareholder of the Company (including voting rights).</w:t>
      </w:r>
    </w:p>
    <w:p>
      <w:pPr>
        <w:spacing w:after="0" w:line="145" w:lineRule="exact"/>
        <w:rPr>
          <w:rFonts w:ascii="Times New Roman" w:cs="Times New Roman" w:eastAsia="Times New Roman" w:hAnsi="Times New Roman"/>
          <w:sz w:val="21"/>
          <w:szCs w:val="21"/>
          <w:color w:val="auto"/>
        </w:rPr>
      </w:pPr>
    </w:p>
    <w:p>
      <w:pPr>
        <w:jc w:val="both"/>
        <w:ind w:firstLine="622"/>
        <w:spacing w:after="0" w:line="209" w:lineRule="auto"/>
        <w:tabs>
          <w:tab w:leader="none" w:pos="123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Restricted Stock Units.</w:t>
      </w:r>
      <w:r>
        <w:rPr>
          <w:rFonts w:ascii="Times New Roman" w:cs="Times New Roman" w:eastAsia="Times New Roman" w:hAnsi="Times New Roman"/>
          <w:sz w:val="21"/>
          <w:szCs w:val="21"/>
          <w:color w:val="auto"/>
        </w:rPr>
        <w:t xml:space="preserve">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Restricted Stock Units vest as a result of the Participant’s termination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39" w:right="339" w:bottom="1440" w:gutter="0" w:footer="0" w:header="0"/>
        </w:sectPr>
      </w:pPr>
    </w:p>
    <w:bookmarkStart w:id="66" w:name="page67"/>
    <w:bookmarkEnd w:id="66"/>
    <w:p>
      <w:pPr>
        <w:jc w:val="both"/>
        <w:spacing w:after="0" w:line="225" w:lineRule="auto"/>
        <w:rPr>
          <w:sz w:val="20"/>
          <w:szCs w:val="20"/>
          <w:color w:val="auto"/>
        </w:rPr>
      </w:pPr>
      <w:r>
        <w:rPr>
          <w:rFonts w:ascii="Times New Roman" w:cs="Times New Roman" w:eastAsia="Times New Roman" w:hAnsi="Times New Roman"/>
          <w:sz w:val="21"/>
          <w:szCs w:val="21"/>
          <w:color w:val="auto"/>
        </w:rPr>
        <w:t>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46" w:lineRule="exact"/>
        <w:rPr>
          <w:sz w:val="20"/>
          <w:szCs w:val="20"/>
          <w:color w:val="auto"/>
        </w:rPr>
      </w:pPr>
    </w:p>
    <w:p>
      <w:pPr>
        <w:jc w:val="both"/>
        <w:ind w:firstLine="622"/>
        <w:spacing w:after="0" w:line="220"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p>
    <w:p>
      <w:pPr>
        <w:spacing w:after="0" w:line="171"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11.1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spacing w:after="0" w:line="152"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146" w:lineRule="exact"/>
        <w:rPr>
          <w:sz w:val="20"/>
          <w:szCs w:val="20"/>
          <w:color w:val="auto"/>
        </w:rPr>
      </w:pPr>
    </w:p>
    <w:p>
      <w:pPr>
        <w:jc w:val="both"/>
        <w:ind w:firstLine="622"/>
        <w:spacing w:after="0" w:line="213" w:lineRule="auto"/>
        <w:tabs>
          <w:tab w:leader="none" w:pos="123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39" w:right="339" w:bottom="1440" w:gutter="0" w:footer="0" w:header="0"/>
        </w:sectPr>
      </w:pPr>
    </w:p>
    <w:bookmarkStart w:id="67" w:name="page68"/>
    <w:bookmarkEnd w:id="67"/>
    <w:p>
      <w:pPr>
        <w:jc w:val="both"/>
        <w:ind w:left="-140" w:firstLine="622"/>
        <w:spacing w:after="0" w:line="217"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45" w:lineRule="exact"/>
        <w:rPr>
          <w:rFonts w:ascii="Times New Roman" w:cs="Times New Roman" w:eastAsia="Times New Roman" w:hAnsi="Times New Roman"/>
          <w:sz w:val="21"/>
          <w:szCs w:val="21"/>
          <w:color w:val="auto"/>
        </w:rPr>
      </w:pPr>
    </w:p>
    <w:p>
      <w:pPr>
        <w:ind w:left="-140" w:firstLine="622"/>
        <w:spacing w:after="0" w:line="235"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New York without regard to conflict of law principles.</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0"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0"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17"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15" w:lineRule="auto"/>
        <w:tabs>
          <w:tab w:leader="none" w:pos="10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00"/>
          </w:cols>
          <w:pgMar w:left="460" w:top="1339" w:right="339" w:bottom="1440" w:gutter="0" w:footer="0" w:header="0"/>
        </w:sectPr>
      </w:pPr>
    </w:p>
    <w:bookmarkStart w:id="68" w:name="page69"/>
    <w:bookmarkEnd w:id="68"/>
    <w:p>
      <w:pPr>
        <w:ind w:firstLine="622"/>
        <w:spacing w:after="0" w:line="235"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Restricted Stock Units is not part of his or her normal or expected compensation for purposes of calculating any severance, retirement, welfare, insurance or similar employee benefit.</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3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36"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20"/>
          <w:szCs w:val="20"/>
          <w:i w:val="1"/>
          <w:iCs w:val="1"/>
          <w:color w:val="auto"/>
        </w:rPr>
        <w:t>Felicia Gorcyca</w:t>
      </w:r>
    </w:p>
    <w:p>
      <w:pPr>
        <w:spacing w:after="0" w:line="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 Felicia Gorcyca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###PARTICIPANT_NAME###</w:t>
      </w: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 ###PARTICIPANT_NAME###</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Grant Acceptance Date:</w:t>
      </w: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39"/>
          </w:cols>
          <w:pgMar w:left="320" w:top="1365"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This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###GRANT_DATE###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by and between WillScot Holdings Corporation,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###PARTICIPANT_NAME### (the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Holdings Corporation 2020 Incentive Award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Capitalized terms used in this Agreement but not defined herein will have the meaning ascribed to them in the Plan.</w:t>
      </w:r>
    </w:p>
    <w:p>
      <w:pPr>
        <w:spacing w:after="0" w:line="127" w:lineRule="exact"/>
        <w:rPr>
          <w:sz w:val="20"/>
          <w:szCs w:val="20"/>
          <w:color w:val="auto"/>
        </w:rPr>
      </w:pPr>
    </w:p>
    <w:p>
      <w:pPr>
        <w:jc w:val="both"/>
        <w:ind w:firstLine="622"/>
        <w:spacing w:after="0" w:line="215" w:lineRule="auto"/>
        <w:tabs>
          <w:tab w:leader="none" w:pos="123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Pursuant to Section 9 of the Plan, the Company hereby issues to the Participant on the Grant Date an Award consisting of ###TOTAL_AWARDS### Restricted Stock Units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4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Each Restricted Stock Unit includes the right to receive a cash payment equal to the amount of any cash dividends paid with respect to one Share, so long as the applicable record date for such cash dividends occurs on or after the Grant Date and before the Restricted Stock Unit is settled; provided that the right to receive such cash payment will be subject to the same terms and conditions (including the risk of forfeiture) as apply to the Restricted Stock Unit to which it relates. For clarity, the cash payment will be made only to the extent that, and at the same time as, the related Restricted Stock Unit is settled, or it will be forfeited as and when the related Restricted Stock Unit is forfeited.</w:t>
      </w:r>
    </w:p>
    <w:p>
      <w:pPr>
        <w:spacing w:after="0" w:line="172" w:lineRule="exact"/>
        <w:rPr>
          <w:sz w:val="20"/>
          <w:szCs w:val="20"/>
          <w:color w:val="auto"/>
        </w:rPr>
      </w:pPr>
    </w:p>
    <w:p>
      <w:pPr>
        <w:ind w:firstLine="622"/>
        <w:spacing w:after="0" w:line="235" w:lineRule="auto"/>
        <w:tabs>
          <w:tab w:leader="none" w:pos="123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Units is made in consideration of the services to be rendered by the Participant to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otherwise provided in Section 4 or in the Plan, provided that the Participant remains in continuous service through the applicable vesting date, the Restricted Stock Units will vest in accordance with the schedule set forth in the chart below (the period during which restrictions apply,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Once vested, the Restricted Stock Units shall become “</w:t>
      </w:r>
      <w:r>
        <w:rPr>
          <w:rFonts w:ascii="Times New Roman" w:cs="Times New Roman" w:eastAsia="Times New Roman" w:hAnsi="Times New Roman"/>
          <w:sz w:val="21"/>
          <w:szCs w:val="21"/>
          <w:b w:val="1"/>
          <w:bCs w:val="1"/>
          <w:color w:val="auto"/>
        </w:rPr>
        <w:t>Vested Units</w:t>
      </w:r>
      <w:r>
        <w:rPr>
          <w:rFonts w:ascii="Times New Roman" w:cs="Times New Roman" w:eastAsia="Times New Roman" w:hAnsi="Times New Roman"/>
          <w:sz w:val="21"/>
          <w:szCs w:val="21"/>
          <w:color w:val="auto"/>
        </w:rPr>
        <w:t>.”</w:t>
      </w:r>
    </w:p>
    <w:p>
      <w:pPr>
        <w:spacing w:after="0" w:line="190" w:lineRule="exact"/>
        <w:rPr>
          <w:sz w:val="20"/>
          <w:szCs w:val="20"/>
          <w:color w:val="auto"/>
        </w:rPr>
      </w:pPr>
    </w:p>
    <w:tbl>
      <w:tblPr>
        <w:tblLayout w:type="fixed"/>
        <w:tblInd w:w="1250" w:type="dxa"/>
        <w:tblCellMar>
          <w:top w:w="0" w:type="dxa"/>
          <w:left w:w="0" w:type="dxa"/>
          <w:bottom w:w="0" w:type="dxa"/>
          <w:right w:w="0" w:type="dxa"/>
        </w:tblCellMar>
      </w:tblPr>
      <w:tr>
        <w:trPr>
          <w:trHeight w:val="307"/>
        </w:trPr>
        <w:tc>
          <w:tcPr>
            <w:tcW w:w="2220" w:type="dxa"/>
            <w:vAlign w:val="bottom"/>
            <w:tcBorders>
              <w:top w:val="single" w:sz="8" w:color="999999"/>
              <w:left w:val="single" w:sz="8" w:color="999999"/>
              <w:right w:val="single" w:sz="8" w:color="999999"/>
            </w:tcBorders>
          </w:tcPr>
          <w:p>
            <w:pPr>
              <w:jc w:val="right"/>
              <w:spacing w:after="0"/>
              <w:rPr>
                <w:sz w:val="20"/>
                <w:szCs w:val="20"/>
                <w:color w:val="auto"/>
              </w:rPr>
            </w:pPr>
            <w:r>
              <w:rPr>
                <w:rFonts w:ascii="Times New Roman" w:cs="Times New Roman" w:eastAsia="Times New Roman" w:hAnsi="Times New Roman"/>
                <w:sz w:val="21"/>
                <w:szCs w:val="21"/>
                <w:color w:val="auto"/>
              </w:rPr>
              <w:t>Percentage of Restricted</w:t>
            </w:r>
          </w:p>
        </w:tc>
        <w:tc>
          <w:tcPr>
            <w:tcW w:w="3760" w:type="dxa"/>
            <w:vAlign w:val="bottom"/>
            <w:tcBorders>
              <w:top w:val="single" w:sz="8" w:color="999999"/>
              <w:right w:val="single" w:sz="8" w:color="999999"/>
            </w:tcBorders>
          </w:tcPr>
          <w:p>
            <w:pPr>
              <w:ind w:left="1340"/>
              <w:spacing w:after="0"/>
              <w:rPr>
                <w:sz w:val="20"/>
                <w:szCs w:val="20"/>
                <w:color w:val="auto"/>
              </w:rPr>
            </w:pPr>
            <w:r>
              <w:rPr>
                <w:rFonts w:ascii="Times New Roman" w:cs="Times New Roman" w:eastAsia="Times New Roman" w:hAnsi="Times New Roman"/>
                <w:sz w:val="21"/>
                <w:szCs w:val="21"/>
                <w:color w:val="auto"/>
              </w:rPr>
              <w:t>Vesting Date</w:t>
            </w:r>
          </w:p>
        </w:tc>
      </w:tr>
      <w:tr>
        <w:trPr>
          <w:trHeight w:val="271"/>
        </w:trPr>
        <w:tc>
          <w:tcPr>
            <w:tcW w:w="2220" w:type="dxa"/>
            <w:vAlign w:val="bottom"/>
            <w:tcBorders>
              <w:left w:val="single" w:sz="8" w:color="999999"/>
              <w:right w:val="single" w:sz="8" w:color="999999"/>
            </w:tcBorders>
          </w:tcPr>
          <w:p>
            <w:pPr>
              <w:jc w:val="right"/>
              <w:ind w:right="197"/>
              <w:spacing w:after="0"/>
              <w:rPr>
                <w:sz w:val="20"/>
                <w:szCs w:val="20"/>
                <w:color w:val="auto"/>
              </w:rPr>
            </w:pPr>
            <w:r>
              <w:rPr>
                <w:rFonts w:ascii="Times New Roman" w:cs="Times New Roman" w:eastAsia="Times New Roman" w:hAnsi="Times New Roman"/>
                <w:sz w:val="21"/>
                <w:szCs w:val="21"/>
                <w:color w:val="auto"/>
              </w:rPr>
              <w:t>Stock Units Vesting</w:t>
            </w:r>
          </w:p>
        </w:tc>
        <w:tc>
          <w:tcPr>
            <w:tcW w:w="3760" w:type="dxa"/>
            <w:vAlign w:val="bottom"/>
            <w:tcBorders>
              <w:right w:val="single" w:sz="8" w:color="999999"/>
            </w:tcBorders>
          </w:tcPr>
          <w:p>
            <w:pPr>
              <w:spacing w:after="0"/>
              <w:rPr>
                <w:sz w:val="23"/>
                <w:szCs w:val="23"/>
                <w:color w:val="auto"/>
              </w:rPr>
            </w:pPr>
          </w:p>
        </w:tc>
      </w:tr>
      <w:tr>
        <w:trPr>
          <w:trHeight w:val="209"/>
        </w:trPr>
        <w:tc>
          <w:tcPr>
            <w:tcW w:w="2220" w:type="dxa"/>
            <w:vAlign w:val="bottom"/>
            <w:tcBorders>
              <w:left w:val="single" w:sz="8" w:color="999999"/>
              <w:bottom w:val="single" w:sz="8" w:color="auto"/>
              <w:right w:val="single" w:sz="8" w:color="999999"/>
            </w:tcBorders>
          </w:tcPr>
          <w:p>
            <w:pPr>
              <w:spacing w:after="0"/>
              <w:rPr>
                <w:sz w:val="18"/>
                <w:szCs w:val="18"/>
                <w:color w:val="auto"/>
              </w:rPr>
            </w:pPr>
          </w:p>
        </w:tc>
        <w:tc>
          <w:tcPr>
            <w:tcW w:w="3760" w:type="dxa"/>
            <w:vAlign w:val="bottom"/>
            <w:tcBorders>
              <w:bottom w:val="single" w:sz="8" w:color="auto"/>
              <w:right w:val="single" w:sz="8" w:color="999999"/>
            </w:tcBorders>
          </w:tcPr>
          <w:p>
            <w:pPr>
              <w:spacing w:after="0"/>
              <w:rPr>
                <w:sz w:val="18"/>
                <w:szCs w:val="18"/>
                <w:color w:val="auto"/>
              </w:rPr>
            </w:pPr>
          </w:p>
        </w:tc>
      </w:tr>
      <w:tr>
        <w:trPr>
          <w:trHeight w:val="287"/>
        </w:trPr>
        <w:tc>
          <w:tcPr>
            <w:tcW w:w="2220" w:type="dxa"/>
            <w:vAlign w:val="bottom"/>
            <w:tcBorders>
              <w:left w:val="single" w:sz="8" w:color="999999"/>
              <w:right w:val="single" w:sz="8" w:color="999999"/>
            </w:tcBorders>
          </w:tcPr>
          <w:p>
            <w:pPr>
              <w:jc w:val="right"/>
              <w:ind w:right="1377"/>
              <w:spacing w:after="0"/>
              <w:rPr>
                <w:sz w:val="20"/>
                <w:szCs w:val="20"/>
                <w:color w:val="auto"/>
              </w:rPr>
            </w:pPr>
            <w:r>
              <w:rPr>
                <w:rFonts w:ascii="Times New Roman" w:cs="Times New Roman" w:eastAsia="Times New Roman" w:hAnsi="Times New Roman"/>
                <w:sz w:val="21"/>
                <w:szCs w:val="21"/>
                <w:color w:val="auto"/>
                <w:w w:val="99"/>
              </w:rPr>
              <w:t>33-1/3%</w:t>
            </w:r>
          </w:p>
        </w:tc>
        <w:tc>
          <w:tcPr>
            <w:tcW w:w="376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21"/>
                <w:szCs w:val="21"/>
                <w:color w:val="auto"/>
              </w:rPr>
              <w:t>First anniversary of Grant Date</w:t>
            </w:r>
          </w:p>
        </w:tc>
      </w:tr>
      <w:tr>
        <w:trPr>
          <w:trHeight w:val="209"/>
        </w:trPr>
        <w:tc>
          <w:tcPr>
            <w:tcW w:w="2220" w:type="dxa"/>
            <w:vAlign w:val="bottom"/>
            <w:tcBorders>
              <w:left w:val="single" w:sz="8" w:color="999999"/>
              <w:bottom w:val="single" w:sz="8" w:color="999999"/>
              <w:right w:val="single" w:sz="8" w:color="999999"/>
            </w:tcBorders>
          </w:tcPr>
          <w:p>
            <w:pPr>
              <w:spacing w:after="0"/>
              <w:rPr>
                <w:sz w:val="18"/>
                <w:szCs w:val="18"/>
                <w:color w:val="auto"/>
              </w:rPr>
            </w:pPr>
          </w:p>
        </w:tc>
        <w:tc>
          <w:tcPr>
            <w:tcW w:w="3760" w:type="dxa"/>
            <w:vAlign w:val="bottom"/>
            <w:tcBorders>
              <w:bottom w:val="single" w:sz="8" w:color="999999"/>
              <w:right w:val="single" w:sz="8" w:color="999999"/>
            </w:tcBorders>
          </w:tcPr>
          <w:p>
            <w:pPr>
              <w:spacing w:after="0"/>
              <w:rPr>
                <w:sz w:val="18"/>
                <w:szCs w:val="18"/>
                <w:color w:val="auto"/>
              </w:rPr>
            </w:pPr>
          </w:p>
        </w:tc>
      </w:tr>
      <w:tr>
        <w:trPr>
          <w:trHeight w:val="287"/>
        </w:trPr>
        <w:tc>
          <w:tcPr>
            <w:tcW w:w="2220" w:type="dxa"/>
            <w:vAlign w:val="bottom"/>
            <w:tcBorders>
              <w:left w:val="single" w:sz="8" w:color="999999"/>
              <w:right w:val="single" w:sz="8" w:color="999999"/>
            </w:tcBorders>
          </w:tcPr>
          <w:p>
            <w:pPr>
              <w:jc w:val="right"/>
              <w:ind w:right="1377"/>
              <w:spacing w:after="0"/>
              <w:rPr>
                <w:sz w:val="20"/>
                <w:szCs w:val="20"/>
                <w:color w:val="auto"/>
              </w:rPr>
            </w:pPr>
            <w:r>
              <w:rPr>
                <w:rFonts w:ascii="Times New Roman" w:cs="Times New Roman" w:eastAsia="Times New Roman" w:hAnsi="Times New Roman"/>
                <w:sz w:val="21"/>
                <w:szCs w:val="21"/>
                <w:color w:val="auto"/>
                <w:w w:val="99"/>
              </w:rPr>
              <w:t>33-1/3%</w:t>
            </w:r>
          </w:p>
        </w:tc>
        <w:tc>
          <w:tcPr>
            <w:tcW w:w="376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21"/>
                <w:szCs w:val="21"/>
                <w:color w:val="auto"/>
              </w:rPr>
              <w:t>Second anniversary of Grant Date</w:t>
            </w:r>
          </w:p>
        </w:tc>
      </w:tr>
      <w:tr>
        <w:trPr>
          <w:trHeight w:val="209"/>
        </w:trPr>
        <w:tc>
          <w:tcPr>
            <w:tcW w:w="2220" w:type="dxa"/>
            <w:vAlign w:val="bottom"/>
            <w:tcBorders>
              <w:left w:val="single" w:sz="8" w:color="999999"/>
              <w:bottom w:val="single" w:sz="8" w:color="999999"/>
              <w:right w:val="single" w:sz="8" w:color="999999"/>
            </w:tcBorders>
          </w:tcPr>
          <w:p>
            <w:pPr>
              <w:spacing w:after="0"/>
              <w:rPr>
                <w:sz w:val="18"/>
                <w:szCs w:val="18"/>
                <w:color w:val="auto"/>
              </w:rPr>
            </w:pPr>
          </w:p>
        </w:tc>
        <w:tc>
          <w:tcPr>
            <w:tcW w:w="3760" w:type="dxa"/>
            <w:vAlign w:val="bottom"/>
            <w:tcBorders>
              <w:bottom w:val="single" w:sz="8" w:color="999999"/>
              <w:right w:val="single" w:sz="8" w:color="999999"/>
            </w:tcBorders>
          </w:tcPr>
          <w:p>
            <w:pPr>
              <w:spacing w:after="0"/>
              <w:rPr>
                <w:sz w:val="18"/>
                <w:szCs w:val="18"/>
                <w:color w:val="auto"/>
              </w:rPr>
            </w:pPr>
          </w:p>
        </w:tc>
      </w:tr>
      <w:tr>
        <w:trPr>
          <w:trHeight w:val="287"/>
        </w:trPr>
        <w:tc>
          <w:tcPr>
            <w:tcW w:w="2220" w:type="dxa"/>
            <w:vAlign w:val="bottom"/>
            <w:tcBorders>
              <w:left w:val="single" w:sz="8" w:color="999999"/>
              <w:right w:val="single" w:sz="8" w:color="999999"/>
            </w:tcBorders>
          </w:tcPr>
          <w:p>
            <w:pPr>
              <w:jc w:val="right"/>
              <w:ind w:right="1377"/>
              <w:spacing w:after="0"/>
              <w:rPr>
                <w:sz w:val="20"/>
                <w:szCs w:val="20"/>
                <w:color w:val="auto"/>
              </w:rPr>
            </w:pPr>
            <w:r>
              <w:rPr>
                <w:rFonts w:ascii="Times New Roman" w:cs="Times New Roman" w:eastAsia="Times New Roman" w:hAnsi="Times New Roman"/>
                <w:sz w:val="21"/>
                <w:szCs w:val="21"/>
                <w:color w:val="auto"/>
                <w:w w:val="99"/>
              </w:rPr>
              <w:t>33-1/3%</w:t>
            </w:r>
          </w:p>
        </w:tc>
        <w:tc>
          <w:tcPr>
            <w:tcW w:w="3760" w:type="dxa"/>
            <w:vAlign w:val="bottom"/>
            <w:tcBorders>
              <w:right w:val="single" w:sz="8" w:color="999999"/>
            </w:tcBorders>
          </w:tcPr>
          <w:p>
            <w:pPr>
              <w:ind w:left="20"/>
              <w:spacing w:after="0"/>
              <w:rPr>
                <w:sz w:val="20"/>
                <w:szCs w:val="20"/>
                <w:color w:val="auto"/>
              </w:rPr>
            </w:pPr>
            <w:r>
              <w:rPr>
                <w:rFonts w:ascii="Times New Roman" w:cs="Times New Roman" w:eastAsia="Times New Roman" w:hAnsi="Times New Roman"/>
                <w:sz w:val="21"/>
                <w:szCs w:val="21"/>
                <w:color w:val="auto"/>
              </w:rPr>
              <w:t>Third anniversary of Grant Date</w:t>
            </w:r>
          </w:p>
        </w:tc>
      </w:tr>
      <w:tr>
        <w:trPr>
          <w:trHeight w:val="209"/>
        </w:trPr>
        <w:tc>
          <w:tcPr>
            <w:tcW w:w="2220" w:type="dxa"/>
            <w:vAlign w:val="bottom"/>
            <w:tcBorders>
              <w:left w:val="single" w:sz="8" w:color="999999"/>
              <w:bottom w:val="single" w:sz="8" w:color="999999"/>
              <w:right w:val="single" w:sz="8" w:color="999999"/>
            </w:tcBorders>
          </w:tcPr>
          <w:p>
            <w:pPr>
              <w:spacing w:after="0"/>
              <w:rPr>
                <w:sz w:val="18"/>
                <w:szCs w:val="18"/>
                <w:color w:val="auto"/>
              </w:rPr>
            </w:pPr>
          </w:p>
        </w:tc>
        <w:tc>
          <w:tcPr>
            <w:tcW w:w="3760" w:type="dxa"/>
            <w:vAlign w:val="bottom"/>
            <w:tcBorders>
              <w:bottom w:val="single" w:sz="8" w:color="999999"/>
              <w:right w:val="single" w:sz="8" w:color="999999"/>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361" w:right="339" w:bottom="1440" w:gutter="0" w:footer="0" w:header="0"/>
        </w:sectPr>
      </w:pPr>
    </w:p>
    <w:bookmarkStart w:id="71" w:name="page72"/>
    <w:bookmarkEnd w:id="71"/>
    <w:p>
      <w:pPr>
        <w:ind w:left="1240" w:hanging="618"/>
        <w:spacing w:after="0"/>
        <w:tabs>
          <w:tab w:leader="none" w:pos="12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Service/Employment.</w:t>
      </w:r>
    </w:p>
    <w:p>
      <w:pPr>
        <w:spacing w:after="0" w:line="171"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If the Participant’s employment or service terminates for any reason other than death or Disability (as described in Section 4.2) at any time before all of the Restricted Stock Units have vested, then the Participant’s unvested Restricted Stock Units shall be automatically forfeited upon such termination of employment or service and neither the Company nor any Affiliate shall have any further obligations to the Participant under this Agreement. Notwithstanding the foregoing or any provision of this Agreement or the Plan to the contrary: (a) if the Participant has in effect an employment, retention or separation agreement that addresses the treatment of the Restricted Stock Units upon the Participant’s termination of employment or service (other than for death or Disability, which are governed by Section 4.2), then such agreement shall apply and shall supersede the foregoing provision, and (b) if the Participant experiences a Qualifying Termination on or within the 12-month period following the consummation of the Change in Control, any Restricted Period in effect on the date of such Qualifying Termination shall expire as of such date.</w:t>
      </w:r>
    </w:p>
    <w:p>
      <w:pPr>
        <w:spacing w:after="0" w:line="15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due to the Participant’s death or Disability (as defined herein), provided the Participant could not be terminated for Cause at such time, the Participant shall become fully vested in his or her Restricted Stock Units, the Restricted Period shall expire, and the Participant’s Restricted Stock Units shall be settled in accordance with Section 7. For purposes of this Agreement, the Participant is considered to have terminated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46" w:lineRule="exact"/>
        <w:rPr>
          <w:sz w:val="20"/>
          <w:szCs w:val="20"/>
          <w:color w:val="auto"/>
        </w:rPr>
      </w:pPr>
    </w:p>
    <w:p>
      <w:pPr>
        <w:jc w:val="both"/>
        <w:ind w:firstLine="622"/>
        <w:spacing w:after="0" w:line="215" w:lineRule="auto"/>
        <w:tabs>
          <w:tab w:leader="none" w:pos="12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of the Common Shares underlying the Restricted Stock Units unless and until such shares are sold or otherwise disposed of, and as record owner shall be entitled to all rights of a shareholder of the Company (including voting rights).</w:t>
      </w:r>
    </w:p>
    <w:p>
      <w:pPr>
        <w:spacing w:after="0" w:line="145"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Restricted Stock Units.</w:t>
      </w:r>
      <w:r>
        <w:rPr>
          <w:rFonts w:ascii="Times New Roman" w:cs="Times New Roman" w:eastAsia="Times New Roman" w:hAnsi="Times New Roman"/>
          <w:sz w:val="21"/>
          <w:szCs w:val="21"/>
          <w:color w:val="auto"/>
        </w:rPr>
        <w:t xml:space="preserve">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39" w:right="339" w:bottom="1440" w:gutter="0" w:footer="0" w:header="0"/>
        </w:sectPr>
      </w:pPr>
    </w:p>
    <w:bookmarkStart w:id="72" w:name="page73"/>
    <w:bookmarkEnd w:id="72"/>
    <w:p>
      <w:pPr>
        <w:jc w:val="both"/>
        <w:spacing w:after="0" w:line="212" w:lineRule="auto"/>
        <w:rPr>
          <w:sz w:val="20"/>
          <w:szCs w:val="20"/>
          <w:color w:val="auto"/>
        </w:rPr>
      </w:pPr>
      <w:r>
        <w:rPr>
          <w:rFonts w:ascii="Times New Roman" w:cs="Times New Roman" w:eastAsia="Times New Roman" w:hAnsi="Times New Roman"/>
          <w:sz w:val="21"/>
          <w:szCs w:val="21"/>
          <w:color w:val="auto"/>
        </w:rPr>
        <w:t>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Restricted Stock Units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50" w:lineRule="exact"/>
        <w:rPr>
          <w:sz w:val="20"/>
          <w:szCs w:val="20"/>
          <w:color w:val="auto"/>
        </w:rPr>
      </w:pPr>
    </w:p>
    <w:p>
      <w:pPr>
        <w:jc w:val="both"/>
        <w:ind w:firstLine="622"/>
        <w:spacing w:after="0" w:line="220" w:lineRule="auto"/>
        <w:tabs>
          <w:tab w:leader="none" w:pos="123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p>
    <w:p>
      <w:pPr>
        <w:spacing w:after="0" w:line="171"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11.1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spacing w:after="0" w:line="152"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39" w:right="339" w:bottom="1440" w:gutter="0" w:footer="0" w:header="0"/>
        </w:sectPr>
      </w:pPr>
    </w:p>
    <w:bookmarkStart w:id="73" w:name="page74"/>
    <w:bookmarkEnd w:id="73"/>
    <w:p>
      <w:pPr>
        <w:jc w:val="both"/>
        <w:ind w:left="-140" w:firstLine="622"/>
        <w:spacing w:after="0" w:line="213"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49" w:lineRule="exact"/>
        <w:rPr>
          <w:rFonts w:ascii="Times New Roman" w:cs="Times New Roman" w:eastAsia="Times New Roman" w:hAnsi="Times New Roman"/>
          <w:sz w:val="21"/>
          <w:szCs w:val="21"/>
          <w:color w:val="auto"/>
        </w:rPr>
      </w:pPr>
    </w:p>
    <w:p>
      <w:pPr>
        <w:jc w:val="both"/>
        <w:ind w:left="-140" w:firstLine="622"/>
        <w:spacing w:after="0" w:line="217"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45" w:lineRule="exact"/>
        <w:rPr>
          <w:rFonts w:ascii="Times New Roman" w:cs="Times New Roman" w:eastAsia="Times New Roman" w:hAnsi="Times New Roman"/>
          <w:sz w:val="21"/>
          <w:szCs w:val="21"/>
          <w:color w:val="auto"/>
        </w:rPr>
      </w:pPr>
    </w:p>
    <w:p>
      <w:pPr>
        <w:ind w:left="-140" w:firstLine="622"/>
        <w:spacing w:after="0" w:line="235"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New York without regard to conflict of law principles.</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0"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0"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17"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45" w:lineRule="exact"/>
        <w:rPr>
          <w:rFonts w:ascii="Times New Roman" w:cs="Times New Roman" w:eastAsia="Times New Roman" w:hAnsi="Times New Roman"/>
          <w:sz w:val="21"/>
          <w:szCs w:val="21"/>
          <w:color w:val="auto"/>
        </w:rPr>
      </w:pPr>
    </w:p>
    <w:p>
      <w:pPr>
        <w:jc w:val="both"/>
        <w:ind w:left="-140" w:firstLine="622"/>
        <w:spacing w:after="0" w:line="225" w:lineRule="auto"/>
        <w:tabs>
          <w:tab w:leader="none" w:pos="10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00"/>
          </w:cols>
          <w:pgMar w:left="460" w:top="1339" w:right="339" w:bottom="1440" w:gutter="0" w:footer="0" w:header="0"/>
        </w:sectPr>
      </w:pPr>
    </w:p>
    <w:bookmarkStart w:id="74" w:name="page75"/>
    <w:bookmarkEnd w:id="74"/>
    <w:p>
      <w:pPr>
        <w:jc w:val="both"/>
        <w:ind w:firstLine="622"/>
        <w:spacing w:after="0" w:line="215" w:lineRule="auto"/>
        <w:tabs>
          <w:tab w:leader="none" w:pos="123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45" w:lineRule="exact"/>
        <w:rPr>
          <w:rFonts w:ascii="Times New Roman" w:cs="Times New Roman" w:eastAsia="Times New Roman" w:hAnsi="Times New Roman"/>
          <w:sz w:val="21"/>
          <w:szCs w:val="21"/>
          <w:color w:val="auto"/>
        </w:rPr>
      </w:pPr>
    </w:p>
    <w:p>
      <w:pPr>
        <w:ind w:firstLine="622"/>
        <w:spacing w:after="0" w:line="235" w:lineRule="auto"/>
        <w:tabs>
          <w:tab w:leader="none" w:pos="123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Restricted Stock Units is not part of his or her normal or expected compensation for purposes of calculating any severance, retirement, welfare, insurance or similar employee benefit.</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3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36"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20"/>
          <w:szCs w:val="20"/>
          <w:i w:val="1"/>
          <w:iCs w:val="1"/>
          <w:color w:val="auto"/>
        </w:rPr>
        <w:t>Felicia Gorcyca</w:t>
      </w:r>
    </w:p>
    <w:p>
      <w:pPr>
        <w:spacing w:after="0" w:line="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 Felicia Gorcyca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###PARTICIPANT_NAME###</w:t>
      </w: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 ###PARTICIPANT_NAME###</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Grant Acceptance Date:</w:t>
      </w: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39"/>
          </w:cols>
          <w:pgMar w:left="320" w:top="1365"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6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6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6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6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6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July 31,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Matthew Jacobsen, certify that:</w:t>
      </w:r>
    </w:p>
    <w:p>
      <w:pPr>
        <w:spacing w:after="0" w:line="279" w:lineRule="exact"/>
        <w:rPr>
          <w:sz w:val="20"/>
          <w:szCs w:val="20"/>
          <w:color w:val="auto"/>
        </w:rPr>
      </w:pPr>
    </w:p>
    <w:p>
      <w:pPr>
        <w:ind w:left="180" w:hanging="177"/>
        <w:spacing w:after="0"/>
        <w:tabs>
          <w:tab w:leader="none" w:pos="1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6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6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6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6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6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July 31,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July 31, 2025</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July 31, 2025</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Chief Financial Officer</w:t>
      </w:r>
    </w:p>
    <w:p>
      <w:pPr>
        <w:ind w:left="724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lowerLetter"/>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
      <w:numFmt w:val="bullet"/>
      <w:start w:val="1"/>
    </w:lvl>
    <w:lvl w:ilvl="1">
      <w:lvlJc w:val="left"/>
      <w:lvlText w:val="\endash "/>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lowerRoman"/>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4"/>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decimal"/>
      <w:start w:val="1"/>
    </w:lvl>
    <w:lvl w:ilvl="1">
      <w:lvlJc w:val="left"/>
      <w:lvlText w:val="(%2)"/>
      <w:numFmt w:val="lowerLetter"/>
      <w:start w:val="1"/>
    </w:lvl>
  </w:abstractNum>
  <w:abstractNum w:abstractNumId="16">
    <w:nsid w:val="580BD78F"/>
    <w:multiLevelType w:val="hybridMultilevel"/>
    <w:lvl w:ilvl="0">
      <w:lvlJc w:val="left"/>
      <w:lvlText w:val="%1."/>
      <w:numFmt w:val="decimal"/>
      <w:start w:val="5"/>
    </w:lvl>
    <w:lvl w:ilvl="1">
      <w:lvlJc w:val="left"/>
      <w:lvlText w:val="%2"/>
      <w:numFmt w:val="lowerLetter"/>
      <w:start w:val="1"/>
    </w:lvl>
  </w:abstractNum>
  <w:abstractNum w:abstractNumId="17">
    <w:nsid w:val="153EA438"/>
    <w:multiLevelType w:val="hybridMultilevel"/>
    <w:lvl w:ilvl="0">
      <w:lvlJc w:val="left"/>
      <w:lvlText w:val="%1."/>
      <w:numFmt w:val="decimal"/>
      <w:start w:val="7"/>
    </w:lvl>
  </w:abstractNum>
  <w:abstractNum w:abstractNumId="18">
    <w:nsid w:val="3855585C"/>
    <w:multiLevelType w:val="hybridMultilevel"/>
    <w:lvl w:ilvl="0">
      <w:lvlJc w:val="left"/>
      <w:lvlText w:val="%1."/>
      <w:numFmt w:val="decimal"/>
      <w:start w:val="11"/>
    </w:lvl>
  </w:abstractNum>
  <w:abstractNum w:abstractNumId="19">
    <w:nsid w:val="70A64E2A"/>
    <w:multiLevelType w:val="hybridMultilevel"/>
    <w:lvl w:ilvl="0">
      <w:lvlJc w:val="left"/>
      <w:lvlText w:val="%1."/>
      <w:numFmt w:val="decimal"/>
      <w:start w:val="12"/>
    </w:lvl>
  </w:abstractNum>
  <w:abstractNum w:abstractNumId="20">
    <w:nsid w:val="6A2342EC"/>
    <w:multiLevelType w:val="hybridMultilevel"/>
    <w:lvl w:ilvl="0">
      <w:lvlJc w:val="left"/>
      <w:lvlText w:val="%1."/>
      <w:numFmt w:val="decimal"/>
      <w:start w:val="20"/>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o"/>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Letter"/>
      <w:start w:val="1"/>
    </w:lvl>
    <w:lvl w:ilvl="1">
      <w:lvlJc w:val="left"/>
      <w:lvlText w:val="(%2)"/>
      <w:numFmt w:val="lowerLetter"/>
      <w:start w:val="1"/>
    </w:lvl>
  </w:abstractNum>
  <w:abstractNum w:abstractNumId="28">
    <w:nsid w:val="542289EC"/>
    <w:multiLevelType w:val="hybridMultilevel"/>
    <w:lvl w:ilvl="0">
      <w:lvlJc w:val="left"/>
      <w:lvlText w:val="(%1)"/>
      <w:numFmt w:val="lowerLetter"/>
      <w:start w:val="9"/>
    </w:lvl>
    <w:lvl w:ilvl="1">
      <w:lvlJc w:val="left"/>
      <w:lvlText w:val="(%2)"/>
      <w:numFmt w:val="lowerLetter"/>
      <w:start w:val="2"/>
    </w:lvl>
  </w:abstractNum>
  <w:abstractNum w:abstractNumId="29">
    <w:nsid w:val="6DE91B18"/>
    <w:multiLevelType w:val="hybridMultilevel"/>
    <w:lvl w:ilvl="0">
      <w:lvlJc w:val="left"/>
      <w:lvlText w:val="(%1)"/>
      <w:numFmt w:val="lowerLetter"/>
      <w:start w:val="5"/>
    </w:lvl>
    <w:lvl w:ilvl="1">
      <w:lvlJc w:val="left"/>
      <w:lvlText w:val="(%2)"/>
      <w:numFmt w:val="lowerRoman"/>
      <w:start w:val="1"/>
    </w:lvl>
  </w:abstractNum>
  <w:abstractNum w:abstractNumId="30">
    <w:nsid w:val="38437FDB"/>
    <w:multiLevelType w:val="hybridMultilevel"/>
    <w:lvl w:ilvl="0">
      <w:lvlJc w:val="left"/>
      <w:lvlText w:val="(%1)"/>
      <w:numFmt w:val="lowerLetter"/>
      <w:start w:val="8"/>
    </w:lvl>
  </w:abstractNum>
  <w:abstractNum w:abstractNumId="31">
    <w:nsid w:val="7644A45C"/>
    <w:multiLevelType w:val="hybridMultilevel"/>
    <w:lvl w:ilvl="0">
      <w:lvlJc w:val="left"/>
      <w:lvlText w:val="(%1)"/>
      <w:numFmt w:val="lowerLetter"/>
      <w:start w:val="9"/>
    </w:lvl>
  </w:abstractNum>
  <w:abstractNum w:abstractNumId="32">
    <w:nsid w:val="32FFF902"/>
    <w:multiLevelType w:val="hybridMultilevel"/>
    <w:lvl w:ilvl="0">
      <w:lvlJc w:val="left"/>
      <w:lvlText w:val="(%1)"/>
      <w:numFmt w:val="lowerRoman"/>
      <w:start w:val="1"/>
    </w:lvl>
  </w:abstractNum>
  <w:abstractNum w:abstractNumId="33">
    <w:nsid w:val="684A481A"/>
    <w:multiLevelType w:val="hybridMultilevel"/>
    <w:lvl w:ilvl="0">
      <w:lvlJc w:val="left"/>
      <w:lvlText w:val="(%1)"/>
      <w:numFmt w:val="upperLetter"/>
      <w:start w:val="2"/>
    </w:lvl>
  </w:abstractNum>
  <w:abstractNum w:abstractNumId="34">
    <w:nsid w:val="579478FE"/>
    <w:multiLevelType w:val="hybridMultilevel"/>
    <w:lvl w:ilvl="0">
      <w:lvlJc w:val="left"/>
      <w:lvlText w:val="(%1)"/>
      <w:numFmt w:val="lowerRoman"/>
      <w:start w:val="3"/>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decimal"/>
      <w:start w:val="4"/>
    </w:lvl>
  </w:abstractNum>
  <w:abstractNum w:abstractNumId="39">
    <w:nsid w:val="75C6C33A"/>
    <w:multiLevelType w:val="hybridMultilevel"/>
    <w:lvl w:ilvl="0">
      <w:lvlJc w:val="left"/>
      <w:lvlText w:val="%1"/>
      <w:numFmt w:val="lowerLetter"/>
      <w:start w:val="1"/>
    </w:lvl>
    <w:lvl w:ilvl="1">
      <w:lvlJc w:val="left"/>
      <w:lvlText w:val="%2."/>
      <w:numFmt w:val="decimal"/>
      <w:start w:val="5"/>
    </w:lvl>
  </w:abstractNum>
  <w:abstractNum w:abstractNumId="40">
    <w:nsid w:val="12E685FB"/>
    <w:multiLevelType w:val="hybridMultilevel"/>
    <w:lvl w:ilvl="0">
      <w:lvlJc w:val="left"/>
      <w:lvlText w:val="(%1)"/>
      <w:numFmt w:val="lowerLetter"/>
      <w:start w:val="3"/>
    </w:lvl>
    <w:lvl w:ilvl="1">
      <w:lvlJc w:val="left"/>
      <w:lvlText w:val="%2."/>
      <w:numFmt w:val="decimal"/>
      <w:start w:val="6"/>
    </w:lvl>
  </w:abstractNum>
  <w:abstractNum w:abstractNumId="41">
    <w:nsid w:val="70C6A529"/>
    <w:multiLevelType w:val="hybridMultilevel"/>
    <w:lvl w:ilvl="0">
      <w:lvlJc w:val="left"/>
      <w:lvlText w:val="%1."/>
      <w:numFmt w:val="decimal"/>
      <w:start w:val="1"/>
    </w:lvl>
    <w:lvl w:ilvl="1">
      <w:lvlJc w:val="left"/>
      <w:lvlText w:val="%2."/>
      <w:numFmt w:val="lowerLetter"/>
      <w:start w:val="1"/>
    </w:lvl>
  </w:abstractNum>
  <w:abstractNum w:abstractNumId="42">
    <w:nsid w:val="520EEDD1"/>
    <w:multiLevelType w:val="hybridMultilevel"/>
    <w:lvl w:ilvl="0">
      <w:lvlJc w:val="left"/>
      <w:lvlText w:val="%1"/>
      <w:numFmt w:val="decimal"/>
      <w:start w:val="1"/>
    </w:lvl>
    <w:lvl w:ilvl="1">
      <w:lvlJc w:val="left"/>
      <w:lvlText w:val="%2."/>
      <w:numFmt w:val="lowerLetter"/>
      <w:start w:val="7"/>
    </w:lvl>
  </w:abstractNum>
  <w:abstractNum w:abstractNumId="43">
    <w:nsid w:val="374A3FE6"/>
    <w:multiLevelType w:val="hybridMultilevel"/>
    <w:lvl w:ilvl="0">
      <w:lvlJc w:val="left"/>
      <w:lvlText w:val="%1."/>
      <w:numFmt w:val="decimal"/>
      <w:start w:val="2"/>
    </w:lvl>
    <w:lvl w:ilvl="1">
      <w:lvlJc w:val="left"/>
      <w:lvlText w:val="%2"/>
      <w:numFmt w:val="lowerLetter"/>
      <w:start w:val="1"/>
    </w:lvl>
  </w:abstractNum>
  <w:abstractNum w:abstractNumId="44">
    <w:nsid w:val="4F4EF005"/>
    <w:multiLevelType w:val="hybridMultilevel"/>
    <w:lvl w:ilvl="0">
      <w:lvlJc w:val="left"/>
      <w:lvlText w:val="%1."/>
      <w:numFmt w:val="decimal"/>
      <w:start w:val="7"/>
    </w:lvl>
    <w:lvl w:ilvl="1">
      <w:lvlJc w:val="left"/>
      <w:lvlText w:val="%2."/>
      <w:numFmt w:val="lowerLetter"/>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2"/>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1."/>
      <w:numFmt w:val="decimal"/>
      <w:start w:val="5"/>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decimal"/>
      <w:start w:val="12"/>
    </w:lvl>
  </w:abstractNum>
  <w:abstractNum w:abstractNumId="51">
    <w:nsid w:val="235BA861"/>
    <w:multiLevelType w:val="hybridMultilevel"/>
    <w:lvl w:ilvl="0">
      <w:lvlJc w:val="left"/>
      <w:lvlText w:val="%1."/>
      <w:numFmt w:val="decimal"/>
      <w:start w:val="13"/>
    </w:lvl>
  </w:abstractNum>
  <w:abstractNum w:abstractNumId="52">
    <w:nsid w:val="47398C89"/>
    <w:multiLevelType w:val="hybridMultilevel"/>
    <w:lvl w:ilvl="0">
      <w:lvlJc w:val="left"/>
      <w:lvlText w:val="%1."/>
      <w:numFmt w:val="decimal"/>
      <w:start w:val="22"/>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2"/>
    </w:lvl>
  </w:abstractNum>
  <w:abstractNum w:abstractNumId="55">
    <w:nsid w:val="741226BB"/>
    <w:multiLevelType w:val="hybridMultilevel"/>
    <w:lvl w:ilvl="0">
      <w:lvlJc w:val="left"/>
      <w:lvlText w:val="%1."/>
      <w:numFmt w:val="decimal"/>
      <w:start w:val="4"/>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decimal"/>
      <w:start w:val="8"/>
    </w:lvl>
  </w:abstractNum>
  <w:abstractNum w:abstractNumId="58">
    <w:nsid w:val="3F6AB60F"/>
    <w:multiLevelType w:val="hybridMultilevel"/>
    <w:lvl w:ilvl="0">
      <w:lvlJc w:val="left"/>
      <w:lvlText w:val="%1."/>
      <w:numFmt w:val="decimal"/>
      <w:start w:val="12"/>
    </w:lvl>
  </w:abstractNum>
  <w:abstractNum w:abstractNumId="59">
    <w:nsid w:val="61574095"/>
    <w:multiLevelType w:val="hybridMultilevel"/>
    <w:lvl w:ilvl="0">
      <w:lvlJc w:val="left"/>
      <w:lvlText w:val="%1."/>
      <w:numFmt w:val="decimal"/>
      <w:start w:val="2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lowerRoman"/>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2025-07-31T16:13:47Z</dcterms:created>
  <dcterms:modified xsi:type="dcterms:W3CDTF">2025-07-31T16:13:47Z</dcterms:modified>
</cp:coreProperties>
</file>