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598170</wp:posOffset>
            </wp:positionH>
            <wp:positionV relativeFrom="page">
              <wp:posOffset>530860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498475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8" w:lineRule="exact"/>
        <w:rPr>
          <w:sz w:val="24"/>
          <w:szCs w:val="24"/>
          <w:color w:val="auto"/>
        </w:rPr>
      </w:pPr>
    </w:p>
    <w:p>
      <w:pPr>
        <w:ind w:left="3960" w:right="2680" w:hanging="3248"/>
        <w:spacing w:after="0" w:line="345" w:lineRule="auto"/>
        <w:tabs>
          <w:tab w:leader="none" w:pos="1515"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2024</w:t>
      </w:r>
    </w:p>
    <w:p>
      <w:pPr>
        <w:spacing w:after="0" w:line="122" w:lineRule="exact"/>
        <w:rPr>
          <w:sz w:val="24"/>
          <w:szCs w:val="24"/>
          <w:color w:val="auto"/>
        </w:rPr>
      </w:pPr>
    </w:p>
    <w:p>
      <w:pPr>
        <w:ind w:left="3920" w:right="2680" w:hanging="3208"/>
        <w:spacing w:after="0" w:line="345" w:lineRule="auto"/>
        <w:tabs>
          <w:tab w:leader="none" w:pos="1517"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83"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108585</wp:posOffset>
            </wp:positionV>
            <wp:extent cx="1751965" cy="589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1965" cy="589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WILLSCOT HOLDINGS CORPORATION</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3940" w:type="dxa"/>
            <w:vAlign w:val="bottom"/>
          </w:tcPr>
          <w:p>
            <w:pPr>
              <w:spacing w:after="0"/>
              <w:rPr>
                <w:sz w:val="15"/>
                <w:szCs w:val="15"/>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color w:val="auto"/>
                <w:w w:val="97"/>
              </w:rPr>
              <w:t>(Exact name of registrant as specified in its charter)</w:t>
            </w:r>
          </w:p>
        </w:tc>
        <w:tc>
          <w:tcPr>
            <w:tcW w:w="3600" w:type="dxa"/>
            <w:vAlign w:val="bottom"/>
          </w:tcPr>
          <w:p>
            <w:pPr>
              <w:spacing w:after="0"/>
              <w:rPr>
                <w:sz w:val="15"/>
                <w:szCs w:val="15"/>
                <w:color w:val="auto"/>
              </w:rPr>
            </w:pPr>
          </w:p>
        </w:tc>
      </w:tr>
      <w:tr>
        <w:trPr>
          <w:trHeight w:val="199"/>
        </w:trPr>
        <w:tc>
          <w:tcPr>
            <w:tcW w:w="3940" w:type="dxa"/>
            <w:vAlign w:val="bottom"/>
          </w:tcPr>
          <w:p>
            <w:pPr>
              <w:jc w:val="center"/>
              <w:ind w:right="51"/>
              <w:spacing w:after="0"/>
              <w:rPr>
                <w:sz w:val="20"/>
                <w:szCs w:val="20"/>
                <w:color w:val="auto"/>
              </w:rPr>
            </w:pPr>
            <w:r>
              <w:rPr>
                <w:rFonts w:ascii="Arial" w:cs="Arial" w:eastAsia="Arial" w:hAnsi="Arial"/>
                <w:sz w:val="14"/>
                <w:szCs w:val="14"/>
                <w:b w:val="1"/>
                <w:bCs w:val="1"/>
                <w:color w:val="auto"/>
              </w:rPr>
              <w:t>Delaware</w:t>
            </w:r>
          </w:p>
        </w:tc>
        <w:tc>
          <w:tcPr>
            <w:tcW w:w="3700" w:type="dxa"/>
            <w:vAlign w:val="bottom"/>
          </w:tcPr>
          <w:p>
            <w:pPr>
              <w:spacing w:after="0"/>
              <w:rPr>
                <w:sz w:val="17"/>
                <w:szCs w:val="17"/>
                <w:color w:val="auto"/>
              </w:rPr>
            </w:pPr>
          </w:p>
        </w:tc>
        <w:tc>
          <w:tcPr>
            <w:tcW w:w="3600" w:type="dxa"/>
            <w:vAlign w:val="bottom"/>
          </w:tcPr>
          <w:p>
            <w:pPr>
              <w:jc w:val="right"/>
              <w:ind w:right="1471"/>
              <w:spacing w:after="0"/>
              <w:rPr>
                <w:sz w:val="20"/>
                <w:szCs w:val="20"/>
                <w:color w:val="auto"/>
              </w:rPr>
            </w:pPr>
            <w:r>
              <w:rPr>
                <w:rFonts w:ascii="Arial" w:cs="Arial" w:eastAsia="Arial" w:hAnsi="Arial"/>
                <w:sz w:val="14"/>
                <w:szCs w:val="14"/>
                <w:b w:val="1"/>
                <w:bCs w:val="1"/>
                <w:color w:val="auto"/>
              </w:rPr>
              <w:t>82-3430194</w:t>
            </w:r>
          </w:p>
        </w:tc>
      </w:tr>
      <w:tr>
        <w:trPr>
          <w:trHeight w:val="187"/>
        </w:trPr>
        <w:tc>
          <w:tcPr>
            <w:tcW w:w="3940" w:type="dxa"/>
            <w:vAlign w:val="bottom"/>
          </w:tcPr>
          <w:p>
            <w:pPr>
              <w:jc w:val="center"/>
              <w:ind w:right="51"/>
              <w:spacing w:after="0"/>
              <w:rPr>
                <w:sz w:val="20"/>
                <w:szCs w:val="20"/>
                <w:color w:val="auto"/>
              </w:rPr>
            </w:pPr>
            <w:r>
              <w:rPr>
                <w:rFonts w:ascii="Arial" w:cs="Arial" w:eastAsia="Arial" w:hAnsi="Arial"/>
                <w:sz w:val="14"/>
                <w:szCs w:val="14"/>
                <w:color w:val="auto"/>
                <w:w w:val="97"/>
              </w:rPr>
              <w:t>(State or other jurisdiction of incorporation)</w:t>
            </w:r>
          </w:p>
        </w:tc>
        <w:tc>
          <w:tcPr>
            <w:tcW w:w="3700" w:type="dxa"/>
            <w:vAlign w:val="bottom"/>
          </w:tcPr>
          <w:p>
            <w:pPr>
              <w:spacing w:after="0"/>
              <w:rPr>
                <w:sz w:val="16"/>
                <w:szCs w:val="16"/>
                <w:color w:val="auto"/>
              </w:rPr>
            </w:pPr>
          </w:p>
        </w:tc>
        <w:tc>
          <w:tcPr>
            <w:tcW w:w="3600" w:type="dxa"/>
            <w:vAlign w:val="bottom"/>
          </w:tcPr>
          <w:p>
            <w:pPr>
              <w:jc w:val="center"/>
              <w:ind w:right="131"/>
              <w:spacing w:after="0"/>
              <w:rPr>
                <w:sz w:val="20"/>
                <w:szCs w:val="20"/>
                <w:color w:val="auto"/>
              </w:rPr>
            </w:pPr>
            <w:r>
              <w:rPr>
                <w:rFonts w:ascii="Arial" w:cs="Arial" w:eastAsia="Arial" w:hAnsi="Arial"/>
                <w:sz w:val="14"/>
                <w:szCs w:val="14"/>
                <w:color w:val="auto"/>
                <w:w w:val="98"/>
              </w:rPr>
              <w:t>(I.R.S. Employer Identification No.)</w:t>
            </w:r>
          </w:p>
        </w:tc>
      </w:tr>
      <w:tr>
        <w:trPr>
          <w:trHeight w:val="328"/>
        </w:trPr>
        <w:tc>
          <w:tcPr>
            <w:tcW w:w="3940" w:type="dxa"/>
            <w:vAlign w:val="bottom"/>
          </w:tcPr>
          <w:p>
            <w:pPr>
              <w:spacing w:after="0"/>
              <w:rPr>
                <w:sz w:val="24"/>
                <w:szCs w:val="24"/>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b w:val="1"/>
                <w:bCs w:val="1"/>
                <w:color w:val="auto"/>
                <w:w w:val="97"/>
              </w:rPr>
              <w:t>4646 E Van Buren St., Suite 400</w:t>
            </w:r>
          </w:p>
        </w:tc>
        <w:tc>
          <w:tcPr>
            <w:tcW w:w="3600" w:type="dxa"/>
            <w:vAlign w:val="bottom"/>
          </w:tcPr>
          <w:p>
            <w:pPr>
              <w:spacing w:after="0"/>
              <w:rPr>
                <w:sz w:val="24"/>
                <w:szCs w:val="24"/>
                <w:color w:val="auto"/>
              </w:rPr>
            </w:pPr>
          </w:p>
        </w:tc>
      </w:tr>
      <w:tr>
        <w:trPr>
          <w:trHeight w:val="219"/>
        </w:trPr>
        <w:tc>
          <w:tcPr>
            <w:tcW w:w="3940" w:type="dxa"/>
            <w:vAlign w:val="bottom"/>
          </w:tcPr>
          <w:p>
            <w:pPr>
              <w:spacing w:after="0"/>
              <w:rPr>
                <w:sz w:val="19"/>
                <w:szCs w:val="19"/>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Phoenix, Arizona 85008</w:t>
            </w:r>
          </w:p>
        </w:tc>
        <w:tc>
          <w:tcPr>
            <w:tcW w:w="3600" w:type="dxa"/>
            <w:vAlign w:val="bottom"/>
          </w:tcPr>
          <w:p>
            <w:pPr>
              <w:spacing w:after="0"/>
              <w:rPr>
                <w:sz w:val="19"/>
                <w:szCs w:val="19"/>
                <w:color w:val="auto"/>
              </w:rPr>
            </w:pPr>
          </w:p>
        </w:tc>
      </w:tr>
      <w:tr>
        <w:trPr>
          <w:trHeight w:val="213"/>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(Address, including zip code, of principal executive offices)</w:t>
            </w:r>
          </w:p>
        </w:tc>
        <w:tc>
          <w:tcPr>
            <w:tcW w:w="3600" w:type="dxa"/>
            <w:vAlign w:val="bottom"/>
          </w:tcPr>
          <w:p>
            <w:pPr>
              <w:spacing w:after="0"/>
              <w:rPr>
                <w:sz w:val="18"/>
                <w:szCs w:val="18"/>
                <w:color w:val="auto"/>
              </w:rPr>
            </w:pPr>
          </w:p>
        </w:tc>
      </w:tr>
      <w:tr>
        <w:trPr>
          <w:trHeight w:val="496"/>
        </w:trPr>
        <w:tc>
          <w:tcPr>
            <w:tcW w:w="3940" w:type="dxa"/>
            <w:vAlign w:val="bottom"/>
          </w:tcPr>
          <w:p>
            <w:pPr>
              <w:spacing w:after="0"/>
              <w:rPr>
                <w:sz w:val="24"/>
                <w:szCs w:val="24"/>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(480) 894-6311</w:t>
            </w:r>
          </w:p>
        </w:tc>
        <w:tc>
          <w:tcPr>
            <w:tcW w:w="3600" w:type="dxa"/>
            <w:vAlign w:val="bottom"/>
          </w:tcPr>
          <w:p>
            <w:pPr>
              <w:spacing w:after="0"/>
              <w:rPr>
                <w:sz w:val="24"/>
                <w:szCs w:val="24"/>
                <w:color w:val="auto"/>
              </w:rPr>
            </w:pPr>
          </w:p>
        </w:tc>
      </w:tr>
      <w:tr>
        <w:trPr>
          <w:trHeight w:val="213"/>
        </w:trPr>
        <w:tc>
          <w:tcPr>
            <w:tcW w:w="3940" w:type="dxa"/>
            <w:vAlign w:val="bottom"/>
          </w:tcPr>
          <w:p>
            <w:pPr>
              <w:spacing w:after="0"/>
              <w:rPr>
                <w:sz w:val="18"/>
                <w:szCs w:val="18"/>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color w:val="auto"/>
                <w:w w:val="97"/>
              </w:rPr>
              <w:t>(Registrant’s telephone number, including area code)</w:t>
            </w:r>
          </w:p>
        </w:tc>
        <w:tc>
          <w:tcPr>
            <w:tcW w:w="3600" w:type="dxa"/>
            <w:vAlign w:val="bottom"/>
          </w:tcPr>
          <w:p>
            <w:pPr>
              <w:spacing w:after="0"/>
              <w:rPr>
                <w:sz w:val="18"/>
                <w:szCs w:val="18"/>
                <w:color w:val="auto"/>
              </w:rPr>
            </w:pPr>
          </w:p>
        </w:tc>
      </w:tr>
      <w:tr>
        <w:trPr>
          <w:trHeight w:val="271"/>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(Former Name or Former Address, if Changed Since Last Report)</w:t>
            </w:r>
          </w:p>
        </w:tc>
        <w:tc>
          <w:tcPr>
            <w:tcW w:w="3600" w:type="dxa"/>
            <w:vAlign w:val="bottom"/>
          </w:tcPr>
          <w:p>
            <w:pPr>
              <w:spacing w:after="0"/>
              <w:rPr>
                <w:sz w:val="23"/>
                <w:szCs w:val="23"/>
                <w:color w:val="auto"/>
              </w:rPr>
            </w:pPr>
          </w:p>
        </w:tc>
      </w:tr>
      <w:tr>
        <w:trPr>
          <w:trHeight w:val="503"/>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3"/>
        </w:trPr>
        <w:tc>
          <w:tcPr>
            <w:tcW w:w="3940" w:type="dxa"/>
            <w:vAlign w:val="bottom"/>
            <w:tcBorders>
              <w:bottom w:val="single" w:sz="8" w:color="auto"/>
            </w:tcBorders>
          </w:tcPr>
          <w:p>
            <w:pPr>
              <w:jc w:val="center"/>
              <w:ind w:left="1011"/>
              <w:spacing w:after="0"/>
              <w:rPr>
                <w:sz w:val="20"/>
                <w:szCs w:val="20"/>
                <w:color w:val="auto"/>
              </w:rPr>
            </w:pPr>
            <w:r>
              <w:rPr>
                <w:rFonts w:ascii="Arial" w:cs="Arial" w:eastAsia="Arial" w:hAnsi="Arial"/>
                <w:sz w:val="14"/>
                <w:szCs w:val="14"/>
                <w:b w:val="1"/>
                <w:bCs w:val="1"/>
                <w:color w:val="auto"/>
                <w:w w:val="97"/>
              </w:rPr>
              <w:t>Title of each class</w:t>
            </w:r>
          </w:p>
        </w:tc>
        <w:tc>
          <w:tcPr>
            <w:tcW w:w="370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7"/>
              </w:rPr>
              <w:t>Trading Symbol(s)</w:t>
            </w:r>
          </w:p>
        </w:tc>
        <w:tc>
          <w:tcPr>
            <w:tcW w:w="3600" w:type="dxa"/>
            <w:vAlign w:val="bottom"/>
            <w:tcBorders>
              <w:bottom w:val="single" w:sz="8" w:color="auto"/>
            </w:tcBorders>
          </w:tcPr>
          <w:p>
            <w:pPr>
              <w:jc w:val="center"/>
              <w:ind w:right="631"/>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79"/>
        </w:trPr>
        <w:tc>
          <w:tcPr>
            <w:tcW w:w="3940" w:type="dxa"/>
            <w:vAlign w:val="bottom"/>
          </w:tcPr>
          <w:p>
            <w:pPr>
              <w:jc w:val="center"/>
              <w:ind w:left="1011"/>
              <w:spacing w:after="0"/>
              <w:rPr>
                <w:sz w:val="20"/>
                <w:szCs w:val="20"/>
                <w:color w:val="auto"/>
              </w:rPr>
            </w:pPr>
            <w:r>
              <w:rPr>
                <w:rFonts w:ascii="Arial" w:cs="Arial" w:eastAsia="Arial" w:hAnsi="Arial"/>
                <w:sz w:val="14"/>
                <w:szCs w:val="14"/>
                <w:color w:val="auto"/>
                <w:w w:val="98"/>
              </w:rPr>
              <w:t>Common Stock, par value $0.0001 per share</w:t>
            </w:r>
          </w:p>
        </w:tc>
        <w:tc>
          <w:tcPr>
            <w:tcW w:w="3700" w:type="dxa"/>
            <w:vAlign w:val="bottom"/>
          </w:tcPr>
          <w:p>
            <w:pPr>
              <w:jc w:val="center"/>
              <w:ind w:left="311"/>
              <w:spacing w:after="0"/>
              <w:rPr>
                <w:sz w:val="20"/>
                <w:szCs w:val="20"/>
                <w:color w:val="auto"/>
              </w:rPr>
            </w:pPr>
            <w:r>
              <w:rPr>
                <w:rFonts w:ascii="Arial" w:cs="Arial" w:eastAsia="Arial" w:hAnsi="Arial"/>
                <w:sz w:val="14"/>
                <w:szCs w:val="14"/>
                <w:color w:val="auto"/>
                <w:w w:val="97"/>
              </w:rPr>
              <w:t>WSC</w:t>
            </w:r>
          </w:p>
        </w:tc>
        <w:tc>
          <w:tcPr>
            <w:tcW w:w="3600" w:type="dxa"/>
            <w:vAlign w:val="bottom"/>
          </w:tcPr>
          <w:p>
            <w:pPr>
              <w:jc w:val="center"/>
              <w:ind w:right="631"/>
              <w:spacing w:after="0"/>
              <w:rPr>
                <w:sz w:val="20"/>
                <w:szCs w:val="20"/>
                <w:color w:val="auto"/>
              </w:rPr>
            </w:pPr>
            <w:r>
              <w:rPr>
                <w:rFonts w:ascii="Arial" w:cs="Arial" w:eastAsia="Arial" w:hAnsi="Arial"/>
                <w:sz w:val="14"/>
                <w:szCs w:val="14"/>
                <w:color w:val="auto"/>
                <w:w w:val="97"/>
              </w:rPr>
              <w:t>The Nasdaq Capital Market</w:t>
            </w:r>
          </w:p>
        </w:tc>
      </w:tr>
    </w:tbl>
    <w:p>
      <w:pPr>
        <w:spacing w:after="0" w:line="200" w:lineRule="exact"/>
        <w:rPr>
          <w:sz w:val="24"/>
          <w:szCs w:val="24"/>
          <w:color w:val="auto"/>
        </w:rPr>
      </w:pPr>
    </w:p>
    <w:p>
      <w:pPr>
        <w:spacing w:after="0" w:line="213" w:lineRule="exact"/>
        <w:rPr>
          <w:sz w:val="24"/>
          <w:szCs w:val="24"/>
          <w:color w:val="auto"/>
        </w:rPr>
      </w:pPr>
    </w:p>
    <w:p>
      <w:pPr>
        <w:jc w:val="both"/>
        <w:ind w:firstLine="619"/>
        <w:spacing w:after="0" w:line="18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5" w:lineRule="exact"/>
        <w:rPr>
          <w:sz w:val="24"/>
          <w:szCs w:val="24"/>
          <w:color w:val="auto"/>
        </w:rPr>
      </w:pPr>
    </w:p>
    <w:p>
      <w:pPr>
        <w:jc w:val="both"/>
        <w:ind w:firstLine="619"/>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firstLine="619"/>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76" w:right="339" w:bottom="1440" w:gutter="0" w:footer="0" w:header="0"/>
        </w:sectPr>
      </w:pPr>
    </w:p>
    <w:p>
      <w:pPr>
        <w:spacing w:after="0" w:line="21"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384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2">
            <w:col w:w="5540" w:space="720"/>
            <w:col w:w="4980"/>
          </w:cols>
          <w:pgMar w:left="320" w:top="976" w:right="339" w:bottom="1440" w:gutter="0" w:footer="0" w:header="0"/>
          <w:type w:val="continuous"/>
        </w:sectPr>
      </w:pPr>
    </w:p>
    <w:p>
      <w:pPr>
        <w:ind w:left="6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57" w:lineRule="exact"/>
        <w:rPr>
          <w:sz w:val="24"/>
          <w:szCs w:val="24"/>
          <w:color w:val="auto"/>
        </w:rPr>
      </w:pPr>
    </w:p>
    <w:p>
      <w:pPr>
        <w:sectPr>
          <w:pgSz w:w="11900" w:h="16838" w:orient="portrait"/>
          <w:cols w:equalWidth="0" w:num="2">
            <w:col w:w="5540" w:space="720"/>
            <w:col w:w="4980"/>
          </w:cols>
          <w:pgMar w:left="320" w:top="976" w:right="339" w:bottom="1440" w:gutter="0" w:footer="0" w:header="0"/>
          <w:type w:val="continuous"/>
        </w:sectPr>
      </w:pPr>
    </w:p>
    <w:p>
      <w:pPr>
        <w:ind w:left="62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976" w:right="339" w:bottom="1440" w:gutter="0" w:footer="0" w:header="0"/>
          <w:type w:val="continuous"/>
        </w:sectPr>
      </w:pPr>
    </w:p>
    <w:p>
      <w:pPr>
        <w:spacing w:after="0" w:line="194" w:lineRule="exact"/>
        <w:rPr>
          <w:sz w:val="24"/>
          <w:szCs w:val="24"/>
          <w:color w:val="auto"/>
        </w:rPr>
      </w:pPr>
    </w:p>
    <w:p>
      <w:pPr>
        <w:ind w:firstLine="619"/>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left="620" w:right="3600"/>
        <w:spacing w:after="0" w:line="222"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Shares of Common Stock, par value $0.0001 per share, outstanding: 184,759,527 shares at October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819150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Quarterly Report on Form 10-Q</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237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3"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Financial Statements (unaudited, except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Balance Sheets as of September 30, 2024 and December 31, 2023 (audited)</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Operations for the Three and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335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335915"/>
                    </a:xfrm>
                    <a:prstGeom prst="rect">
                      <a:avLst/>
                    </a:prstGeom>
                    <a:noFill/>
                  </pic:spPr>
                </pic:pic>
              </a:graphicData>
            </a:graphic>
          </wp:anchor>
        </w:drawing>
      </w:r>
    </w:p>
    <w:p>
      <w:pPr>
        <w:spacing w:after="0" w:line="181" w:lineRule="exact"/>
        <w:rPr>
          <w:sz w:val="20"/>
          <w:szCs w:val="20"/>
          <w:color w:val="auto"/>
        </w:rPr>
      </w:pPr>
    </w:p>
    <w:p>
      <w:pPr>
        <w:ind w:left="1600" w:right="380"/>
        <w:spacing w:after="0" w:line="259" w:lineRule="auto"/>
        <w:rPr>
          <w:sz w:val="20"/>
          <w:szCs w:val="20"/>
          <w:color w:val="auto"/>
        </w:rPr>
      </w:pPr>
      <w:r>
        <w:rPr>
          <w:rFonts w:ascii="Arial" w:cs="Arial" w:eastAsia="Arial" w:hAnsi="Arial"/>
          <w:sz w:val="15"/>
          <w:szCs w:val="15"/>
          <w:color w:val="auto"/>
        </w:rPr>
        <w:t>Condensed Consolidated Statements of Comprehensive (Loss) Income for the Three and Nine Months Ended September 30, 2024 and 2023</w:t>
      </w:r>
    </w:p>
    <w:p>
      <w:pPr>
        <w:spacing w:after="0" w:line="156" w:lineRule="exact"/>
        <w:rPr>
          <w:sz w:val="20"/>
          <w:szCs w:val="20"/>
          <w:color w:val="auto"/>
        </w:rPr>
      </w:pPr>
    </w:p>
    <w:p>
      <w:pPr>
        <w:ind w:left="1600" w:right="840"/>
        <w:spacing w:after="0" w:line="520" w:lineRule="auto"/>
        <w:rPr>
          <w:sz w:val="20"/>
          <w:szCs w:val="20"/>
          <w:color w:val="auto"/>
        </w:rPr>
      </w:pPr>
      <w:r>
        <w:rPr>
          <w:rFonts w:ascii="Arial" w:cs="Arial" w:eastAsia="Arial" w:hAnsi="Arial"/>
          <w:sz w:val="15"/>
          <w:szCs w:val="15"/>
          <w:color w:val="auto"/>
        </w:rPr>
        <w:t>Condensed Consolidated Statements of Changes in Equity for the Three and Nine Months Ended September 30, 2024 and 2023 Condensed Consolidated Statements of Cash Flows for the Nine Months Ended September 30, 2024 and 2023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-474345</wp:posOffset>
            </wp:positionV>
            <wp:extent cx="7138670" cy="23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374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237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ind w:left="400"/>
        <w:spacing w:after="0"/>
        <w:tabs>
          <w:tab w:leader="none" w:pos="124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201"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Controls and Procedures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II Other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1</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Legal Proceedings</w:t>
            </w:r>
          </w:p>
        </w:tc>
      </w:tr>
      <w:tr>
        <w:trPr>
          <w:trHeight w:val="150"/>
        </w:trPr>
        <w:tc>
          <w:tcPr>
            <w:tcW w:w="1100" w:type="dxa"/>
            <w:vAlign w:val="bottom"/>
            <w:shd w:val="clear" w:color="auto" w:fill="DBDBDB"/>
          </w:tcPr>
          <w:p>
            <w:pPr>
              <w:spacing w:after="0"/>
              <w:rPr>
                <w:sz w:val="13"/>
                <w:szCs w:val="13"/>
                <w:color w:val="auto"/>
              </w:rPr>
            </w:pPr>
          </w:p>
        </w:tc>
        <w:tc>
          <w:tcPr>
            <w:tcW w:w="10140" w:type="dxa"/>
            <w:vAlign w:val="bottom"/>
            <w:shd w:val="clear" w:color="auto" w:fill="DBDBDB"/>
          </w:tcPr>
          <w:p>
            <w:pPr>
              <w:spacing w:after="0"/>
              <w:rPr>
                <w:sz w:val="13"/>
                <w:szCs w:val="13"/>
                <w:color w:val="auto"/>
              </w:rPr>
            </w:pPr>
          </w:p>
        </w:tc>
      </w:tr>
      <w:tr>
        <w:trPr>
          <w:trHeight w:val="205"/>
        </w:trPr>
        <w:tc>
          <w:tcPr>
            <w:tcW w:w="1100" w:type="dxa"/>
            <w:vAlign w:val="bottom"/>
          </w:tcPr>
          <w:p>
            <w:pPr>
              <w:ind w:left="400"/>
              <w:spacing w:after="0"/>
              <w:rPr>
                <w:sz w:val="20"/>
                <w:szCs w:val="20"/>
                <w:color w:val="auto"/>
              </w:rPr>
            </w:pPr>
            <w:r>
              <w:rPr>
                <w:rFonts w:ascii="Arial" w:cs="Arial" w:eastAsia="Arial" w:hAnsi="Arial"/>
                <w:sz w:val="15"/>
                <w:szCs w:val="15"/>
                <w:color w:val="auto"/>
              </w:rPr>
              <w:t>Item 1A</w:t>
            </w:r>
          </w:p>
        </w:tc>
        <w:tc>
          <w:tcPr>
            <w:tcW w:w="10140" w:type="dxa"/>
            <w:vAlign w:val="bottom"/>
          </w:tcPr>
          <w:p>
            <w:pPr>
              <w:ind w:left="160"/>
              <w:spacing w:after="0"/>
              <w:rPr>
                <w:sz w:val="20"/>
                <w:szCs w:val="20"/>
                <w:color w:val="auto"/>
              </w:rPr>
            </w:pPr>
            <w:r>
              <w:rPr>
                <w:rFonts w:ascii="Arial" w:cs="Arial" w:eastAsia="Arial" w:hAnsi="Arial"/>
                <w:sz w:val="15"/>
                <w:szCs w:val="15"/>
                <w:color w:val="auto"/>
              </w:rPr>
              <w:t>Risk Factors</w:t>
            </w:r>
          </w:p>
        </w:tc>
      </w:tr>
      <w:tr>
        <w:trPr>
          <w:trHeight w:val="169"/>
        </w:trPr>
        <w:tc>
          <w:tcPr>
            <w:tcW w:w="1100" w:type="dxa"/>
            <w:vAlign w:val="bottom"/>
          </w:tcPr>
          <w:p>
            <w:pPr>
              <w:spacing w:after="0"/>
              <w:rPr>
                <w:sz w:val="14"/>
                <w:szCs w:val="14"/>
                <w:color w:val="auto"/>
              </w:rPr>
            </w:pPr>
          </w:p>
        </w:tc>
        <w:tc>
          <w:tcPr>
            <w:tcW w:w="10140" w:type="dxa"/>
            <w:vAlign w:val="bottom"/>
          </w:tcPr>
          <w:p>
            <w:pPr>
              <w:spacing w:after="0"/>
              <w:rPr>
                <w:sz w:val="14"/>
                <w:szCs w:val="14"/>
                <w:color w:val="auto"/>
              </w:rPr>
            </w:pPr>
          </w:p>
        </w:tc>
      </w:tr>
      <w:tr>
        <w:trPr>
          <w:trHeight w:val="205"/>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2</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169"/>
        </w:trPr>
        <w:tc>
          <w:tcPr>
            <w:tcW w:w="1100" w:type="dxa"/>
            <w:vAlign w:val="bottom"/>
            <w:shd w:val="clear" w:color="auto" w:fill="DBDBDB"/>
          </w:tcPr>
          <w:p>
            <w:pPr>
              <w:spacing w:after="0"/>
              <w:rPr>
                <w:sz w:val="14"/>
                <w:szCs w:val="14"/>
                <w:color w:val="auto"/>
              </w:rPr>
            </w:pPr>
          </w:p>
        </w:tc>
        <w:tc>
          <w:tcPr>
            <w:tcW w:w="10140" w:type="dxa"/>
            <w:vAlign w:val="bottom"/>
            <w:shd w:val="clear" w:color="auto" w:fill="DBDBDB"/>
          </w:tcPr>
          <w:p>
            <w:pPr>
              <w:spacing w:after="0"/>
              <w:rPr>
                <w:sz w:val="14"/>
                <w:szCs w:val="14"/>
                <w:color w:val="auto"/>
              </w:rPr>
            </w:pPr>
          </w:p>
        </w:tc>
      </w:tr>
      <w:tr>
        <w:trPr>
          <w:trHeight w:val="205"/>
        </w:trPr>
        <w:tc>
          <w:tcPr>
            <w:tcW w:w="1100" w:type="dxa"/>
            <w:vAlign w:val="bottom"/>
          </w:tcPr>
          <w:p>
            <w:pPr>
              <w:ind w:left="400"/>
              <w:spacing w:after="0"/>
              <w:rPr>
                <w:sz w:val="20"/>
                <w:szCs w:val="20"/>
                <w:color w:val="auto"/>
              </w:rPr>
            </w:pPr>
            <w:r>
              <w:rPr>
                <w:rFonts w:ascii="Arial" w:cs="Arial" w:eastAsia="Arial" w:hAnsi="Arial"/>
                <w:sz w:val="15"/>
                <w:szCs w:val="15"/>
                <w:color w:val="auto"/>
              </w:rPr>
              <w:t>Item 3</w:t>
            </w:r>
          </w:p>
        </w:tc>
        <w:tc>
          <w:tcPr>
            <w:tcW w:w="10140" w:type="dxa"/>
            <w:vAlign w:val="bottom"/>
          </w:tcPr>
          <w:p>
            <w:pPr>
              <w:ind w:left="160"/>
              <w:spacing w:after="0"/>
              <w:rPr>
                <w:sz w:val="20"/>
                <w:szCs w:val="20"/>
                <w:color w:val="auto"/>
              </w:rPr>
            </w:pPr>
            <w:r>
              <w:rPr>
                <w:rFonts w:ascii="Arial" w:cs="Arial" w:eastAsia="Arial" w:hAnsi="Arial"/>
                <w:sz w:val="15"/>
                <w:szCs w:val="15"/>
                <w:color w:val="auto"/>
              </w:rPr>
              <w:t>Defaults Upon Senior Securities</w:t>
            </w:r>
          </w:p>
        </w:tc>
      </w:tr>
      <w:tr>
        <w:trPr>
          <w:trHeight w:val="169"/>
        </w:trPr>
        <w:tc>
          <w:tcPr>
            <w:tcW w:w="1100" w:type="dxa"/>
            <w:vAlign w:val="bottom"/>
          </w:tcPr>
          <w:p>
            <w:pPr>
              <w:spacing w:after="0"/>
              <w:rPr>
                <w:sz w:val="14"/>
                <w:szCs w:val="14"/>
                <w:color w:val="auto"/>
              </w:rPr>
            </w:pPr>
          </w:p>
        </w:tc>
        <w:tc>
          <w:tcPr>
            <w:tcW w:w="10140" w:type="dxa"/>
            <w:vAlign w:val="bottom"/>
          </w:tcPr>
          <w:p>
            <w:pPr>
              <w:spacing w:after="0"/>
              <w:rPr>
                <w:sz w:val="14"/>
                <w:szCs w:val="14"/>
                <w:color w:val="auto"/>
              </w:rPr>
            </w:pPr>
          </w:p>
        </w:tc>
      </w:tr>
      <w:tr>
        <w:trPr>
          <w:trHeight w:val="205"/>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4</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Mine Safety Disclosures</w:t>
            </w:r>
          </w:p>
        </w:tc>
      </w:tr>
      <w:tr>
        <w:trPr>
          <w:trHeight w:val="169"/>
        </w:trPr>
        <w:tc>
          <w:tcPr>
            <w:tcW w:w="1100" w:type="dxa"/>
            <w:vAlign w:val="bottom"/>
            <w:shd w:val="clear" w:color="auto" w:fill="DBDBDB"/>
          </w:tcPr>
          <w:p>
            <w:pPr>
              <w:spacing w:after="0"/>
              <w:rPr>
                <w:sz w:val="14"/>
                <w:szCs w:val="14"/>
                <w:color w:val="auto"/>
              </w:rPr>
            </w:pPr>
          </w:p>
        </w:tc>
        <w:tc>
          <w:tcPr>
            <w:tcW w:w="10140" w:type="dxa"/>
            <w:vAlign w:val="bottom"/>
            <w:shd w:val="clear" w:color="auto" w:fill="DBDBDB"/>
          </w:tcPr>
          <w:p>
            <w:pPr>
              <w:spacing w:after="0"/>
              <w:rPr>
                <w:sz w:val="14"/>
                <w:szCs w:val="14"/>
                <w:color w:val="auto"/>
              </w:rPr>
            </w:pPr>
          </w:p>
        </w:tc>
      </w:tr>
      <w:tr>
        <w:trPr>
          <w:trHeight w:val="205"/>
        </w:trPr>
        <w:tc>
          <w:tcPr>
            <w:tcW w:w="1100" w:type="dxa"/>
            <w:vAlign w:val="bottom"/>
          </w:tcPr>
          <w:p>
            <w:pPr>
              <w:ind w:left="400"/>
              <w:spacing w:after="0"/>
              <w:rPr>
                <w:sz w:val="20"/>
                <w:szCs w:val="20"/>
                <w:color w:val="auto"/>
              </w:rPr>
            </w:pPr>
            <w:r>
              <w:rPr>
                <w:rFonts w:ascii="Arial" w:cs="Arial" w:eastAsia="Arial" w:hAnsi="Arial"/>
                <w:sz w:val="15"/>
                <w:szCs w:val="15"/>
                <w:color w:val="auto"/>
              </w:rPr>
              <w:t>Item 5</w:t>
            </w:r>
          </w:p>
        </w:tc>
        <w:tc>
          <w:tcPr>
            <w:tcW w:w="10140" w:type="dxa"/>
            <w:vAlign w:val="bottom"/>
          </w:tcPr>
          <w:p>
            <w:pPr>
              <w:ind w:left="160"/>
              <w:spacing w:after="0"/>
              <w:rPr>
                <w:sz w:val="20"/>
                <w:szCs w:val="20"/>
                <w:color w:val="auto"/>
              </w:rPr>
            </w:pPr>
            <w:r>
              <w:rPr>
                <w:rFonts w:ascii="Arial" w:cs="Arial" w:eastAsia="Arial" w:hAnsi="Arial"/>
                <w:sz w:val="15"/>
                <w:szCs w:val="15"/>
                <w:color w:val="auto"/>
              </w:rPr>
              <w:t>Other Information</w:t>
            </w:r>
          </w:p>
        </w:tc>
      </w:tr>
      <w:tr>
        <w:trPr>
          <w:trHeight w:val="169"/>
        </w:trPr>
        <w:tc>
          <w:tcPr>
            <w:tcW w:w="1100" w:type="dxa"/>
            <w:vAlign w:val="bottom"/>
          </w:tcPr>
          <w:p>
            <w:pPr>
              <w:spacing w:after="0"/>
              <w:rPr>
                <w:sz w:val="14"/>
                <w:szCs w:val="14"/>
                <w:color w:val="auto"/>
              </w:rPr>
            </w:pPr>
          </w:p>
        </w:tc>
        <w:tc>
          <w:tcPr>
            <w:tcW w:w="10140" w:type="dxa"/>
            <w:vAlign w:val="bottom"/>
          </w:tcPr>
          <w:p>
            <w:pPr>
              <w:spacing w:after="0"/>
              <w:rPr>
                <w:sz w:val="14"/>
                <w:szCs w:val="14"/>
                <w:color w:val="auto"/>
              </w:rPr>
            </w:pPr>
          </w:p>
        </w:tc>
      </w:tr>
      <w:tr>
        <w:trPr>
          <w:trHeight w:val="205"/>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6</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Exhibits</w:t>
            </w:r>
          </w:p>
        </w:tc>
      </w:tr>
      <w:tr>
        <w:trPr>
          <w:trHeight w:val="169"/>
        </w:trPr>
        <w:tc>
          <w:tcPr>
            <w:tcW w:w="1100" w:type="dxa"/>
            <w:vAlign w:val="bottom"/>
            <w:shd w:val="clear" w:color="auto" w:fill="DBDBDB"/>
          </w:tcPr>
          <w:p>
            <w:pPr>
              <w:spacing w:after="0"/>
              <w:rPr>
                <w:sz w:val="14"/>
                <w:szCs w:val="14"/>
                <w:color w:val="auto"/>
              </w:rPr>
            </w:pPr>
          </w:p>
        </w:tc>
        <w:tc>
          <w:tcPr>
            <w:tcW w:w="10140" w:type="dxa"/>
            <w:vAlign w:val="bottom"/>
            <w:shd w:val="clear" w:color="auto" w:fill="DBDBDB"/>
          </w:tcPr>
          <w:p>
            <w:pPr>
              <w:spacing w:after="0"/>
              <w:rPr>
                <w:sz w:val="14"/>
                <w:szCs w:val="14"/>
                <w:color w:val="auto"/>
              </w:rPr>
            </w:pPr>
          </w:p>
        </w:tc>
      </w:tr>
      <w:tr>
        <w:trPr>
          <w:trHeight w:val="214"/>
        </w:trPr>
        <w:tc>
          <w:tcPr>
            <w:tcW w:w="1100" w:type="dxa"/>
            <w:vAlign w:val="bottom"/>
          </w:tcPr>
          <w:p>
            <w:pPr>
              <w:ind w:left="20"/>
              <w:spacing w:after="0"/>
              <w:rPr>
                <w:sz w:val="20"/>
                <w:szCs w:val="20"/>
                <w:color w:val="auto"/>
              </w:rPr>
            </w:pPr>
            <w:r>
              <w:rPr>
                <w:rFonts w:ascii="Arial" w:cs="Arial" w:eastAsia="Arial" w:hAnsi="Arial"/>
                <w:sz w:val="15"/>
                <w:szCs w:val="15"/>
                <w:b w:val="1"/>
                <w:bCs w:val="1"/>
                <w:color w:val="auto"/>
              </w:rPr>
              <w:t>SIGNATURE</w:t>
            </w:r>
          </w:p>
        </w:tc>
        <w:tc>
          <w:tcPr>
            <w:tcW w:w="10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75"/>
        </w:trPr>
        <w:tc>
          <w:tcPr>
            <w:tcW w:w="3480" w:type="dxa"/>
            <w:vAlign w:val="bottom"/>
          </w:tcPr>
          <w:p>
            <w:pPr>
              <w:ind w:left="2180"/>
              <w:spacing w:after="0"/>
              <w:rPr>
                <w:sz w:val="20"/>
                <w:szCs w:val="20"/>
                <w:color w:val="auto"/>
              </w:rPr>
            </w:pPr>
            <w:r>
              <w:rPr>
                <w:rFonts w:ascii="Arial" w:cs="Arial" w:eastAsia="Arial" w:hAnsi="Arial"/>
                <w:sz w:val="34"/>
                <w:szCs w:val="34"/>
                <w:b w:val="1"/>
                <w:bCs w:val="1"/>
                <w:color w:val="auto"/>
              </w:rPr>
              <w:t>ITEM 1.</w:t>
            </w:r>
          </w:p>
        </w:tc>
        <w:tc>
          <w:tcPr>
            <w:tcW w:w="4320" w:type="dxa"/>
            <w:vAlign w:val="bottom"/>
            <w:gridSpan w:val="2"/>
          </w:tcPr>
          <w:p>
            <w:pPr>
              <w:jc w:val="right"/>
              <w:ind w:right="523"/>
              <w:spacing w:after="0"/>
              <w:rPr>
                <w:sz w:val="20"/>
                <w:szCs w:val="20"/>
                <w:color w:val="auto"/>
              </w:rPr>
            </w:pPr>
            <w:r>
              <w:rPr>
                <w:rFonts w:ascii="Arial" w:cs="Arial" w:eastAsia="Arial" w:hAnsi="Arial"/>
                <w:sz w:val="34"/>
                <w:szCs w:val="34"/>
                <w:b w:val="1"/>
                <w:bCs w:val="1"/>
                <w:color w:val="auto"/>
              </w:rPr>
              <w:t>Financial Statements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3480" w:type="dxa"/>
            <w:vAlign w:val="bottom"/>
          </w:tcPr>
          <w:p>
            <w:pPr>
              <w:spacing w:after="0"/>
              <w:rPr>
                <w:sz w:val="24"/>
                <w:szCs w:val="24"/>
                <w:color w:val="auto"/>
              </w:rPr>
            </w:pPr>
          </w:p>
        </w:tc>
        <w:tc>
          <w:tcPr>
            <w:tcW w:w="4320" w:type="dxa"/>
            <w:vAlign w:val="bottom"/>
            <w:gridSpan w:val="2"/>
          </w:tcPr>
          <w:p>
            <w:pPr>
              <w:jc w:val="right"/>
              <w:ind w:right="623"/>
              <w:spacing w:after="0"/>
              <w:rPr>
                <w:sz w:val="20"/>
                <w:szCs w:val="20"/>
                <w:color w:val="auto"/>
              </w:rPr>
            </w:pPr>
            <w:r>
              <w:rPr>
                <w:rFonts w:ascii="Arial" w:cs="Arial" w:eastAsia="Arial" w:hAnsi="Arial"/>
                <w:sz w:val="22"/>
                <w:szCs w:val="22"/>
                <w:color w:val="1D2758"/>
              </w:rPr>
              <w:t>WillScot Holdings Corporation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480" w:type="dxa"/>
            <w:vAlign w:val="bottom"/>
          </w:tcPr>
          <w:p>
            <w:pPr>
              <w:spacing w:after="0"/>
              <w:rPr>
                <w:sz w:val="24"/>
                <w:szCs w:val="24"/>
                <w:color w:val="auto"/>
              </w:rPr>
            </w:pPr>
          </w:p>
        </w:tc>
        <w:tc>
          <w:tcPr>
            <w:tcW w:w="4320" w:type="dxa"/>
            <w:vAlign w:val="bottom"/>
            <w:gridSpan w:val="2"/>
          </w:tcPr>
          <w:p>
            <w:pPr>
              <w:jc w:val="right"/>
              <w:ind w:right="23"/>
              <w:spacing w:after="0"/>
              <w:rPr>
                <w:sz w:val="20"/>
                <w:szCs w:val="20"/>
                <w:color w:val="auto"/>
              </w:rPr>
            </w:pPr>
            <w:r>
              <w:rPr>
                <w:rFonts w:ascii="Arial" w:cs="Arial" w:eastAsia="Arial" w:hAnsi="Arial"/>
                <w:sz w:val="22"/>
                <w:szCs w:val="22"/>
                <w:color w:val="1D2758"/>
              </w:rPr>
              <w:t>Condensed Consolidated Balance Sheets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4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2720" w:type="dxa"/>
            <w:vAlign w:val="bottom"/>
            <w:shd w:val="clear" w:color="auto" w:fill="1D2758"/>
          </w:tcPr>
          <w:p>
            <w:pPr>
              <w:spacing w:after="0"/>
              <w:rPr>
                <w:sz w:val="24"/>
                <w:szCs w:val="24"/>
                <w:color w:val="auto"/>
              </w:rPr>
            </w:pPr>
          </w:p>
        </w:tc>
        <w:tc>
          <w:tcPr>
            <w:tcW w:w="2560" w:type="dxa"/>
            <w:vAlign w:val="bottom"/>
            <w:gridSpan w:val="3"/>
            <w:vMerge w:val="restart"/>
            <w:shd w:val="clear" w:color="auto" w:fill="1D2758"/>
          </w:tcPr>
          <w:p>
            <w:pPr>
              <w:ind w:left="80"/>
              <w:spacing w:after="0"/>
              <w:rPr>
                <w:sz w:val="20"/>
                <w:szCs w:val="20"/>
                <w:color w:val="auto"/>
              </w:rPr>
            </w:pPr>
            <w:r>
              <w:rPr>
                <w:rFonts w:ascii="Arial" w:cs="Arial" w:eastAsia="Arial" w:hAnsi="Arial"/>
                <w:sz w:val="15"/>
                <w:szCs w:val="15"/>
                <w:b w:val="1"/>
                <w:bCs w:val="1"/>
                <w:color w:val="FFFFFF"/>
              </w:rPr>
              <w:t>September 30, 2024 (unaudited)</w:t>
            </w:r>
          </w:p>
        </w:tc>
        <w:tc>
          <w:tcPr>
            <w:tcW w:w="340" w:type="dxa"/>
            <w:vAlign w:val="bottom"/>
            <w:shd w:val="clear" w:color="auto" w:fill="1D2758"/>
          </w:tcPr>
          <w:p>
            <w:pPr>
              <w:spacing w:after="0"/>
              <w:rPr>
                <w:sz w:val="24"/>
                <w:szCs w:val="24"/>
                <w:color w:val="auto"/>
              </w:rPr>
            </w:pPr>
          </w:p>
        </w:tc>
        <w:tc>
          <w:tcPr>
            <w:tcW w:w="21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December 31, 2023</w:t>
            </w:r>
          </w:p>
        </w:tc>
        <w:tc>
          <w:tcPr>
            <w:tcW w:w="0" w:type="dxa"/>
            <w:vAlign w:val="bottom"/>
          </w:tcPr>
          <w:p>
            <w:pPr>
              <w:spacing w:after="0"/>
              <w:rPr>
                <w:sz w:val="1"/>
                <w:szCs w:val="1"/>
                <w:color w:val="auto"/>
              </w:rPr>
            </w:pPr>
          </w:p>
        </w:tc>
      </w:tr>
      <w:tr>
        <w:trPr>
          <w:trHeight w:val="97"/>
        </w:trPr>
        <w:tc>
          <w:tcPr>
            <w:tcW w:w="3480" w:type="dxa"/>
            <w:vAlign w:val="bottom"/>
            <w:vMerge w:val="continue"/>
            <w:shd w:val="clear" w:color="auto" w:fill="1D2758"/>
          </w:tcPr>
          <w:p>
            <w:pPr>
              <w:spacing w:after="0"/>
              <w:rPr>
                <w:sz w:val="8"/>
                <w:szCs w:val="8"/>
                <w:color w:val="auto"/>
              </w:rPr>
            </w:pPr>
          </w:p>
        </w:tc>
        <w:tc>
          <w:tcPr>
            <w:tcW w:w="2720" w:type="dxa"/>
            <w:vAlign w:val="bottom"/>
            <w:shd w:val="clear" w:color="auto" w:fill="1D2758"/>
          </w:tcPr>
          <w:p>
            <w:pPr>
              <w:spacing w:after="0"/>
              <w:rPr>
                <w:sz w:val="8"/>
                <w:szCs w:val="8"/>
                <w:color w:val="auto"/>
              </w:rPr>
            </w:pPr>
          </w:p>
        </w:tc>
        <w:tc>
          <w:tcPr>
            <w:tcW w:w="2560" w:type="dxa"/>
            <w:vAlign w:val="bottom"/>
            <w:gridSpan w:val="3"/>
            <w:vMerge w:val="continue"/>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214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27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2720" w:type="dxa"/>
            <w:vAlign w:val="bottom"/>
          </w:tcPr>
          <w:p>
            <w:pPr>
              <w:spacing w:after="0"/>
              <w:rPr>
                <w:sz w:val="17"/>
                <w:szCs w:val="17"/>
                <w:color w:val="auto"/>
              </w:rPr>
            </w:pPr>
          </w:p>
        </w:tc>
        <w:tc>
          <w:tcPr>
            <w:tcW w:w="1600" w:type="dxa"/>
            <w:vAlign w:val="bottom"/>
          </w:tcPr>
          <w:p>
            <w:pPr>
              <w:jc w:val="right"/>
              <w:ind w:right="14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11,046</w:t>
            </w:r>
          </w:p>
        </w:tc>
        <w:tc>
          <w:tcPr>
            <w:tcW w:w="8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10,958</w:t>
            </w:r>
          </w:p>
        </w:tc>
        <w:tc>
          <w:tcPr>
            <w:tcW w:w="0" w:type="dxa"/>
            <w:vAlign w:val="bottom"/>
          </w:tcPr>
          <w:p>
            <w:pPr>
              <w:spacing w:after="0"/>
              <w:rPr>
                <w:sz w:val="1"/>
                <w:szCs w:val="1"/>
                <w:color w:val="auto"/>
              </w:rPr>
            </w:pPr>
          </w:p>
        </w:tc>
      </w:tr>
      <w:tr>
        <w:trPr>
          <w:trHeight w:val="156"/>
        </w:trPr>
        <w:tc>
          <w:tcPr>
            <w:tcW w:w="6200" w:type="dxa"/>
            <w:vAlign w:val="bottom"/>
            <w:gridSpan w:val="2"/>
            <w:shd w:val="clear" w:color="auto" w:fill="DDDDDD"/>
          </w:tcPr>
          <w:p>
            <w:pPr>
              <w:ind w:left="220"/>
              <w:spacing w:after="0" w:line="156" w:lineRule="exact"/>
              <w:rPr>
                <w:sz w:val="20"/>
                <w:szCs w:val="20"/>
                <w:color w:val="auto"/>
              </w:rPr>
            </w:pPr>
            <w:r>
              <w:rPr>
                <w:rFonts w:ascii="Arial" w:cs="Arial" w:eastAsia="Arial" w:hAnsi="Arial"/>
                <w:sz w:val="15"/>
                <w:szCs w:val="15"/>
                <w:color w:val="auto"/>
              </w:rPr>
              <w:t>Trade receivables, net of allowances for credit losses at September 30, 2024 and</w:t>
            </w:r>
          </w:p>
        </w:tc>
        <w:tc>
          <w:tcPr>
            <w:tcW w:w="1600" w:type="dxa"/>
            <w:vAlign w:val="bottom"/>
            <w:shd w:val="clear" w:color="auto" w:fill="DDDDDD"/>
          </w:tcPr>
          <w:p>
            <w:pPr>
              <w:spacing w:after="0"/>
              <w:rPr>
                <w:sz w:val="13"/>
                <w:szCs w:val="13"/>
                <w:color w:val="auto"/>
              </w:rPr>
            </w:pPr>
          </w:p>
        </w:tc>
        <w:tc>
          <w:tcPr>
            <w:tcW w:w="88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445,869</w:t>
            </w:r>
          </w:p>
        </w:tc>
        <w:tc>
          <w:tcPr>
            <w:tcW w:w="8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214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451,130</w:t>
            </w:r>
          </w:p>
        </w:tc>
        <w:tc>
          <w:tcPr>
            <w:tcW w:w="0" w:type="dxa"/>
            <w:vAlign w:val="bottom"/>
          </w:tcPr>
          <w:p>
            <w:pPr>
              <w:spacing w:after="0"/>
              <w:rPr>
                <w:sz w:val="1"/>
                <w:szCs w:val="1"/>
                <w:color w:val="auto"/>
              </w:rPr>
            </w:pPr>
          </w:p>
        </w:tc>
      </w:tr>
      <w:tr>
        <w:trPr>
          <w:trHeight w:val="206"/>
        </w:trPr>
        <w:tc>
          <w:tcPr>
            <w:tcW w:w="620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December 31, 2023 of $99,241 and $81,656, respectively</w:t>
            </w:r>
          </w:p>
        </w:tc>
        <w:tc>
          <w:tcPr>
            <w:tcW w:w="1600" w:type="dxa"/>
            <w:vAlign w:val="bottom"/>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52,576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47,406</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64,750</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57,492</w:t>
            </w:r>
          </w:p>
        </w:tc>
        <w:tc>
          <w:tcPr>
            <w:tcW w:w="0" w:type="dxa"/>
            <w:vAlign w:val="bottom"/>
          </w:tcPr>
          <w:p>
            <w:pPr>
              <w:spacing w:after="0"/>
              <w:rPr>
                <w:sz w:val="1"/>
                <w:szCs w:val="1"/>
                <w:color w:val="auto"/>
              </w:rPr>
            </w:pPr>
          </w:p>
        </w:tc>
      </w:tr>
      <w:tr>
        <w:trPr>
          <w:trHeight w:val="205"/>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Assets held for sale – current</w:t>
            </w:r>
          </w:p>
        </w:tc>
        <w:tc>
          <w:tcPr>
            <w:tcW w:w="272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4,078</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2,110</w:t>
            </w:r>
          </w:p>
        </w:tc>
        <w:tc>
          <w:tcPr>
            <w:tcW w:w="0" w:type="dxa"/>
            <w:vAlign w:val="bottom"/>
          </w:tcPr>
          <w:p>
            <w:pPr>
              <w:spacing w:after="0"/>
              <w:rPr>
                <w:sz w:val="1"/>
                <w:szCs w:val="1"/>
                <w:color w:val="auto"/>
              </w:rPr>
            </w:pPr>
          </w:p>
        </w:tc>
      </w:tr>
      <w:tr>
        <w:trPr>
          <w:trHeight w:val="200"/>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assets</w:t>
            </w:r>
          </w:p>
        </w:tc>
        <w:tc>
          <w:tcPr>
            <w:tcW w:w="27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578,319</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569,096</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3,401,198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3,381,315</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Property, plant and equipment, net</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353,338</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340,887</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257,054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245,647</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Goodwill</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1,176,889</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1,176,635</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260,539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419,709</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assets</w:t>
            </w:r>
          </w:p>
        </w:tc>
        <w:tc>
          <w:tcPr>
            <w:tcW w:w="2720" w:type="dxa"/>
            <w:vAlign w:val="bottom"/>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spacing w:after="0"/>
              <w:rPr>
                <w:sz w:val="18"/>
                <w:szCs w:val="18"/>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9,882</w:t>
            </w:r>
          </w:p>
        </w:tc>
        <w:tc>
          <w:tcPr>
            <w:tcW w:w="80" w:type="dxa"/>
            <w:vAlign w:val="bottom"/>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4,626</w:t>
            </w:r>
          </w:p>
        </w:tc>
        <w:tc>
          <w:tcPr>
            <w:tcW w:w="0" w:type="dxa"/>
            <w:vAlign w:val="bottom"/>
          </w:tcPr>
          <w:p>
            <w:pPr>
              <w:spacing w:after="0"/>
              <w:rPr>
                <w:sz w:val="1"/>
                <w:szCs w:val="1"/>
                <w:color w:val="auto"/>
              </w:rPr>
            </w:pPr>
          </w:p>
        </w:tc>
      </w:tr>
      <w:tr>
        <w:trPr>
          <w:trHeight w:val="198"/>
        </w:trPr>
        <w:tc>
          <w:tcPr>
            <w:tcW w:w="3480" w:type="dxa"/>
            <w:vAlign w:val="bottom"/>
            <w:tcBorders>
              <w:bottom w:val="single" w:sz="8" w:color="DDDDDD"/>
            </w:tcBorders>
          </w:tcPr>
          <w:p>
            <w:pPr>
              <w:ind w:left="440"/>
              <w:spacing w:after="0"/>
              <w:rPr>
                <w:sz w:val="20"/>
                <w:szCs w:val="20"/>
                <w:color w:val="auto"/>
              </w:rPr>
            </w:pPr>
            <w:r>
              <w:rPr>
                <w:rFonts w:ascii="Arial" w:cs="Arial" w:eastAsia="Arial" w:hAnsi="Arial"/>
                <w:sz w:val="15"/>
                <w:szCs w:val="15"/>
                <w:color w:val="auto"/>
              </w:rPr>
              <w:t>Total long-term assets</w:t>
            </w:r>
          </w:p>
        </w:tc>
        <w:tc>
          <w:tcPr>
            <w:tcW w:w="272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5,458,900</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5,568,819</w:t>
            </w:r>
          </w:p>
        </w:tc>
        <w:tc>
          <w:tcPr>
            <w:tcW w:w="0" w:type="dxa"/>
            <w:vAlign w:val="bottom"/>
          </w:tcPr>
          <w:p>
            <w:pPr>
              <w:spacing w:after="0"/>
              <w:rPr>
                <w:sz w:val="1"/>
                <w:szCs w:val="1"/>
                <w:color w:val="auto"/>
              </w:rPr>
            </w:pPr>
          </w:p>
        </w:tc>
      </w:tr>
      <w:tr>
        <w:trPr>
          <w:trHeight w:val="224"/>
        </w:trPr>
        <w:tc>
          <w:tcPr>
            <w:tcW w:w="34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 assets</w:t>
            </w:r>
          </w:p>
        </w:tc>
        <w:tc>
          <w:tcPr>
            <w:tcW w:w="2720" w:type="dxa"/>
            <w:vAlign w:val="bottom"/>
            <w:tcBorders>
              <w:bottom w:val="single" w:sz="8" w:color="DDDDDD"/>
            </w:tcBorders>
            <w:shd w:val="clear" w:color="auto" w:fill="DDDDDD"/>
          </w:tcPr>
          <w:p>
            <w:pPr>
              <w:spacing w:after="0"/>
              <w:rPr>
                <w:sz w:val="19"/>
                <w:szCs w:val="19"/>
                <w:color w:val="auto"/>
              </w:rPr>
            </w:pPr>
          </w:p>
        </w:tc>
        <w:tc>
          <w:tcPr>
            <w:tcW w:w="1600" w:type="dxa"/>
            <w:vAlign w:val="bottom"/>
            <w:tcBorders>
              <w:bottom w:val="single" w:sz="8" w:color="auto"/>
            </w:tcBorders>
            <w:shd w:val="clear" w:color="auto" w:fill="DDDDDD"/>
          </w:tcPr>
          <w:p>
            <w:pPr>
              <w:jc w:val="right"/>
              <w:ind w:right="142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6,037,219</w:t>
            </w:r>
          </w:p>
        </w:tc>
        <w:tc>
          <w:tcPr>
            <w:tcW w:w="8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6,137,915</w:t>
            </w:r>
          </w:p>
        </w:tc>
        <w:tc>
          <w:tcPr>
            <w:tcW w:w="0" w:type="dxa"/>
            <w:vAlign w:val="bottom"/>
          </w:tcPr>
          <w:p>
            <w:pPr>
              <w:spacing w:after="0"/>
              <w:rPr>
                <w:sz w:val="1"/>
                <w:szCs w:val="1"/>
                <w:color w:val="auto"/>
              </w:rPr>
            </w:pPr>
          </w:p>
        </w:tc>
      </w:tr>
      <w:tr>
        <w:trPr>
          <w:trHeight w:val="20"/>
        </w:trPr>
        <w:tc>
          <w:tcPr>
            <w:tcW w:w="348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5"/>
                <w:szCs w:val="15"/>
                <w:color w:val="auto"/>
              </w:rPr>
              <w:t>Liabilities and equity</w:t>
            </w:r>
          </w:p>
        </w:tc>
        <w:tc>
          <w:tcPr>
            <w:tcW w:w="2720" w:type="dxa"/>
            <w:vAlign w:val="bottom"/>
            <w:tcBorders>
              <w:top w:val="single" w:sz="8" w:color="DDDDDD"/>
            </w:tcBorders>
          </w:tcPr>
          <w:p>
            <w:pPr>
              <w:spacing w:after="0" w:line="20" w:lineRule="exact"/>
              <w:rPr>
                <w:sz w:val="1"/>
                <w:szCs w:val="1"/>
                <w:color w:val="auto"/>
              </w:rPr>
            </w:pPr>
          </w:p>
        </w:tc>
        <w:tc>
          <w:tcPr>
            <w:tcW w:w="1600" w:type="dxa"/>
            <w:vAlign w:val="bottom"/>
            <w:tcBorders>
              <w:top w:val="single" w:sz="8" w:color="DDDDDD"/>
              <w:bottom w:val="single" w:sz="8" w:color="auto"/>
            </w:tcBorders>
          </w:tcPr>
          <w:p>
            <w:pPr>
              <w:spacing w:after="0" w:line="20" w:lineRule="exact"/>
              <w:rPr>
                <w:sz w:val="1"/>
                <w:szCs w:val="1"/>
                <w:color w:val="auto"/>
              </w:rPr>
            </w:pPr>
          </w:p>
        </w:tc>
        <w:tc>
          <w:tcPr>
            <w:tcW w:w="8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21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80" w:type="dxa"/>
            <w:vAlign w:val="bottom"/>
            <w:vMerge w:val="continue"/>
          </w:tcPr>
          <w:p>
            <w:pPr>
              <w:spacing w:after="0"/>
              <w:rPr>
                <w:sz w:val="13"/>
                <w:szCs w:val="13"/>
                <w:color w:val="auto"/>
              </w:rPr>
            </w:pPr>
          </w:p>
        </w:tc>
        <w:tc>
          <w:tcPr>
            <w:tcW w:w="2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Accounts payable</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jc w:val="right"/>
              <w:ind w:right="142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107,789</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86,123</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Accrued expenses</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168,462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129,621</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Accrued employee benefits</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24,551</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45,564</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249,973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224,518</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Operating lease liabilities – current</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65,708</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57,408</w:t>
            </w:r>
          </w:p>
        </w:tc>
        <w:tc>
          <w:tcPr>
            <w:tcW w:w="0" w:type="dxa"/>
            <w:vAlign w:val="bottom"/>
          </w:tcPr>
          <w:p>
            <w:pPr>
              <w:spacing w:after="0"/>
              <w:rPr>
                <w:sz w:val="1"/>
                <w:szCs w:val="1"/>
                <w:color w:val="auto"/>
              </w:rPr>
            </w:pPr>
          </w:p>
        </w:tc>
      </w:tr>
      <w:tr>
        <w:trPr>
          <w:trHeight w:val="205"/>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Current portion of long-term debt</w:t>
            </w:r>
          </w:p>
        </w:tc>
        <w:tc>
          <w:tcPr>
            <w:tcW w:w="272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22,933</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18,786</w:t>
            </w:r>
          </w:p>
        </w:tc>
        <w:tc>
          <w:tcPr>
            <w:tcW w:w="0" w:type="dxa"/>
            <w:vAlign w:val="bottom"/>
          </w:tcPr>
          <w:p>
            <w:pPr>
              <w:spacing w:after="0"/>
              <w:rPr>
                <w:sz w:val="1"/>
                <w:szCs w:val="1"/>
                <w:color w:val="auto"/>
              </w:rPr>
            </w:pPr>
          </w:p>
        </w:tc>
      </w:tr>
      <w:tr>
        <w:trPr>
          <w:trHeight w:val="200"/>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liabilities</w:t>
            </w:r>
          </w:p>
        </w:tc>
        <w:tc>
          <w:tcPr>
            <w:tcW w:w="27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639,416</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562,020</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3,607,957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3,538,516</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tax liabilities</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492,152</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554,268</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192,133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187,837</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liabilities</w:t>
            </w:r>
          </w:p>
        </w:tc>
        <w:tc>
          <w:tcPr>
            <w:tcW w:w="2720" w:type="dxa"/>
            <w:vAlign w:val="bottom"/>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spacing w:after="0"/>
              <w:rPr>
                <w:sz w:val="18"/>
                <w:szCs w:val="18"/>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51,482</w:t>
            </w:r>
          </w:p>
        </w:tc>
        <w:tc>
          <w:tcPr>
            <w:tcW w:w="80" w:type="dxa"/>
            <w:vAlign w:val="bottom"/>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34,024</w:t>
            </w:r>
          </w:p>
        </w:tc>
        <w:tc>
          <w:tcPr>
            <w:tcW w:w="0" w:type="dxa"/>
            <w:vAlign w:val="bottom"/>
          </w:tcPr>
          <w:p>
            <w:pPr>
              <w:spacing w:after="0"/>
              <w:rPr>
                <w:sz w:val="1"/>
                <w:szCs w:val="1"/>
                <w:color w:val="auto"/>
              </w:rPr>
            </w:pPr>
          </w:p>
        </w:tc>
      </w:tr>
      <w:tr>
        <w:trPr>
          <w:trHeight w:val="198"/>
        </w:trPr>
        <w:tc>
          <w:tcPr>
            <w:tcW w:w="3480" w:type="dxa"/>
            <w:vAlign w:val="bottom"/>
            <w:tcBorders>
              <w:bottom w:val="single" w:sz="8" w:color="DDDDDD"/>
            </w:tcBorders>
          </w:tcPr>
          <w:p>
            <w:pPr>
              <w:ind w:left="440"/>
              <w:spacing w:after="0"/>
              <w:rPr>
                <w:sz w:val="20"/>
                <w:szCs w:val="20"/>
                <w:color w:val="auto"/>
              </w:rPr>
            </w:pPr>
            <w:r>
              <w:rPr>
                <w:rFonts w:ascii="Arial" w:cs="Arial" w:eastAsia="Arial" w:hAnsi="Arial"/>
                <w:sz w:val="15"/>
                <w:szCs w:val="15"/>
                <w:color w:val="auto"/>
              </w:rPr>
              <w:t>Long-term liabilities</w:t>
            </w:r>
          </w:p>
        </w:tc>
        <w:tc>
          <w:tcPr>
            <w:tcW w:w="272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4,343,724</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4,314,645</w:t>
            </w:r>
          </w:p>
        </w:tc>
        <w:tc>
          <w:tcPr>
            <w:tcW w:w="0" w:type="dxa"/>
            <w:vAlign w:val="bottom"/>
          </w:tcPr>
          <w:p>
            <w:pPr>
              <w:spacing w:after="0"/>
              <w:rPr>
                <w:sz w:val="1"/>
                <w:szCs w:val="1"/>
                <w:color w:val="auto"/>
              </w:rPr>
            </w:pPr>
          </w:p>
        </w:tc>
      </w:tr>
      <w:tr>
        <w:trPr>
          <w:trHeight w:val="200"/>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liabilities</w:t>
            </w:r>
          </w:p>
        </w:tc>
        <w:tc>
          <w:tcPr>
            <w:tcW w:w="2720" w:type="dxa"/>
            <w:vAlign w:val="bottom"/>
            <w:shd w:val="clear" w:color="auto" w:fill="DDDDDD"/>
          </w:tcPr>
          <w:p>
            <w:pPr>
              <w:spacing w:after="0"/>
              <w:rPr>
                <w:sz w:val="17"/>
                <w:szCs w:val="17"/>
                <w:color w:val="auto"/>
              </w:rPr>
            </w:pPr>
          </w:p>
        </w:tc>
        <w:tc>
          <w:tcPr>
            <w:tcW w:w="1600" w:type="dxa"/>
            <w:vAlign w:val="bottom"/>
            <w:tcBorders>
              <w:bottom w:val="single" w:sz="8" w:color="auto"/>
            </w:tcBorders>
            <w:shd w:val="clear" w:color="auto" w:fill="DDDDDD"/>
          </w:tcPr>
          <w:p>
            <w:pPr>
              <w:spacing w:after="0"/>
              <w:rPr>
                <w:sz w:val="17"/>
                <w:szCs w:val="17"/>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4,983,140</w:t>
            </w:r>
          </w:p>
        </w:tc>
        <w:tc>
          <w:tcPr>
            <w:tcW w:w="8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4,876,665</w:t>
            </w:r>
          </w:p>
        </w:tc>
        <w:tc>
          <w:tcPr>
            <w:tcW w:w="0" w:type="dxa"/>
            <w:vAlign w:val="bottom"/>
          </w:tcPr>
          <w:p>
            <w:pPr>
              <w:spacing w:after="0"/>
              <w:rPr>
                <w:sz w:val="1"/>
                <w:szCs w:val="1"/>
                <w:color w:val="auto"/>
              </w:rPr>
            </w:pPr>
          </w:p>
        </w:tc>
      </w:tr>
      <w:tr>
        <w:trPr>
          <w:trHeight w:val="135"/>
        </w:trPr>
        <w:tc>
          <w:tcPr>
            <w:tcW w:w="6200" w:type="dxa"/>
            <w:vAlign w:val="bottom"/>
            <w:gridSpan w:val="2"/>
          </w:tcPr>
          <w:p>
            <w:pPr>
              <w:ind w:left="220"/>
              <w:spacing w:after="0" w:line="136" w:lineRule="exact"/>
              <w:rPr>
                <w:sz w:val="20"/>
                <w:szCs w:val="20"/>
                <w:color w:val="auto"/>
              </w:rPr>
            </w:pPr>
            <w:r>
              <w:rPr>
                <w:rFonts w:ascii="Arial" w:cs="Arial" w:eastAsia="Arial" w:hAnsi="Arial"/>
                <w:sz w:val="15"/>
                <w:szCs w:val="15"/>
                <w:color w:val="auto"/>
              </w:rPr>
              <w:t>Preferred Stock: $0.0001 par, 1,000,000 shares authorized and zero shares issued</w:t>
            </w:r>
          </w:p>
        </w:tc>
        <w:tc>
          <w:tcPr>
            <w:tcW w:w="16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1"/>
                <w:szCs w:val="11"/>
                <w:color w:val="auto"/>
              </w:rPr>
            </w:pPr>
          </w:p>
        </w:tc>
        <w:tc>
          <w:tcPr>
            <w:tcW w:w="2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6200" w:type="dxa"/>
            <w:vAlign w:val="bottom"/>
            <w:gridSpan w:val="2"/>
          </w:tcPr>
          <w:p>
            <w:pPr>
              <w:ind w:left="220"/>
              <w:spacing w:after="0"/>
              <w:rPr>
                <w:sz w:val="20"/>
                <w:szCs w:val="20"/>
                <w:color w:val="auto"/>
              </w:rPr>
            </w:pPr>
            <w:r>
              <w:rPr>
                <w:rFonts w:ascii="Arial" w:cs="Arial" w:eastAsia="Arial" w:hAnsi="Arial"/>
                <w:sz w:val="15"/>
                <w:szCs w:val="15"/>
                <w:color w:val="auto"/>
              </w:rPr>
              <w:t>and outstanding at September 30, 2024 and December 31, 2023</w:t>
            </w:r>
          </w:p>
        </w:tc>
        <w:tc>
          <w:tcPr>
            <w:tcW w:w="16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200" w:type="dxa"/>
            <w:vAlign w:val="bottom"/>
            <w:gridSpan w:val="2"/>
            <w:shd w:val="clear" w:color="auto" w:fill="DDDDDD"/>
          </w:tcPr>
          <w:p>
            <w:pPr>
              <w:ind w:left="220"/>
              <w:spacing w:after="0" w:line="156" w:lineRule="exact"/>
              <w:rPr>
                <w:sz w:val="20"/>
                <w:szCs w:val="20"/>
                <w:color w:val="auto"/>
              </w:rPr>
            </w:pPr>
            <w:r>
              <w:rPr>
                <w:rFonts w:ascii="Arial" w:cs="Arial" w:eastAsia="Arial" w:hAnsi="Arial"/>
                <w:sz w:val="15"/>
                <w:szCs w:val="15"/>
                <w:color w:val="auto"/>
              </w:rPr>
              <w:t>Common Stock: $0.0001 par, 500,000,000 shares authorized and 187,048,646 and</w:t>
            </w:r>
          </w:p>
        </w:tc>
        <w:tc>
          <w:tcPr>
            <w:tcW w:w="1600" w:type="dxa"/>
            <w:vAlign w:val="bottom"/>
            <w:shd w:val="clear" w:color="auto" w:fill="DDDDDD"/>
          </w:tcPr>
          <w:p>
            <w:pPr>
              <w:spacing w:after="0"/>
              <w:rPr>
                <w:sz w:val="13"/>
                <w:szCs w:val="13"/>
                <w:color w:val="auto"/>
              </w:rPr>
            </w:pPr>
          </w:p>
        </w:tc>
        <w:tc>
          <w:tcPr>
            <w:tcW w:w="8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21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0" w:type="dxa"/>
            <w:vAlign w:val="bottom"/>
            <w:gridSpan w:val="2"/>
            <w:shd w:val="clear" w:color="auto" w:fill="DDDDDD"/>
          </w:tcPr>
          <w:p>
            <w:pPr>
              <w:ind w:left="220"/>
              <w:spacing w:after="0" w:line="155" w:lineRule="exact"/>
              <w:rPr>
                <w:sz w:val="20"/>
                <w:szCs w:val="20"/>
                <w:color w:val="auto"/>
              </w:rPr>
            </w:pPr>
            <w:r>
              <w:rPr>
                <w:rFonts w:ascii="Arial" w:cs="Arial" w:eastAsia="Arial" w:hAnsi="Arial"/>
                <w:sz w:val="15"/>
                <w:szCs w:val="15"/>
                <w:color w:val="auto"/>
              </w:rPr>
              <w:t>189,967,135 shares issued and outstanding at September 30, 2024 and December 31,</w:t>
            </w:r>
          </w:p>
        </w:tc>
        <w:tc>
          <w:tcPr>
            <w:tcW w:w="1600" w:type="dxa"/>
            <w:vAlign w:val="bottom"/>
            <w:shd w:val="clear" w:color="auto" w:fill="DDDDDD"/>
          </w:tcPr>
          <w:p>
            <w:pPr>
              <w:spacing w:after="0"/>
              <w:rPr>
                <w:sz w:val="13"/>
                <w:szCs w:val="13"/>
                <w:color w:val="auto"/>
              </w:rPr>
            </w:pPr>
          </w:p>
        </w:tc>
        <w:tc>
          <w:tcPr>
            <w:tcW w:w="88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19</w:t>
            </w:r>
          </w:p>
        </w:tc>
        <w:tc>
          <w:tcPr>
            <w:tcW w:w="8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214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6"/>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2023, respectively</w:t>
            </w:r>
          </w:p>
        </w:tc>
        <w:tc>
          <w:tcPr>
            <w:tcW w:w="27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Additional paid-in-capital</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1,960,163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2,089,091</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Accumulated other comprehensive loss</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(69,924)</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(52,768)</w:t>
            </w:r>
          </w:p>
        </w:tc>
        <w:tc>
          <w:tcPr>
            <w:tcW w:w="0" w:type="dxa"/>
            <w:vAlign w:val="bottom"/>
          </w:tcPr>
          <w:p>
            <w:pPr>
              <w:spacing w:after="0"/>
              <w:rPr>
                <w:sz w:val="1"/>
                <w:szCs w:val="1"/>
                <w:color w:val="auto"/>
              </w:rPr>
            </w:pPr>
          </w:p>
        </w:tc>
      </w:tr>
      <w:tr>
        <w:trPr>
          <w:trHeight w:val="205"/>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Accumulated deficit</w:t>
            </w:r>
          </w:p>
        </w:tc>
        <w:tc>
          <w:tcPr>
            <w:tcW w:w="272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(836,179)</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(775,093)</w:t>
            </w:r>
          </w:p>
        </w:tc>
        <w:tc>
          <w:tcPr>
            <w:tcW w:w="0" w:type="dxa"/>
            <w:vAlign w:val="bottom"/>
          </w:tcPr>
          <w:p>
            <w:pPr>
              <w:spacing w:after="0"/>
              <w:rPr>
                <w:sz w:val="1"/>
                <w:szCs w:val="1"/>
                <w:color w:val="auto"/>
              </w:rPr>
            </w:pPr>
          </w:p>
        </w:tc>
      </w:tr>
      <w:tr>
        <w:trPr>
          <w:trHeight w:val="200"/>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shareholders' equity</w:t>
            </w:r>
          </w:p>
        </w:tc>
        <w:tc>
          <w:tcPr>
            <w:tcW w:w="2720" w:type="dxa"/>
            <w:vAlign w:val="bottom"/>
            <w:shd w:val="clear" w:color="auto" w:fill="DDDDDD"/>
          </w:tcPr>
          <w:p>
            <w:pPr>
              <w:spacing w:after="0"/>
              <w:rPr>
                <w:sz w:val="17"/>
                <w:szCs w:val="17"/>
                <w:color w:val="auto"/>
              </w:rPr>
            </w:pPr>
          </w:p>
        </w:tc>
        <w:tc>
          <w:tcPr>
            <w:tcW w:w="1600" w:type="dxa"/>
            <w:vAlign w:val="bottom"/>
            <w:tcBorders>
              <w:bottom w:val="single" w:sz="8" w:color="auto"/>
            </w:tcBorders>
            <w:shd w:val="clear" w:color="auto" w:fill="DDDDDD"/>
          </w:tcPr>
          <w:p>
            <w:pPr>
              <w:spacing w:after="0"/>
              <w:rPr>
                <w:sz w:val="17"/>
                <w:szCs w:val="17"/>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1,054,079</w:t>
            </w:r>
          </w:p>
        </w:tc>
        <w:tc>
          <w:tcPr>
            <w:tcW w:w="8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1,261,250</w:t>
            </w:r>
          </w:p>
        </w:tc>
        <w:tc>
          <w:tcPr>
            <w:tcW w:w="0" w:type="dxa"/>
            <w:vAlign w:val="bottom"/>
          </w:tcPr>
          <w:p>
            <w:pPr>
              <w:spacing w:after="0"/>
              <w:rPr>
                <w:sz w:val="1"/>
                <w:szCs w:val="1"/>
                <w:color w:val="auto"/>
              </w:rPr>
            </w:pPr>
          </w:p>
        </w:tc>
      </w:tr>
      <w:tr>
        <w:trPr>
          <w:trHeight w:val="198"/>
        </w:trPr>
        <w:tc>
          <w:tcPr>
            <w:tcW w:w="3480" w:type="dxa"/>
            <w:vAlign w:val="bottom"/>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2720" w:type="dxa"/>
            <w:vAlign w:val="bottom"/>
          </w:tcPr>
          <w:p>
            <w:pPr>
              <w:spacing w:after="0"/>
              <w:rPr>
                <w:sz w:val="17"/>
                <w:szCs w:val="17"/>
                <w:color w:val="auto"/>
              </w:rPr>
            </w:pPr>
          </w:p>
        </w:tc>
        <w:tc>
          <w:tcPr>
            <w:tcW w:w="1600" w:type="dxa"/>
            <w:vAlign w:val="bottom"/>
            <w:tcBorders>
              <w:bottom w:val="single" w:sz="8" w:color="auto"/>
            </w:tcBorders>
          </w:tcPr>
          <w:p>
            <w:pPr>
              <w:jc w:val="right"/>
              <w:ind w:right="142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6,037,219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6,137,915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3" w:name="page4"/>
    <w:bookmarkEnd w:id="3"/>
    <w:p>
      <w:pPr>
        <w:ind w:left="4440"/>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ind w:left="3080"/>
        <w:spacing w:after="0"/>
        <w:rPr>
          <w:sz w:val="20"/>
          <w:szCs w:val="20"/>
          <w:color w:val="auto"/>
        </w:rPr>
      </w:pPr>
      <w:r>
        <w:rPr>
          <w:rFonts w:ascii="Arial" w:cs="Arial" w:eastAsia="Arial" w:hAnsi="Arial"/>
          <w:sz w:val="22"/>
          <w:szCs w:val="22"/>
          <w:color w:val="1D2758"/>
        </w:rPr>
        <w:t>Condensed Consolidated Statements of Operations</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22"/>
          <w:szCs w:val="22"/>
          <w:color w:val="1D2758"/>
        </w:rPr>
        <w:t>(Unaudited)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2660" w:type="dxa"/>
            <w:vAlign w:val="bottom"/>
            <w:gridSpan w:val="5"/>
            <w:shd w:val="clear" w:color="auto" w:fill="1D2758"/>
          </w:tcPr>
          <w:p>
            <w:pPr>
              <w:jc w:val="center"/>
              <w:ind w:right="340"/>
              <w:spacing w:after="0"/>
              <w:rPr>
                <w:sz w:val="20"/>
                <w:szCs w:val="20"/>
                <w:color w:val="auto"/>
              </w:rPr>
            </w:pPr>
            <w:r>
              <w:rPr>
                <w:rFonts w:ascii="Arial" w:cs="Arial" w:eastAsia="Arial" w:hAnsi="Arial"/>
                <w:sz w:val="15"/>
                <w:szCs w:val="15"/>
                <w:b w:val="1"/>
                <w:bCs w:val="1"/>
                <w:color w:val="FFFFFF"/>
              </w:rPr>
              <w:t>Three Months Ended</w:t>
            </w:r>
          </w:p>
        </w:tc>
        <w:tc>
          <w:tcPr>
            <w:tcW w:w="280" w:type="dxa"/>
            <w:vAlign w:val="bottom"/>
            <w:shd w:val="clear" w:color="auto" w:fill="1D2758"/>
          </w:tcPr>
          <w:p>
            <w:pPr>
              <w:spacing w:after="0"/>
              <w:rPr>
                <w:sz w:val="14"/>
                <w:szCs w:val="14"/>
                <w:color w:val="auto"/>
              </w:rPr>
            </w:pPr>
          </w:p>
        </w:tc>
        <w:tc>
          <w:tcPr>
            <w:tcW w:w="2580" w:type="dxa"/>
            <w:vAlign w:val="bottom"/>
            <w:gridSpan w:val="4"/>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544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2660" w:type="dxa"/>
            <w:vAlign w:val="bottom"/>
            <w:gridSpan w:val="5"/>
            <w:shd w:val="clear" w:color="auto" w:fill="1D2758"/>
          </w:tcPr>
          <w:p>
            <w:pPr>
              <w:jc w:val="center"/>
              <w:ind w:right="360"/>
              <w:spacing w:after="0"/>
              <w:rPr>
                <w:sz w:val="20"/>
                <w:szCs w:val="20"/>
                <w:color w:val="auto"/>
              </w:rPr>
            </w:pPr>
            <w:r>
              <w:rPr>
                <w:rFonts w:ascii="Arial" w:cs="Arial" w:eastAsia="Arial" w:hAnsi="Arial"/>
                <w:sz w:val="15"/>
                <w:szCs w:val="15"/>
                <w:b w:val="1"/>
                <w:bCs w:val="1"/>
                <w:color w:val="FFFFFF"/>
              </w:rPr>
              <w:t>September 30,</w:t>
            </w:r>
          </w:p>
        </w:tc>
        <w:tc>
          <w:tcPr>
            <w:tcW w:w="280" w:type="dxa"/>
            <w:vAlign w:val="bottom"/>
            <w:shd w:val="clear" w:color="auto" w:fill="1D2758"/>
          </w:tcPr>
          <w:p>
            <w:pPr>
              <w:spacing w:after="0"/>
              <w:rPr>
                <w:sz w:val="17"/>
                <w:szCs w:val="17"/>
                <w:color w:val="auto"/>
              </w:rPr>
            </w:pPr>
          </w:p>
        </w:tc>
        <w:tc>
          <w:tcPr>
            <w:tcW w:w="2580" w:type="dxa"/>
            <w:vAlign w:val="bottom"/>
            <w:gridSpan w:val="4"/>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September 30,</w:t>
            </w:r>
          </w:p>
        </w:tc>
      </w:tr>
      <w:tr>
        <w:trPr>
          <w:trHeight w:val="206"/>
        </w:trPr>
        <w:tc>
          <w:tcPr>
            <w:tcW w:w="54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26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2023</w:t>
            </w:r>
          </w:p>
        </w:tc>
      </w:tr>
      <w:tr>
        <w:trPr>
          <w:trHeight w:val="206"/>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6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4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455,578</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466,769</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1,374,771</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1,356,040</w:t>
            </w:r>
          </w:p>
        </w:tc>
      </w:tr>
      <w:tr>
        <w:trPr>
          <w:trHeight w:val="205"/>
        </w:trPr>
        <w:tc>
          <w:tcPr>
            <w:tcW w:w="54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114,765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115,598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323,274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334,982</w:t>
            </w: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54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17,850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10,155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52,727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29,816</w:t>
            </w:r>
          </w:p>
        </w:tc>
      </w:tr>
      <w:tr>
        <w:trPr>
          <w:trHeight w:val="207"/>
        </w:trPr>
        <w:tc>
          <w:tcPr>
            <w:tcW w:w="54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6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13,239</w:t>
            </w:r>
          </w:p>
        </w:tc>
        <w:tc>
          <w:tcPr>
            <w:tcW w:w="8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12,312</w:t>
            </w:r>
          </w:p>
        </w:tc>
        <w:tc>
          <w:tcPr>
            <w:tcW w:w="8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42,431</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31,553</w:t>
            </w:r>
          </w:p>
        </w:tc>
      </w:tr>
      <w:tr>
        <w:trPr>
          <w:trHeight w:val="198"/>
        </w:trPr>
        <w:tc>
          <w:tcPr>
            <w:tcW w:w="54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601,432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604,834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1,793,203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1,752,391</w:t>
            </w: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4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96,050</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104,331</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296,692</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300,402</w:t>
            </w:r>
          </w:p>
        </w:tc>
      </w:tr>
      <w:tr>
        <w:trPr>
          <w:trHeight w:val="205"/>
        </w:trPr>
        <w:tc>
          <w:tcPr>
            <w:tcW w:w="54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91,775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82,081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250,787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238,437</w:t>
            </w: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54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9,665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5,096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31,296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16,099</w:t>
            </w:r>
          </w:p>
        </w:tc>
      </w:tr>
      <w:tr>
        <w:trPr>
          <w:trHeight w:val="207"/>
        </w:trPr>
        <w:tc>
          <w:tcPr>
            <w:tcW w:w="54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6,246</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6,682</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22,207</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16,203</w:t>
            </w:r>
          </w:p>
        </w:tc>
      </w:tr>
      <w:tr>
        <w:trPr>
          <w:trHeight w:val="205"/>
        </w:trPr>
        <w:tc>
          <w:tcPr>
            <w:tcW w:w="54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76,212</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66,950</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226,731</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190,556</w:t>
            </w:r>
          </w:p>
        </w:tc>
      </w:tr>
      <w:tr>
        <w:trPr>
          <w:trHeight w:val="200"/>
        </w:trPr>
        <w:tc>
          <w:tcPr>
            <w:tcW w:w="54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26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321,484</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339,694</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965,490</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990,694</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150,865</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151,983</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493,043</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449,663</w:t>
            </w: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23,108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17,852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59,163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52,371</w:t>
            </w: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180,000</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Impairment loss on intangible asset</w:t>
            </w: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2,334</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8,540</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Lease impairment expense and other related charges, net</w:t>
            </w:r>
          </w:p>
        </w:tc>
        <w:tc>
          <w:tcPr>
            <w:tcW w:w="2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(gains) losses, net</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6,885</w:t>
            </w:r>
          </w:p>
        </w:tc>
      </w:tr>
      <w:tr>
        <w:trPr>
          <w:trHeight w:val="205"/>
        </w:trPr>
        <w:tc>
          <w:tcPr>
            <w:tcW w:w="54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(income), net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380</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(8,336)</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1,935</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(14,533)</w:t>
            </w:r>
          </w:p>
        </w:tc>
      </w:tr>
      <w:tr>
        <w:trPr>
          <w:trHeight w:val="200"/>
        </w:trPr>
        <w:tc>
          <w:tcPr>
            <w:tcW w:w="54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(loss) income</w:t>
            </w:r>
          </w:p>
        </w:tc>
        <w:tc>
          <w:tcPr>
            <w:tcW w:w="2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(35,218)</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178,099</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89,496</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496,286</w:t>
            </w:r>
          </w:p>
        </w:tc>
      </w:tr>
      <w:tr>
        <w:trPr>
          <w:trHeight w:val="205"/>
        </w:trPr>
        <w:tc>
          <w:tcPr>
            <w:tcW w:w="54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 net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55,823</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53,803</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167,959</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145,915</w:t>
            </w:r>
          </w:p>
        </w:tc>
      </w:tr>
      <w:tr>
        <w:trPr>
          <w:trHeight w:val="200"/>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income from continuing operations before income tax</w:t>
            </w:r>
          </w:p>
        </w:tc>
        <w:tc>
          <w:tcPr>
            <w:tcW w:w="2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(91,041)</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124,296</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(78,463)</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350,371</w:t>
            </w:r>
          </w:p>
        </w:tc>
      </w:tr>
      <w:tr>
        <w:trPr>
          <w:trHeight w:val="205"/>
        </w:trPr>
        <w:tc>
          <w:tcPr>
            <w:tcW w:w="54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(benefit) expense from continuing operations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(20,566)</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32,780</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(17,377)</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94,855</w:t>
            </w:r>
          </w:p>
        </w:tc>
      </w:tr>
      <w:tr>
        <w:trPr>
          <w:trHeight w:val="199"/>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income from continuing operations</w:t>
            </w:r>
          </w:p>
        </w:tc>
        <w:tc>
          <w:tcPr>
            <w:tcW w:w="2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(70,475)</w:t>
            </w:r>
          </w:p>
        </w:tc>
        <w:tc>
          <w:tcPr>
            <w:tcW w:w="8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91,516</w:t>
            </w:r>
          </w:p>
        </w:tc>
        <w:tc>
          <w:tcPr>
            <w:tcW w:w="8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(61,086)</w:t>
            </w:r>
          </w:p>
        </w:tc>
        <w:tc>
          <w:tcPr>
            <w:tcW w:w="10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255,516</w:t>
            </w:r>
          </w:p>
        </w:tc>
      </w:tr>
      <w:tr>
        <w:trPr>
          <w:trHeight w:val="187"/>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6"/>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Discontinued operations:</w:t>
            </w:r>
          </w:p>
        </w:tc>
        <w:tc>
          <w:tcPr>
            <w:tcW w:w="26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4,003</w:t>
            </w: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26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8"/>
                <w:szCs w:val="18"/>
                <w:color w:val="auto"/>
              </w:rPr>
            </w:pPr>
          </w:p>
        </w:tc>
        <w:tc>
          <w:tcPr>
            <w:tcW w:w="118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176,078</w:t>
            </w:r>
          </w:p>
        </w:tc>
      </w:tr>
      <w:tr>
        <w:trPr>
          <w:trHeight w:val="205"/>
        </w:trPr>
        <w:tc>
          <w:tcPr>
            <w:tcW w:w="54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45,468</w:t>
            </w:r>
          </w:p>
        </w:tc>
      </w:tr>
      <w:tr>
        <w:trPr>
          <w:trHeight w:val="199"/>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26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7"/>
                <w:szCs w:val="17"/>
                <w:color w:val="auto"/>
              </w:rPr>
            </w:pPr>
          </w:p>
        </w:tc>
        <w:tc>
          <w:tcPr>
            <w:tcW w:w="118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134,613</w:t>
            </w:r>
          </w:p>
        </w:tc>
      </w:tr>
      <w:tr>
        <w:trPr>
          <w:trHeight w:val="187"/>
        </w:trPr>
        <w:tc>
          <w:tcPr>
            <w:tcW w:w="5440" w:type="dxa"/>
            <w:vAlign w:val="bottom"/>
            <w:tcBorders>
              <w:bottom w:val="single" w:sz="8" w:color="DBDBDB"/>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r>
      <w:tr>
        <w:trPr>
          <w:trHeight w:val="224"/>
        </w:trPr>
        <w:tc>
          <w:tcPr>
            <w:tcW w:w="5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(loss) income</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(70,475)</w:t>
            </w:r>
          </w:p>
        </w:tc>
        <w:tc>
          <w:tcPr>
            <w:tcW w:w="80" w:type="dxa"/>
            <w:vAlign w:val="bottom"/>
            <w:tcBorders>
              <w:bottom w:val="single" w:sz="8" w:color="DBDBDB"/>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91,516</w:t>
            </w:r>
          </w:p>
        </w:tc>
        <w:tc>
          <w:tcPr>
            <w:tcW w:w="80" w:type="dxa"/>
            <w:vAlign w:val="bottom"/>
            <w:tcBorders>
              <w:bottom w:val="single" w:sz="8" w:color="DBDBDB"/>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(61,086)</w:t>
            </w:r>
          </w:p>
        </w:tc>
        <w:tc>
          <w:tcPr>
            <w:tcW w:w="100" w:type="dxa"/>
            <w:vAlign w:val="bottom"/>
            <w:tcBorders>
              <w:bottom w:val="single" w:sz="8" w:color="DBDBDB"/>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390,129</w:t>
            </w:r>
          </w:p>
        </w:tc>
      </w:tr>
      <w:tr>
        <w:trPr>
          <w:trHeight w:val="20"/>
        </w:trPr>
        <w:tc>
          <w:tcPr>
            <w:tcW w:w="54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r>
        <w:trPr>
          <w:trHeight w:val="152"/>
        </w:trPr>
        <w:tc>
          <w:tcPr>
            <w:tcW w:w="5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6"/>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earnings per share from continuing operations:</w:t>
            </w:r>
          </w:p>
        </w:tc>
        <w:tc>
          <w:tcPr>
            <w:tcW w:w="26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Basic</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(0.37)</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0.47</w:t>
            </w:r>
          </w:p>
        </w:tc>
        <w:tc>
          <w:tcPr>
            <w:tcW w:w="80" w:type="dxa"/>
            <w:vAlign w:val="bottom"/>
          </w:tcPr>
          <w:p>
            <w:pPr>
              <w:spacing w:after="0"/>
              <w:rPr>
                <w:sz w:val="17"/>
                <w:szCs w:val="17"/>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(0.32)</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Diluted</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(0.37)</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0.46</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(0.32)</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Earnings per share from discontinued operations: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Basic</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18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0.67</w:t>
            </w: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Diluted</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0.66</w:t>
            </w: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earnings per share:</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Basic</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(0.37)</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0.47</w:t>
            </w:r>
          </w:p>
        </w:tc>
        <w:tc>
          <w:tcPr>
            <w:tcW w:w="80" w:type="dxa"/>
            <w:vAlign w:val="bottom"/>
          </w:tcPr>
          <w:p>
            <w:pPr>
              <w:spacing w:after="0"/>
              <w:rPr>
                <w:sz w:val="17"/>
                <w:szCs w:val="17"/>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(0.32)</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1.94</w:t>
            </w: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Diluted</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(0.37)</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0.46</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(0.32)</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1.91</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Weighted average shares: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Basic</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188,281,346</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196,198,638</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189,362,364</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201,042,902</w:t>
            </w: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Diluted</w:t>
            </w:r>
          </w:p>
        </w:tc>
        <w:tc>
          <w:tcPr>
            <w:tcW w:w="2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188,281,346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199,258,304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189,362,364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204,461,042</w:t>
            </w:r>
          </w:p>
        </w:tc>
      </w:tr>
    </w:tbl>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ectPr>
          <w:pgSz w:w="11900" w:h="16838" w:orient="portrait"/>
          <w:cols w:equalWidth="0" w:num="1">
            <w:col w:w="11220"/>
          </w:cols>
          <w:pgMar w:left="320" w:top="637" w:right="359" w:bottom="1440" w:gutter="0" w:footer="0" w:header="0"/>
        </w:sect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637"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Comprehensive (Loss) Income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2640" w:type="dxa"/>
            <w:vAlign w:val="bottom"/>
            <w:gridSpan w:val="5"/>
            <w:shd w:val="clear" w:color="auto" w:fill="1D2758"/>
          </w:tcPr>
          <w:p>
            <w:pPr>
              <w:ind w:left="360"/>
              <w:spacing w:after="0"/>
              <w:rPr>
                <w:sz w:val="20"/>
                <w:szCs w:val="20"/>
                <w:color w:val="auto"/>
              </w:rPr>
            </w:pPr>
            <w:r>
              <w:rPr>
                <w:rFonts w:ascii="Arial" w:cs="Arial" w:eastAsia="Arial" w:hAnsi="Arial"/>
                <w:sz w:val="15"/>
                <w:szCs w:val="15"/>
                <w:b w:val="1"/>
                <w:bCs w:val="1"/>
                <w:color w:val="FFFFFF"/>
              </w:rPr>
              <w:t>Three Months Ended</w:t>
            </w:r>
          </w:p>
        </w:tc>
        <w:tc>
          <w:tcPr>
            <w:tcW w:w="320" w:type="dxa"/>
            <w:vAlign w:val="bottom"/>
            <w:shd w:val="clear" w:color="auto" w:fill="1D2758"/>
          </w:tcPr>
          <w:p>
            <w:pPr>
              <w:spacing w:after="0"/>
              <w:rPr>
                <w:sz w:val="14"/>
                <w:szCs w:val="14"/>
                <w:color w:val="auto"/>
              </w:rPr>
            </w:pPr>
          </w:p>
        </w:tc>
        <w:tc>
          <w:tcPr>
            <w:tcW w:w="2560" w:type="dxa"/>
            <w:vAlign w:val="bottom"/>
            <w:gridSpan w:val="4"/>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Nine Months Ended</w:t>
            </w:r>
          </w:p>
        </w:tc>
        <w:tc>
          <w:tcPr>
            <w:tcW w:w="0" w:type="dxa"/>
            <w:vAlign w:val="bottom"/>
          </w:tcPr>
          <w:p>
            <w:pPr>
              <w:spacing w:after="0"/>
              <w:rPr>
                <w:sz w:val="1"/>
                <w:szCs w:val="1"/>
                <w:color w:val="auto"/>
              </w:rPr>
            </w:pPr>
          </w:p>
        </w:tc>
      </w:tr>
      <w:tr>
        <w:trPr>
          <w:trHeight w:val="206"/>
        </w:trPr>
        <w:tc>
          <w:tcPr>
            <w:tcW w:w="54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20" w:type="dxa"/>
            <w:vAlign w:val="bottom"/>
            <w:shd w:val="clear" w:color="auto" w:fill="1D2758"/>
          </w:tcPr>
          <w:p>
            <w:pPr>
              <w:spacing w:after="0"/>
              <w:rPr>
                <w:sz w:val="17"/>
                <w:szCs w:val="17"/>
                <w:color w:val="auto"/>
              </w:rPr>
            </w:pPr>
          </w:p>
        </w:tc>
        <w:tc>
          <w:tcPr>
            <w:tcW w:w="16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September 30,</w:t>
            </w:r>
          </w:p>
        </w:tc>
        <w:tc>
          <w:tcPr>
            <w:tcW w:w="8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6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September 30,</w:t>
            </w:r>
          </w:p>
        </w:tc>
        <w:tc>
          <w:tcPr>
            <w:tcW w:w="8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00" w:type="dxa"/>
            <w:vAlign w:val="bottom"/>
            <w:vMerge w:val="continue"/>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080" w:type="dxa"/>
            <w:vAlign w:val="bottom"/>
            <w:vMerge w:val="restart"/>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880" w:type="dxa"/>
            <w:vAlign w:val="bottom"/>
            <w:vMerge w:val="restart"/>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080" w:type="dxa"/>
            <w:vAlign w:val="bottom"/>
            <w:vMerge w:val="restart"/>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8"/>
                <w:szCs w:val="18"/>
                <w:color w:val="auto"/>
              </w:rPr>
            </w:pPr>
          </w:p>
        </w:tc>
        <w:tc>
          <w:tcPr>
            <w:tcW w:w="500" w:type="dxa"/>
            <w:vAlign w:val="bottom"/>
            <w:shd w:val="clear" w:color="auto" w:fill="1D2758"/>
          </w:tcPr>
          <w:p>
            <w:pPr>
              <w:spacing w:after="0"/>
              <w:rPr>
                <w:sz w:val="18"/>
                <w:szCs w:val="18"/>
                <w:color w:val="auto"/>
              </w:rPr>
            </w:pPr>
          </w:p>
        </w:tc>
        <w:tc>
          <w:tcPr>
            <w:tcW w:w="880" w:type="dxa"/>
            <w:vAlign w:val="bottom"/>
            <w:vMerge w:val="restart"/>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161"/>
        </w:trPr>
        <w:tc>
          <w:tcPr>
            <w:tcW w:w="540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1080" w:type="dxa"/>
            <w:vAlign w:val="bottom"/>
            <w:vMerge w:val="continue"/>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880" w:type="dxa"/>
            <w:vAlign w:val="bottom"/>
            <w:vMerge w:val="continue"/>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1080" w:type="dxa"/>
            <w:vAlign w:val="bottom"/>
            <w:vMerge w:val="continue"/>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8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(loss) income</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(70,475)</w:t>
            </w: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91,516</w:t>
            </w: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(61,086)</w:t>
            </w:r>
          </w:p>
        </w:tc>
        <w:tc>
          <w:tcPr>
            <w:tcW w:w="100" w:type="dxa"/>
            <w:vAlign w:val="bottom"/>
            <w:shd w:val="clear" w:color="auto" w:fill="DBDBDB"/>
          </w:tcPr>
          <w:p>
            <w:pPr>
              <w:spacing w:after="0"/>
              <w:rPr>
                <w:sz w:val="17"/>
                <w:szCs w:val="17"/>
                <w:color w:val="auto"/>
              </w:rPr>
            </w:pP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390,129</w:t>
            </w:r>
          </w:p>
        </w:tc>
        <w:tc>
          <w:tcPr>
            <w:tcW w:w="0" w:type="dxa"/>
            <w:vAlign w:val="bottom"/>
          </w:tcPr>
          <w:p>
            <w:pPr>
              <w:spacing w:after="0"/>
              <w:rPr>
                <w:sz w:val="1"/>
                <w:szCs w:val="1"/>
                <w:color w:val="auto"/>
              </w:rPr>
            </w:pPr>
          </w:p>
        </w:tc>
      </w:tr>
      <w:tr>
        <w:trPr>
          <w:trHeight w:val="205"/>
        </w:trPr>
        <w:tc>
          <w:tcPr>
            <w:tcW w:w="5400" w:type="dxa"/>
            <w:vAlign w:val="bottom"/>
          </w:tcPr>
          <w:p>
            <w:pPr>
              <w:ind w:left="20"/>
              <w:spacing w:after="0"/>
              <w:rPr>
                <w:sz w:val="20"/>
                <w:szCs w:val="20"/>
                <w:color w:val="auto"/>
              </w:rPr>
            </w:pPr>
            <w:r>
              <w:rPr>
                <w:rFonts w:ascii="Arial" w:cs="Arial" w:eastAsia="Arial" w:hAnsi="Arial"/>
                <w:sz w:val="15"/>
                <w:szCs w:val="15"/>
                <w:color w:val="auto"/>
              </w:rPr>
              <w:t>Other comprehensive (loss) income: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Foreign currency translation adjustment, net of income tax expense of $0.</w:t>
            </w: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1,952</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(6,732)</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(7,750)</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7,117</w:t>
            </w:r>
          </w:p>
        </w:tc>
        <w:tc>
          <w:tcPr>
            <w:tcW w:w="0" w:type="dxa"/>
            <w:vAlign w:val="bottom"/>
          </w:tcPr>
          <w:p>
            <w:pPr>
              <w:spacing w:after="0"/>
              <w:rPr>
                <w:sz w:val="1"/>
                <w:szCs w:val="1"/>
                <w:color w:val="auto"/>
              </w:rPr>
            </w:pPr>
          </w:p>
        </w:tc>
      </w:tr>
      <w:tr>
        <w:trPr>
          <w:trHeight w:val="155"/>
        </w:trPr>
        <w:tc>
          <w:tcPr>
            <w:tcW w:w="5400" w:type="dxa"/>
            <w:vAlign w:val="bottom"/>
          </w:tcPr>
          <w:p>
            <w:pPr>
              <w:ind w:left="20"/>
              <w:spacing w:after="0" w:line="156" w:lineRule="exact"/>
              <w:rPr>
                <w:sz w:val="20"/>
                <w:szCs w:val="20"/>
                <w:color w:val="auto"/>
              </w:rPr>
            </w:pPr>
            <w:r>
              <w:rPr>
                <w:rFonts w:ascii="Arial" w:cs="Arial" w:eastAsia="Arial" w:hAnsi="Arial"/>
                <w:sz w:val="15"/>
                <w:szCs w:val="15"/>
                <w:color w:val="auto"/>
              </w:rPr>
              <w:t>Net (loss) gain on derivatives, net of income tax (benefit) expense of $(8,183)</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0" w:type="dxa"/>
            <w:vAlign w:val="bottom"/>
          </w:tcPr>
          <w:p>
            <w:pPr>
              <w:ind w:left="20"/>
              <w:spacing w:after="0" w:line="155" w:lineRule="exact"/>
              <w:rPr>
                <w:sz w:val="20"/>
                <w:szCs w:val="20"/>
                <w:color w:val="auto"/>
              </w:rPr>
            </w:pPr>
            <w:r>
              <w:rPr>
                <w:rFonts w:ascii="Arial" w:cs="Arial" w:eastAsia="Arial" w:hAnsi="Arial"/>
                <w:sz w:val="15"/>
                <w:szCs w:val="15"/>
                <w:color w:val="auto"/>
              </w:rPr>
              <w:t>and $2,247 for the three months ended September 30, 2024 and 2023,</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0" w:type="dxa"/>
            <w:vAlign w:val="bottom"/>
          </w:tcPr>
          <w:p>
            <w:pPr>
              <w:ind w:left="20"/>
              <w:spacing w:after="0" w:line="155" w:lineRule="exact"/>
              <w:rPr>
                <w:sz w:val="20"/>
                <w:szCs w:val="20"/>
                <w:color w:val="auto"/>
              </w:rPr>
            </w:pPr>
            <w:r>
              <w:rPr>
                <w:rFonts w:ascii="Arial" w:cs="Arial" w:eastAsia="Arial" w:hAnsi="Arial"/>
                <w:sz w:val="15"/>
                <w:szCs w:val="15"/>
                <w:color w:val="auto"/>
              </w:rPr>
              <w:t>respectively, and $(3,134) and $6,293 for the nine months ended September</w:t>
            </w: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(24,570)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6,768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(9,406)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18,932</w:t>
            </w:r>
          </w:p>
        </w:tc>
        <w:tc>
          <w:tcPr>
            <w:tcW w:w="0" w:type="dxa"/>
            <w:vAlign w:val="bottom"/>
          </w:tcPr>
          <w:p>
            <w:pPr>
              <w:spacing w:after="0"/>
              <w:rPr>
                <w:sz w:val="1"/>
                <w:szCs w:val="1"/>
                <w:color w:val="auto"/>
              </w:rPr>
            </w:pPr>
          </w:p>
        </w:tc>
      </w:tr>
      <w:tr>
        <w:trPr>
          <w:trHeight w:val="205"/>
        </w:trPr>
        <w:tc>
          <w:tcPr>
            <w:tcW w:w="54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30, 2024 and 2023, respectively.</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other comprehensive (loss) income</w:t>
            </w:r>
          </w:p>
        </w:tc>
        <w:tc>
          <w:tcPr>
            <w:tcW w:w="3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(22,618)</w:t>
            </w:r>
          </w:p>
        </w:tc>
        <w:tc>
          <w:tcPr>
            <w:tcW w:w="80" w:type="dxa"/>
            <w:vAlign w:val="bottom"/>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w:t>
            </w:r>
          </w:p>
        </w:tc>
        <w:tc>
          <w:tcPr>
            <w:tcW w:w="80" w:type="dxa"/>
            <w:vAlign w:val="bottom"/>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(17,156)</w:t>
            </w:r>
          </w:p>
        </w:tc>
        <w:tc>
          <w:tcPr>
            <w:tcW w:w="100" w:type="dxa"/>
            <w:vAlign w:val="bottom"/>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26,049</w:t>
            </w:r>
          </w:p>
        </w:tc>
        <w:tc>
          <w:tcPr>
            <w:tcW w:w="0" w:type="dxa"/>
            <w:vAlign w:val="bottom"/>
          </w:tcPr>
          <w:p>
            <w:pPr>
              <w:spacing w:after="0"/>
              <w:rPr>
                <w:sz w:val="1"/>
                <w:szCs w:val="1"/>
                <w:color w:val="auto"/>
              </w:rPr>
            </w:pPr>
          </w:p>
        </w:tc>
      </w:tr>
      <w:tr>
        <w:trPr>
          <w:trHeight w:val="200"/>
        </w:trPr>
        <w:tc>
          <w:tcPr>
            <w:tcW w:w="5400" w:type="dxa"/>
            <w:vAlign w:val="bottom"/>
          </w:tcPr>
          <w:p>
            <w:pPr>
              <w:ind w:left="20"/>
              <w:spacing w:after="0"/>
              <w:rPr>
                <w:sz w:val="20"/>
                <w:szCs w:val="20"/>
                <w:color w:val="auto"/>
              </w:rPr>
            </w:pPr>
            <w:r>
              <w:rPr>
                <w:rFonts w:ascii="Arial" w:cs="Arial" w:eastAsia="Arial" w:hAnsi="Arial"/>
                <w:sz w:val="15"/>
                <w:szCs w:val="15"/>
                <w:color w:val="auto"/>
              </w:rPr>
              <w:t>Total comprehensive (loss) income</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(93,093)</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91,552</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(78,242)</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416,178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5" w:name="page6"/>
    <w:bookmarkEnd w:id="5"/>
    <w:p>
      <w:pPr>
        <w:jc w:val="center"/>
        <w:ind w:left="340" w:right="2700"/>
        <w:spacing w:after="0" w:line="355" w:lineRule="auto"/>
        <w:rPr>
          <w:sz w:val="20"/>
          <w:szCs w:val="20"/>
          <w:color w:val="auto"/>
        </w:rPr>
      </w:pPr>
      <w:r>
        <w:rPr>
          <w:rFonts w:ascii="Arial" w:cs="Arial" w:eastAsia="Arial" w:hAnsi="Arial"/>
          <w:sz w:val="22"/>
          <w:szCs w:val="22"/>
          <w:color w:val="1D2758"/>
        </w:rPr>
        <w:t>WillScot Holdings Corporation Condensed Consolidated Statements of Changes in Equity (Unaudited)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shd w:val="clear" w:color="auto" w:fill="1D2758"/>
          </w:tcPr>
          <w:p>
            <w:pPr>
              <w:spacing w:after="0"/>
              <w:rPr>
                <w:sz w:val="17"/>
                <w:szCs w:val="17"/>
                <w:color w:val="auto"/>
              </w:rPr>
            </w:pPr>
          </w:p>
        </w:tc>
        <w:tc>
          <w:tcPr>
            <w:tcW w:w="3540" w:type="dxa"/>
            <w:vAlign w:val="bottom"/>
            <w:gridSpan w:val="6"/>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Nine Months Ended September 30, 2024</w:t>
            </w:r>
          </w:p>
        </w:tc>
        <w:tc>
          <w:tcPr>
            <w:tcW w:w="14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2020" w:type="dxa"/>
            <w:vAlign w:val="bottom"/>
            <w:gridSpan w:val="2"/>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1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Accumulated</w:t>
            </w:r>
          </w:p>
        </w:tc>
        <w:tc>
          <w:tcPr>
            <w:tcW w:w="24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920" w:type="dxa"/>
            <w:vAlign w:val="bottom"/>
            <w:vMerge w:val="restart"/>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68"/>
        </w:trPr>
        <w:tc>
          <w:tcPr>
            <w:tcW w:w="416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2020" w:type="dxa"/>
            <w:vAlign w:val="bottom"/>
            <w:gridSpan w:val="2"/>
            <w:vMerge w:val="continue"/>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100" w:type="dxa"/>
            <w:vAlign w:val="bottom"/>
            <w:shd w:val="clear" w:color="auto" w:fill="1D2758"/>
          </w:tcPr>
          <w:p>
            <w:pPr>
              <w:jc w:val="center"/>
              <w:ind w:right="43"/>
              <w:spacing w:after="0" w:line="168" w:lineRule="exact"/>
              <w:rPr>
                <w:sz w:val="20"/>
                <w:szCs w:val="20"/>
                <w:color w:val="auto"/>
              </w:rPr>
            </w:pPr>
            <w:r>
              <w:rPr>
                <w:rFonts w:ascii="Arial" w:cs="Arial" w:eastAsia="Arial" w:hAnsi="Arial"/>
                <w:sz w:val="15"/>
                <w:szCs w:val="15"/>
                <w:b w:val="1"/>
                <w:bCs w:val="1"/>
                <w:color w:val="FFFFFF"/>
              </w:rPr>
              <w:t>Other</w:t>
            </w:r>
          </w:p>
        </w:tc>
        <w:tc>
          <w:tcPr>
            <w:tcW w:w="240" w:type="dxa"/>
            <w:vAlign w:val="bottom"/>
            <w:shd w:val="clear" w:color="auto" w:fill="1D2758"/>
          </w:tcPr>
          <w:p>
            <w:pPr>
              <w:spacing w:after="0"/>
              <w:rPr>
                <w:sz w:val="14"/>
                <w:szCs w:val="14"/>
                <w:color w:val="auto"/>
              </w:rPr>
            </w:pPr>
          </w:p>
        </w:tc>
        <w:tc>
          <w:tcPr>
            <w:tcW w:w="92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92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2"/>
                <w:szCs w:val="12"/>
                <w:color w:val="auto"/>
              </w:rPr>
            </w:pPr>
          </w:p>
        </w:tc>
        <w:tc>
          <w:tcPr>
            <w:tcW w:w="114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Shares</w:t>
            </w:r>
          </w:p>
        </w:tc>
        <w:tc>
          <w:tcPr>
            <w:tcW w:w="8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12"/>
                <w:szCs w:val="12"/>
                <w:color w:val="auto"/>
              </w:rPr>
            </w:pPr>
          </w:p>
        </w:tc>
        <w:tc>
          <w:tcPr>
            <w:tcW w:w="160" w:type="dxa"/>
            <w:vAlign w:val="bottom"/>
            <w:shd w:val="clear" w:color="auto" w:fill="1D2758"/>
          </w:tcPr>
          <w:p>
            <w:pPr>
              <w:spacing w:after="0"/>
              <w:rPr>
                <w:sz w:val="12"/>
                <w:szCs w:val="12"/>
                <w:color w:val="auto"/>
              </w:rPr>
            </w:pPr>
          </w:p>
        </w:tc>
        <w:tc>
          <w:tcPr>
            <w:tcW w:w="980" w:type="dxa"/>
            <w:vAlign w:val="bottom"/>
            <w:shd w:val="clear" w:color="auto" w:fill="1D2758"/>
          </w:tcPr>
          <w:p>
            <w:pPr>
              <w:jc w:val="right"/>
              <w:ind w:right="103"/>
              <w:spacing w:after="0" w:line="142" w:lineRule="exact"/>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Comprehensive</w:t>
            </w:r>
          </w:p>
        </w:tc>
        <w:tc>
          <w:tcPr>
            <w:tcW w:w="1160" w:type="dxa"/>
            <w:vAlign w:val="bottom"/>
            <w:gridSpan w:val="2"/>
            <w:shd w:val="clear" w:color="auto" w:fill="1D2758"/>
          </w:tcPr>
          <w:p>
            <w:pPr>
              <w:jc w:val="right"/>
              <w:ind w:right="23"/>
              <w:spacing w:after="0" w:line="142" w:lineRule="exact"/>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06"/>
        </w:trPr>
        <w:tc>
          <w:tcPr>
            <w:tcW w:w="416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40" w:type="dxa"/>
            <w:vAlign w:val="bottom"/>
            <w:vMerge w:val="continue"/>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Paid-in-Capital</w:t>
            </w:r>
          </w:p>
        </w:tc>
        <w:tc>
          <w:tcPr>
            <w:tcW w:w="140" w:type="dxa"/>
            <w:vAlign w:val="bottom"/>
            <w:shd w:val="clear" w:color="auto" w:fill="1D2758"/>
          </w:tcPr>
          <w:p>
            <w:pPr>
              <w:spacing w:after="0"/>
              <w:rPr>
                <w:sz w:val="17"/>
                <w:szCs w:val="17"/>
                <w:color w:val="auto"/>
              </w:rPr>
            </w:pPr>
          </w:p>
        </w:tc>
        <w:tc>
          <w:tcPr>
            <w:tcW w:w="110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Loss</w:t>
            </w: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189,967</w:t>
            </w:r>
          </w:p>
        </w:tc>
        <w:tc>
          <w:tcPr>
            <w:tcW w:w="880" w:type="dxa"/>
            <w:vAlign w:val="bottom"/>
            <w:shd w:val="clear" w:color="auto" w:fill="DBDBDB"/>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2,089,091</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(52,768)</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(775,093)</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1,261,250</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56,240</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56,240</w:t>
            </w: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7,992</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7,992</w:t>
            </w:r>
          </w:p>
        </w:tc>
        <w:tc>
          <w:tcPr>
            <w:tcW w:w="0" w:type="dxa"/>
            <w:vAlign w:val="bottom"/>
          </w:tcPr>
          <w:p>
            <w:pPr>
              <w:spacing w:after="0"/>
              <w:rPr>
                <w:sz w:val="1"/>
                <w:szCs w:val="1"/>
                <w:color w:val="auto"/>
              </w:rPr>
            </w:pPr>
          </w:p>
        </w:tc>
      </w:tr>
      <w:tr>
        <w:trPr>
          <w:trHeight w:val="155"/>
        </w:trPr>
        <w:tc>
          <w:tcPr>
            <w:tcW w:w="4160" w:type="dxa"/>
            <w:vAlign w:val="bottom"/>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120" w:type="dxa"/>
            <w:vAlign w:val="bottom"/>
          </w:tcPr>
          <w:p>
            <w:pPr>
              <w:spacing w:after="0"/>
              <w:rPr>
                <w:sz w:val="13"/>
                <w:szCs w:val="13"/>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(14,524)</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(14,524)</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628</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9,099</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9,099</w:t>
            </w:r>
          </w:p>
        </w:tc>
        <w:tc>
          <w:tcPr>
            <w:tcW w:w="0" w:type="dxa"/>
            <w:vAlign w:val="bottom"/>
          </w:tcPr>
          <w:p>
            <w:pPr>
              <w:spacing w:after="0"/>
              <w:rPr>
                <w:sz w:val="1"/>
                <w:szCs w:val="1"/>
                <w:color w:val="auto"/>
              </w:rPr>
            </w:pPr>
          </w:p>
        </w:tc>
      </w:tr>
      <w:tr>
        <w:trPr>
          <w:trHeight w:val="205"/>
        </w:trPr>
        <w:tc>
          <w:tcPr>
            <w:tcW w:w="41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2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w:t>
            </w: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00"/>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March 31, 2024</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190,598</w:t>
            </w:r>
          </w:p>
        </w:tc>
        <w:tc>
          <w:tcPr>
            <w:tcW w:w="880" w:type="dxa"/>
            <w:vAlign w:val="bottom"/>
            <w:shd w:val="clear" w:color="auto" w:fill="DBDBDB"/>
          </w:tcPr>
          <w:p>
            <w:pPr>
              <w:spacing w:after="0"/>
              <w:rPr>
                <w:sz w:val="17"/>
                <w:szCs w:val="17"/>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2,083,735</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(44,776)</w:t>
            </w:r>
          </w:p>
        </w:tc>
        <w:tc>
          <w:tcPr>
            <w:tcW w:w="2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(718,853)</w:t>
            </w: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1,320,126</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Net loss</w:t>
            </w:r>
          </w:p>
        </w:tc>
        <w:tc>
          <w:tcPr>
            <w:tcW w:w="12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(46,851)</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(46,851)</w:t>
            </w: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(2,530)</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(2,530)</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Common Stock-based award activity</w:t>
            </w:r>
          </w:p>
        </w:tc>
        <w:tc>
          <w:tcPr>
            <w:tcW w:w="1260" w:type="dxa"/>
            <w:vAlign w:val="bottom"/>
            <w:gridSpan w:val="2"/>
          </w:tcPr>
          <w:p>
            <w:pPr>
              <w:jc w:val="right"/>
              <w:ind w:right="3"/>
              <w:spacing w:after="0"/>
              <w:rPr>
                <w:sz w:val="20"/>
                <w:szCs w:val="20"/>
                <w:color w:val="auto"/>
              </w:rPr>
            </w:pPr>
            <w:r>
              <w:rPr>
                <w:rFonts w:ascii="Arial" w:cs="Arial" w:eastAsia="Arial" w:hAnsi="Arial"/>
                <w:sz w:val="15"/>
                <w:szCs w:val="15"/>
                <w:color w:val="auto"/>
              </w:rPr>
              <w:t>26</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9,614</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9,614</w:t>
            </w: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26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(2,036)</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(79,074)</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(79,075)</w:t>
            </w:r>
          </w:p>
        </w:tc>
        <w:tc>
          <w:tcPr>
            <w:tcW w:w="0" w:type="dxa"/>
            <w:vAlign w:val="bottom"/>
          </w:tcPr>
          <w:p>
            <w:pPr>
              <w:spacing w:after="0"/>
              <w:rPr>
                <w:sz w:val="1"/>
                <w:szCs w:val="1"/>
                <w:color w:val="auto"/>
              </w:rPr>
            </w:pPr>
          </w:p>
        </w:tc>
      </w:tr>
      <w:tr>
        <w:trPr>
          <w:trHeight w:val="205"/>
        </w:trPr>
        <w:tc>
          <w:tcPr>
            <w:tcW w:w="41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2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w:t>
            </w: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0"/>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June 30, 2024</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188,592</w:t>
            </w:r>
          </w:p>
        </w:tc>
        <w:tc>
          <w:tcPr>
            <w:tcW w:w="880" w:type="dxa"/>
            <w:vAlign w:val="bottom"/>
            <w:shd w:val="clear" w:color="auto" w:fill="DBDBDB"/>
          </w:tcPr>
          <w:p>
            <w:pPr>
              <w:spacing w:after="0"/>
              <w:rPr>
                <w:sz w:val="17"/>
                <w:szCs w:val="17"/>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2,014,327</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(47,306)</w:t>
            </w:r>
          </w:p>
        </w:tc>
        <w:tc>
          <w:tcPr>
            <w:tcW w:w="2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(765,704)</w:t>
            </w: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1,201,336</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Net loss</w:t>
            </w:r>
          </w:p>
        </w:tc>
        <w:tc>
          <w:tcPr>
            <w:tcW w:w="12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(70,475)</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(70,475)</w:t>
            </w: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(22,618)</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i w:val="1"/>
                <w:iCs w:val="1"/>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(22,618)</w:t>
            </w:r>
          </w:p>
        </w:tc>
        <w:tc>
          <w:tcPr>
            <w:tcW w:w="0" w:type="dxa"/>
            <w:vAlign w:val="bottom"/>
          </w:tcPr>
          <w:p>
            <w:pPr>
              <w:spacing w:after="0"/>
              <w:rPr>
                <w:sz w:val="1"/>
                <w:szCs w:val="1"/>
                <w:color w:val="auto"/>
              </w:rPr>
            </w:pPr>
          </w:p>
        </w:tc>
      </w:tr>
      <w:tr>
        <w:trPr>
          <w:trHeight w:val="155"/>
        </w:trPr>
        <w:tc>
          <w:tcPr>
            <w:tcW w:w="4160" w:type="dxa"/>
            <w:vAlign w:val="bottom"/>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120" w:type="dxa"/>
            <w:vAlign w:val="bottom"/>
          </w:tcPr>
          <w:p>
            <w:pPr>
              <w:spacing w:after="0"/>
              <w:rPr>
                <w:sz w:val="13"/>
                <w:szCs w:val="13"/>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w:t>
            </w: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(1,429)</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w:t>
            </w:r>
          </w:p>
        </w:tc>
        <w:tc>
          <w:tcPr>
            <w:tcW w:w="24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5"/>
                <w:szCs w:val="15"/>
                <w:i w:val="1"/>
                <w:iCs w:val="1"/>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(1,429)</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45</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9,534</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9,534</w:t>
            </w:r>
          </w:p>
        </w:tc>
        <w:tc>
          <w:tcPr>
            <w:tcW w:w="0" w:type="dxa"/>
            <w:vAlign w:val="bottom"/>
          </w:tcPr>
          <w:p>
            <w:pPr>
              <w:spacing w:after="0"/>
              <w:rPr>
                <w:sz w:val="1"/>
                <w:szCs w:val="1"/>
                <w:color w:val="auto"/>
              </w:rPr>
            </w:pPr>
          </w:p>
        </w:tc>
      </w:tr>
      <w:tr>
        <w:trPr>
          <w:trHeight w:val="205"/>
        </w:trPr>
        <w:tc>
          <w:tcPr>
            <w:tcW w:w="41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2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(1,588)</w:t>
            </w: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(62,269)</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(62,269)</w:t>
            </w:r>
          </w:p>
        </w:tc>
        <w:tc>
          <w:tcPr>
            <w:tcW w:w="0" w:type="dxa"/>
            <w:vAlign w:val="bottom"/>
          </w:tcPr>
          <w:p>
            <w:pPr>
              <w:spacing w:after="0"/>
              <w:rPr>
                <w:sz w:val="1"/>
                <w:szCs w:val="1"/>
                <w:color w:val="auto"/>
              </w:rPr>
            </w:pPr>
          </w:p>
        </w:tc>
      </w:tr>
      <w:tr>
        <w:trPr>
          <w:trHeight w:val="21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September 30, 2024</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187,049</w:t>
            </w:r>
          </w:p>
        </w:tc>
        <w:tc>
          <w:tcPr>
            <w:tcW w:w="880" w:type="dxa"/>
            <w:vAlign w:val="bottom"/>
            <w:shd w:val="clear" w:color="auto" w:fill="DBDBDB"/>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1,960,163</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(69,924)</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(836,179)</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1,054,079</w:t>
            </w:r>
          </w:p>
        </w:tc>
        <w:tc>
          <w:tcPr>
            <w:tcW w:w="0" w:type="dxa"/>
            <w:vAlign w:val="bottom"/>
          </w:tcPr>
          <w:p>
            <w:pPr>
              <w:spacing w:after="0"/>
              <w:rPr>
                <w:sz w:val="1"/>
                <w:szCs w:val="1"/>
                <w:color w:val="auto"/>
              </w:rPr>
            </w:pP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6"/>
        </w:trPr>
        <w:tc>
          <w:tcPr>
            <w:tcW w:w="4160" w:type="dxa"/>
            <w:vAlign w:val="bottom"/>
            <w:shd w:val="clear" w:color="auto" w:fill="1D2758"/>
          </w:tcPr>
          <w:p>
            <w:pPr>
              <w:spacing w:after="0"/>
              <w:rPr>
                <w:sz w:val="17"/>
                <w:szCs w:val="17"/>
                <w:color w:val="auto"/>
              </w:rPr>
            </w:pPr>
          </w:p>
        </w:tc>
        <w:tc>
          <w:tcPr>
            <w:tcW w:w="3580" w:type="dxa"/>
            <w:vAlign w:val="bottom"/>
            <w:gridSpan w:val="6"/>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Nine Months Ended September 30, 2023</w:t>
            </w:r>
          </w:p>
        </w:tc>
        <w:tc>
          <w:tcPr>
            <w:tcW w:w="12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2000" w:type="dxa"/>
            <w:vAlign w:val="bottom"/>
            <w:gridSpan w:val="2"/>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Accumulated</w:t>
            </w:r>
          </w:p>
        </w:tc>
        <w:tc>
          <w:tcPr>
            <w:tcW w:w="20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920" w:type="dxa"/>
            <w:vAlign w:val="bottom"/>
            <w:vMerge w:val="restart"/>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68"/>
        </w:trPr>
        <w:tc>
          <w:tcPr>
            <w:tcW w:w="416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2000" w:type="dxa"/>
            <w:vAlign w:val="bottom"/>
            <w:gridSpan w:val="2"/>
            <w:vMerge w:val="continue"/>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120" w:type="dxa"/>
            <w:vAlign w:val="bottom"/>
            <w:shd w:val="clear" w:color="auto" w:fill="1D2758"/>
          </w:tcPr>
          <w:p>
            <w:pPr>
              <w:jc w:val="center"/>
              <w:ind w:right="43"/>
              <w:spacing w:after="0" w:line="168" w:lineRule="exact"/>
              <w:rPr>
                <w:sz w:val="20"/>
                <w:szCs w:val="20"/>
                <w:color w:val="auto"/>
              </w:rPr>
            </w:pPr>
            <w:r>
              <w:rPr>
                <w:rFonts w:ascii="Arial" w:cs="Arial" w:eastAsia="Arial" w:hAnsi="Arial"/>
                <w:sz w:val="15"/>
                <w:szCs w:val="15"/>
                <w:b w:val="1"/>
                <w:bCs w:val="1"/>
                <w:color w:val="FFFFFF"/>
                <w:w w:val="99"/>
              </w:rPr>
              <w:t>Other</w:t>
            </w:r>
          </w:p>
        </w:tc>
        <w:tc>
          <w:tcPr>
            <w:tcW w:w="200" w:type="dxa"/>
            <w:vAlign w:val="bottom"/>
            <w:shd w:val="clear" w:color="auto" w:fill="1D2758"/>
          </w:tcPr>
          <w:p>
            <w:pPr>
              <w:spacing w:after="0"/>
              <w:rPr>
                <w:sz w:val="14"/>
                <w:szCs w:val="14"/>
                <w:color w:val="auto"/>
              </w:rPr>
            </w:pPr>
          </w:p>
        </w:tc>
        <w:tc>
          <w:tcPr>
            <w:tcW w:w="92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92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2"/>
                <w:szCs w:val="12"/>
                <w:color w:val="auto"/>
              </w:rPr>
            </w:pPr>
          </w:p>
        </w:tc>
        <w:tc>
          <w:tcPr>
            <w:tcW w:w="112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Shares</w:t>
            </w:r>
          </w:p>
        </w:tc>
        <w:tc>
          <w:tcPr>
            <w:tcW w:w="8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12"/>
                <w:szCs w:val="12"/>
                <w:color w:val="auto"/>
              </w:rPr>
            </w:pPr>
          </w:p>
        </w:tc>
        <w:tc>
          <w:tcPr>
            <w:tcW w:w="160" w:type="dxa"/>
            <w:vAlign w:val="bottom"/>
            <w:shd w:val="clear" w:color="auto" w:fill="1D2758"/>
          </w:tcPr>
          <w:p>
            <w:pPr>
              <w:spacing w:after="0"/>
              <w:rPr>
                <w:sz w:val="12"/>
                <w:szCs w:val="12"/>
                <w:color w:val="auto"/>
              </w:rPr>
            </w:pPr>
          </w:p>
        </w:tc>
        <w:tc>
          <w:tcPr>
            <w:tcW w:w="980" w:type="dxa"/>
            <w:vAlign w:val="bottom"/>
            <w:shd w:val="clear" w:color="auto" w:fill="1D2758"/>
          </w:tcPr>
          <w:p>
            <w:pPr>
              <w:jc w:val="right"/>
              <w:ind w:right="123"/>
              <w:spacing w:after="0" w:line="142" w:lineRule="exact"/>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Comprehensive</w:t>
            </w:r>
          </w:p>
        </w:tc>
        <w:tc>
          <w:tcPr>
            <w:tcW w:w="1120" w:type="dxa"/>
            <w:vAlign w:val="bottom"/>
            <w:gridSpan w:val="2"/>
            <w:shd w:val="clear" w:color="auto" w:fill="1D2758"/>
          </w:tcPr>
          <w:p>
            <w:pPr>
              <w:jc w:val="right"/>
              <w:ind w:right="3"/>
              <w:spacing w:after="0" w:line="142" w:lineRule="exact"/>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06"/>
        </w:trPr>
        <w:tc>
          <w:tcPr>
            <w:tcW w:w="416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Paid-in-Capital</w:t>
            </w:r>
          </w:p>
        </w:tc>
        <w:tc>
          <w:tcPr>
            <w:tcW w:w="120" w:type="dxa"/>
            <w:vAlign w:val="bottom"/>
            <w:shd w:val="clear" w:color="auto" w:fill="1D2758"/>
          </w:tcPr>
          <w:p>
            <w:pPr>
              <w:spacing w:after="0"/>
              <w:rPr>
                <w:sz w:val="17"/>
                <w:szCs w:val="17"/>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Loss</w:t>
            </w:r>
          </w:p>
        </w:tc>
        <w:tc>
          <w:tcPr>
            <w:tcW w:w="200" w:type="dxa"/>
            <w:vAlign w:val="bottom"/>
            <w:shd w:val="clear" w:color="auto" w:fill="1D2758"/>
          </w:tcPr>
          <w:p>
            <w:pPr>
              <w:spacing w:after="0"/>
              <w:rPr>
                <w:sz w:val="17"/>
                <w:szCs w:val="17"/>
                <w:color w:val="auto"/>
              </w:rPr>
            </w:pPr>
          </w:p>
        </w:tc>
        <w:tc>
          <w:tcPr>
            <w:tcW w:w="92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207,952</w:t>
            </w:r>
          </w:p>
        </w:tc>
        <w:tc>
          <w:tcPr>
            <w:tcW w:w="880" w:type="dxa"/>
            <w:vAlign w:val="bottom"/>
            <w:shd w:val="clear" w:color="auto" w:fill="DBDBDB"/>
          </w:tcPr>
          <w:p>
            <w:pPr>
              <w:jc w:val="right"/>
              <w:ind w:right="683"/>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w:t>
            </w:r>
          </w:p>
        </w:tc>
        <w:tc>
          <w:tcPr>
            <w:tcW w:w="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2,886,951</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(1,251,550)</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1,565,300</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210,884</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210,884</w:t>
            </w: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7,267</w:t>
            </w:r>
          </w:p>
        </w:tc>
        <w:tc>
          <w:tcPr>
            <w:tcW w:w="20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7,267</w:t>
            </w:r>
          </w:p>
        </w:tc>
        <w:tc>
          <w:tcPr>
            <w:tcW w:w="0" w:type="dxa"/>
            <w:vAlign w:val="bottom"/>
          </w:tcPr>
          <w:p>
            <w:pPr>
              <w:spacing w:after="0"/>
              <w:rPr>
                <w:sz w:val="1"/>
                <w:szCs w:val="1"/>
                <w:color w:val="auto"/>
              </w:rPr>
            </w:pPr>
          </w:p>
        </w:tc>
      </w:tr>
      <w:tr>
        <w:trPr>
          <w:trHeight w:val="155"/>
        </w:trPr>
        <w:tc>
          <w:tcPr>
            <w:tcW w:w="4160" w:type="dxa"/>
            <w:vAlign w:val="bottom"/>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1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(10,058)</w:t>
            </w:r>
          </w:p>
        </w:tc>
        <w:tc>
          <w:tcPr>
            <w:tcW w:w="120" w:type="dxa"/>
            <w:vAlign w:val="bottom"/>
          </w:tcPr>
          <w:p>
            <w:pPr>
              <w:spacing w:after="0"/>
              <w:rPr>
                <w:sz w:val="13"/>
                <w:szCs w:val="13"/>
                <w:color w:val="auto"/>
              </w:rPr>
            </w:pPr>
          </w:p>
        </w:tc>
        <w:tc>
          <w:tcPr>
            <w:tcW w:w="112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(10,058)</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355</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8,150</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8,150</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(4,589)</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(217,687)</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(217,687)</w:t>
            </w: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80" w:type="dxa"/>
            <w:vAlign w:val="bottom"/>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w:t>
            </w:r>
          </w:p>
        </w:tc>
        <w:tc>
          <w:tcPr>
            <w:tcW w:w="88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68</w:t>
            </w: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98"/>
        </w:trPr>
        <w:tc>
          <w:tcPr>
            <w:tcW w:w="4160" w:type="dxa"/>
            <w:vAlign w:val="bottom"/>
          </w:tcPr>
          <w:p>
            <w:pPr>
              <w:ind w:left="20"/>
              <w:spacing w:after="0"/>
              <w:rPr>
                <w:sz w:val="20"/>
                <w:szCs w:val="20"/>
                <w:color w:val="auto"/>
              </w:rPr>
            </w:pPr>
            <w:r>
              <w:rPr>
                <w:rFonts w:ascii="Arial" w:cs="Arial" w:eastAsia="Arial" w:hAnsi="Arial"/>
                <w:sz w:val="15"/>
                <w:szCs w:val="15"/>
                <w:color w:val="auto"/>
              </w:rPr>
              <w:t>Balance at March 31, 2023</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203,723</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2,667,424</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(62,855)</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(1,040,666)</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1,563,924</w:t>
            </w: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87,729</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87,729</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Other comprehensive income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18,746</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18,746</w:t>
            </w: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35</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9,348</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9,348</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(5,406)</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(241,545)</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(241,546)</w:t>
            </w: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80" w:type="dxa"/>
            <w:vAlign w:val="bottom"/>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w:t>
            </w:r>
          </w:p>
        </w:tc>
        <w:tc>
          <w:tcPr>
            <w:tcW w:w="88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344</w:t>
            </w: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344</w:t>
            </w:r>
          </w:p>
        </w:tc>
        <w:tc>
          <w:tcPr>
            <w:tcW w:w="0" w:type="dxa"/>
            <w:vAlign w:val="bottom"/>
          </w:tcPr>
          <w:p>
            <w:pPr>
              <w:spacing w:after="0"/>
              <w:rPr>
                <w:sz w:val="1"/>
                <w:szCs w:val="1"/>
                <w:color w:val="auto"/>
              </w:rPr>
            </w:pPr>
          </w:p>
        </w:tc>
      </w:tr>
      <w:tr>
        <w:trPr>
          <w:trHeight w:val="198"/>
        </w:trPr>
        <w:tc>
          <w:tcPr>
            <w:tcW w:w="4160" w:type="dxa"/>
            <w:vAlign w:val="bottom"/>
          </w:tcPr>
          <w:p>
            <w:pPr>
              <w:ind w:left="20"/>
              <w:spacing w:after="0"/>
              <w:rPr>
                <w:sz w:val="20"/>
                <w:szCs w:val="20"/>
                <w:color w:val="auto"/>
              </w:rPr>
            </w:pPr>
            <w:r>
              <w:rPr>
                <w:rFonts w:ascii="Arial" w:cs="Arial" w:eastAsia="Arial" w:hAnsi="Arial"/>
                <w:sz w:val="15"/>
                <w:szCs w:val="15"/>
                <w:color w:val="auto"/>
              </w:rPr>
              <w:t>Balance at June 30, 2023</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198,376</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20</w:t>
            </w: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2,435,571</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(44,109)</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(952,937)</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1,438,545</w:t>
            </w: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91,516</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91,516</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Other comprehensive income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36</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56"/>
        </w:trPr>
        <w:tc>
          <w:tcPr>
            <w:tcW w:w="41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180" w:type="dxa"/>
            <w:vAlign w:val="bottom"/>
            <w:shd w:val="clear" w:color="auto" w:fill="DBDBDB"/>
          </w:tcPr>
          <w:p>
            <w:pPr>
              <w:spacing w:after="0"/>
              <w:rPr>
                <w:sz w:val="13"/>
                <w:szCs w:val="13"/>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3"/>
                <w:szCs w:val="13"/>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(4,113)</w:t>
            </w:r>
          </w:p>
        </w:tc>
        <w:tc>
          <w:tcPr>
            <w:tcW w:w="120" w:type="dxa"/>
            <w:vAlign w:val="bottom"/>
            <w:shd w:val="clear" w:color="auto" w:fill="DBDBDB"/>
          </w:tcPr>
          <w:p>
            <w:pPr>
              <w:spacing w:after="0"/>
              <w:rPr>
                <w:sz w:val="13"/>
                <w:szCs w:val="13"/>
                <w:color w:val="auto"/>
              </w:rPr>
            </w:pPr>
          </w:p>
        </w:tc>
        <w:tc>
          <w:tcPr>
            <w:tcW w:w="11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(4,113)</w:t>
            </w:r>
          </w:p>
        </w:tc>
        <w:tc>
          <w:tcPr>
            <w:tcW w:w="0" w:type="dxa"/>
            <w:vAlign w:val="bottom"/>
          </w:tcPr>
          <w:p>
            <w:pPr>
              <w:spacing w:after="0"/>
              <w:rPr>
                <w:sz w:val="1"/>
                <w:szCs w:val="1"/>
                <w:color w:val="auto"/>
              </w:rPr>
            </w:pPr>
          </w:p>
        </w:tc>
      </w:tr>
      <w:tr>
        <w:trPr>
          <w:trHeight w:val="206"/>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compensation</w:t>
            </w:r>
          </w:p>
        </w:tc>
        <w:tc>
          <w:tcPr>
            <w:tcW w:w="180" w:type="dxa"/>
            <w:vAlign w:val="bottom"/>
            <w:shd w:val="clear" w:color="auto" w:fill="DBDBDB"/>
          </w:tcPr>
          <w:p>
            <w:pPr>
              <w:spacing w:after="0"/>
              <w:rPr>
                <w:sz w:val="17"/>
                <w:szCs w:val="17"/>
                <w:color w:val="auto"/>
              </w:rPr>
            </w:pPr>
          </w:p>
        </w:tc>
        <w:tc>
          <w:tcPr>
            <w:tcW w:w="1120" w:type="dxa"/>
            <w:vAlign w:val="bottom"/>
            <w:vMerge w:val="continue"/>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vMerge w:val="continue"/>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5"/>
                <w:szCs w:val="15"/>
                <w:color w:val="auto"/>
              </w:rPr>
              <w:t>Common stock-based award activity</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124</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8,636</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8,636</w:t>
            </w:r>
          </w:p>
        </w:tc>
        <w:tc>
          <w:tcPr>
            <w:tcW w:w="0" w:type="dxa"/>
            <w:vAlign w:val="bottom"/>
          </w:tcPr>
          <w:p>
            <w:pPr>
              <w:spacing w:after="0"/>
              <w:rPr>
                <w:sz w:val="1"/>
                <w:szCs w:val="1"/>
                <w:color w:val="auto"/>
              </w:rPr>
            </w:pPr>
          </w:p>
        </w:tc>
      </w:tr>
      <w:tr>
        <w:trPr>
          <w:trHeight w:val="207"/>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(5,042)</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(222,024)</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(222,024)</w:t>
            </w:r>
          </w:p>
        </w:tc>
        <w:tc>
          <w:tcPr>
            <w:tcW w:w="0" w:type="dxa"/>
            <w:vAlign w:val="bottom"/>
          </w:tcPr>
          <w:p>
            <w:pPr>
              <w:spacing w:after="0"/>
              <w:rPr>
                <w:sz w:val="1"/>
                <w:szCs w:val="1"/>
                <w:color w:val="auto"/>
              </w:rPr>
            </w:pPr>
          </w:p>
        </w:tc>
      </w:tr>
      <w:tr>
        <w:trPr>
          <w:trHeight w:val="205"/>
        </w:trPr>
        <w:tc>
          <w:tcPr>
            <w:tcW w:w="41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80" w:type="dxa"/>
            <w:vAlign w:val="bottom"/>
            <w:tcBorders>
              <w:bottom w:val="single" w:sz="8" w:color="DBDBDB"/>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1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September 30, 2023</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193,461</w:t>
            </w:r>
          </w:p>
        </w:tc>
        <w:tc>
          <w:tcPr>
            <w:tcW w:w="880" w:type="dxa"/>
            <w:vAlign w:val="bottom"/>
            <w:shd w:val="clear" w:color="auto" w:fill="DBDBDB"/>
          </w:tcPr>
          <w:p>
            <w:pPr>
              <w:jc w:val="right"/>
              <w:ind w:right="683"/>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2,218,110</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(44,073)</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(861,421)</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1,312,636</w:t>
            </w:r>
          </w:p>
        </w:tc>
        <w:tc>
          <w:tcPr>
            <w:tcW w:w="0" w:type="dxa"/>
            <w:vAlign w:val="bottom"/>
          </w:tcPr>
          <w:p>
            <w:pPr>
              <w:spacing w:after="0"/>
              <w:rPr>
                <w:sz w:val="1"/>
                <w:szCs w:val="1"/>
                <w:color w:val="auto"/>
              </w:rPr>
            </w:pP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6"/>
                <w:szCs w:val="16"/>
                <w:color w:val="auto"/>
              </w:rPr>
            </w:pPr>
          </w:p>
        </w:tc>
        <w:tc>
          <w:tcPr>
            <w:tcW w:w="3380" w:type="dxa"/>
            <w:vAlign w:val="bottom"/>
            <w:gridSpan w:val="4"/>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13"/>
        </w:trPr>
        <w:tc>
          <w:tcPr>
            <w:tcW w:w="7520" w:type="dxa"/>
            <w:vAlign w:val="bottom"/>
            <w:vMerge w:val="continue"/>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48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40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161"/>
        </w:trPr>
        <w:tc>
          <w:tcPr>
            <w:tcW w:w="7520" w:type="dxa"/>
            <w:vAlign w:val="bottom"/>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1480" w:type="dxa"/>
            <w:vAlign w:val="bottom"/>
            <w:vMerge w:val="continue"/>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140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(61,086)</w:t>
            </w:r>
          </w:p>
        </w:tc>
        <w:tc>
          <w:tcPr>
            <w:tcW w:w="80" w:type="dxa"/>
            <w:vAlign w:val="bottom"/>
          </w:tcPr>
          <w:p>
            <w:pPr>
              <w:spacing w:after="0"/>
              <w:rPr>
                <w:sz w:val="17"/>
                <w:szCs w:val="17"/>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390,129</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(loss) income to net cash provided by operating activities: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285,894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242,927</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45,317</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38,079</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Gain on sale of discontinued operations</w:t>
            </w:r>
          </w:p>
        </w:tc>
        <w:tc>
          <w:tcPr>
            <w:tcW w:w="34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(176,078)</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Impairment loss on intangible asset</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132,540</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(19,103)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(26,256)</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9,192</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8,281</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Stock-based compensation expense</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28,247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26,134</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income tax (benefit) expense</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(47,789)</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118,455</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Loss on settlement of foreign currency forward contract</w:t>
            </w:r>
          </w:p>
        </w:tc>
        <w:tc>
          <w:tcPr>
            <w:tcW w:w="34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7,715</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Unrealized currency gains, net</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(943)</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Other</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3,129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3,312</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Trade receivables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(38,501)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(85,261)</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Inventories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(5,398)</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(600)</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Prepaid expenses and other assets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(12,583)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(3,772)</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1,073</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707</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35,879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(26,518)</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340" w:type="dxa"/>
            <w:vAlign w:val="bottom"/>
            <w:tcBorders>
              <w:bottom w:val="single" w:sz="8" w:color="auto"/>
            </w:tcBorders>
            <w:shd w:val="clear" w:color="auto" w:fill="DBDBDB"/>
          </w:tcPr>
          <w:p>
            <w:pPr>
              <w:spacing w:after="0"/>
              <w:rPr>
                <w:sz w:val="18"/>
                <w:szCs w:val="18"/>
                <w:color w:val="auto"/>
              </w:rPr>
            </w:pPr>
          </w:p>
        </w:tc>
        <w:tc>
          <w:tcPr>
            <w:tcW w:w="14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26,071</w:t>
            </w:r>
          </w:p>
        </w:tc>
        <w:tc>
          <w:tcPr>
            <w:tcW w:w="8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25,607</w:t>
            </w:r>
          </w:p>
        </w:tc>
        <w:tc>
          <w:tcPr>
            <w:tcW w:w="0" w:type="dxa"/>
            <w:vAlign w:val="bottom"/>
          </w:tcPr>
          <w:p>
            <w:pPr>
              <w:spacing w:after="0"/>
              <w:rPr>
                <w:sz w:val="1"/>
                <w:szCs w:val="1"/>
                <w:color w:val="auto"/>
              </w:rPr>
            </w:pPr>
          </w:p>
        </w:tc>
      </w:tr>
      <w:tr>
        <w:trPr>
          <w:trHeight w:val="198"/>
        </w:trPr>
        <w:tc>
          <w:tcPr>
            <w:tcW w:w="7520" w:type="dxa"/>
            <w:vAlign w:val="bottom"/>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382,725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541,918</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Acquisitions, net of cash acquired</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(84,462)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(482,190)</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(206,989)</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(166,097)</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43,906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37,974</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(16,119)</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(16,752)</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Proceeds from sale of property, plant and equipment</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1,133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13,266</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investments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(6,137)</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Proceeds from sale of discontinued operations</w:t>
            </w:r>
          </w:p>
        </w:tc>
        <w:tc>
          <w:tcPr>
            <w:tcW w:w="34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403,992</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for settlement of foreign currency forward contract</w:t>
            </w:r>
          </w:p>
        </w:tc>
        <w:tc>
          <w:tcPr>
            <w:tcW w:w="340" w:type="dxa"/>
            <w:vAlign w:val="bottom"/>
            <w:shd w:val="clear" w:color="auto" w:fill="DBDBDB"/>
          </w:tcPr>
          <w:p>
            <w:pPr>
              <w:spacing w:after="0"/>
              <w:rPr>
                <w:sz w:val="18"/>
                <w:szCs w:val="18"/>
                <w:color w:val="auto"/>
              </w:rPr>
            </w:pP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(7,715)</w:t>
            </w:r>
          </w:p>
        </w:tc>
        <w:tc>
          <w:tcPr>
            <w:tcW w:w="0" w:type="dxa"/>
            <w:vAlign w:val="bottom"/>
          </w:tcPr>
          <w:p>
            <w:pPr>
              <w:spacing w:after="0"/>
              <w:rPr>
                <w:sz w:val="1"/>
                <w:szCs w:val="1"/>
                <w:color w:val="auto"/>
              </w:rPr>
            </w:pPr>
          </w:p>
        </w:tc>
      </w:tr>
      <w:tr>
        <w:trPr>
          <w:trHeight w:val="198"/>
        </w:trPr>
        <w:tc>
          <w:tcPr>
            <w:tcW w:w="7520" w:type="dxa"/>
            <w:vAlign w:val="bottom"/>
          </w:tcPr>
          <w:p>
            <w:pPr>
              <w:ind w:left="64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(268,668)</w:t>
            </w: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(217,522)</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Financing activities: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Receipts from borrowings</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1,101,484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1,651,600</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Repayment of borrowings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(1,046,793)</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(1,277,872)</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Payment of financing costs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(6,932)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(6,377)</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Payments on finance lease obligations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(14,815)</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(12,549)</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121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Repurchase and cancellation of Common Stock</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(130,346)</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(678,166)</w:t>
            </w:r>
          </w:p>
        </w:tc>
        <w:tc>
          <w:tcPr>
            <w:tcW w:w="0" w:type="dxa"/>
            <w:vAlign w:val="bottom"/>
          </w:tcPr>
          <w:p>
            <w:pPr>
              <w:spacing w:after="0"/>
              <w:rPr>
                <w:sz w:val="1"/>
                <w:szCs w:val="1"/>
                <w:color w:val="auto"/>
              </w:rPr>
            </w:pPr>
          </w:p>
        </w:tc>
      </w:tr>
      <w:tr>
        <w:trPr>
          <w:trHeight w:val="205"/>
        </w:trPr>
        <w:tc>
          <w:tcPr>
            <w:tcW w:w="752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Taxes paid on employee stock awards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(15,953)</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(14,171)</w:t>
            </w:r>
          </w:p>
        </w:tc>
        <w:tc>
          <w:tcPr>
            <w:tcW w:w="0" w:type="dxa"/>
            <w:vAlign w:val="bottom"/>
          </w:tcPr>
          <w:p>
            <w:pPr>
              <w:spacing w:after="0"/>
              <w:rPr>
                <w:sz w:val="1"/>
                <w:szCs w:val="1"/>
                <w:color w:val="auto"/>
              </w:rPr>
            </w:pPr>
          </w:p>
        </w:tc>
      </w:tr>
      <w:tr>
        <w:trPr>
          <w:trHeight w:val="200"/>
        </w:trPr>
        <w:tc>
          <w:tcPr>
            <w:tcW w:w="752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(113,234)</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(337,082)</w:t>
            </w:r>
          </w:p>
        </w:tc>
        <w:tc>
          <w:tcPr>
            <w:tcW w:w="0" w:type="dxa"/>
            <w:vAlign w:val="bottom"/>
          </w:tcPr>
          <w:p>
            <w:pPr>
              <w:spacing w:after="0"/>
              <w:rPr>
                <w:sz w:val="1"/>
                <w:szCs w:val="1"/>
                <w:color w:val="auto"/>
              </w:rPr>
            </w:pPr>
          </w:p>
        </w:tc>
      </w:tr>
      <w:tr>
        <w:trPr>
          <w:trHeight w:val="205"/>
        </w:trPr>
        <w:tc>
          <w:tcPr>
            <w:tcW w:w="75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(735)</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701</w:t>
            </w:r>
          </w:p>
        </w:tc>
        <w:tc>
          <w:tcPr>
            <w:tcW w:w="0" w:type="dxa"/>
            <w:vAlign w:val="bottom"/>
          </w:tcPr>
          <w:p>
            <w:pPr>
              <w:spacing w:after="0"/>
              <w:rPr>
                <w:sz w:val="1"/>
                <w:szCs w:val="1"/>
                <w:color w:val="auto"/>
              </w:rPr>
            </w:pPr>
          </w:p>
        </w:tc>
      </w:tr>
      <w:tr>
        <w:trPr>
          <w:trHeight w:val="200"/>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88</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(11,985)</w:t>
            </w:r>
          </w:p>
        </w:tc>
        <w:tc>
          <w:tcPr>
            <w:tcW w:w="0" w:type="dxa"/>
            <w:vAlign w:val="bottom"/>
          </w:tcPr>
          <w:p>
            <w:pPr>
              <w:spacing w:after="0"/>
              <w:rPr>
                <w:sz w:val="1"/>
                <w:szCs w:val="1"/>
                <w:color w:val="auto"/>
              </w:rPr>
            </w:pPr>
          </w:p>
        </w:tc>
      </w:tr>
      <w:tr>
        <w:trPr>
          <w:trHeight w:val="205"/>
        </w:trPr>
        <w:tc>
          <w:tcPr>
            <w:tcW w:w="75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Cash and cash equivalents at the beginning of the period</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10,958</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17,774</w:t>
            </w:r>
          </w:p>
        </w:tc>
        <w:tc>
          <w:tcPr>
            <w:tcW w:w="0" w:type="dxa"/>
            <w:vAlign w:val="bottom"/>
          </w:tcPr>
          <w:p>
            <w:pPr>
              <w:spacing w:after="0"/>
              <w:rPr>
                <w:sz w:val="1"/>
                <w:szCs w:val="1"/>
                <w:color w:val="auto"/>
              </w:rPr>
            </w:pPr>
          </w:p>
        </w:tc>
      </w:tr>
      <w:tr>
        <w:trPr>
          <w:trHeight w:val="225"/>
        </w:trPr>
        <w:tc>
          <w:tcPr>
            <w:tcW w:w="7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11,046</w:t>
            </w:r>
          </w:p>
        </w:tc>
        <w:tc>
          <w:tcPr>
            <w:tcW w:w="8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5,789</w:t>
            </w:r>
          </w:p>
        </w:tc>
        <w:tc>
          <w:tcPr>
            <w:tcW w:w="0" w:type="dxa"/>
            <w:vAlign w:val="bottom"/>
          </w:tcPr>
          <w:p>
            <w:pPr>
              <w:spacing w:after="0"/>
              <w:rPr>
                <w:sz w:val="1"/>
                <w:szCs w:val="1"/>
                <w:color w:val="auto"/>
              </w:rPr>
            </w:pPr>
          </w:p>
        </w:tc>
      </w:tr>
      <w:tr>
        <w:trPr>
          <w:trHeight w:val="20"/>
        </w:trPr>
        <w:tc>
          <w:tcPr>
            <w:tcW w:w="75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Supplemental cash flow information:</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Arial" w:cs="Arial" w:eastAsia="Arial" w:hAnsi="Arial"/>
                <w:sz w:val="15"/>
                <w:szCs w:val="15"/>
                <w:color w:val="auto"/>
              </w:rPr>
              <w:t>Interest paid, net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141,702</w:t>
            </w:r>
          </w:p>
        </w:tc>
        <w:tc>
          <w:tcPr>
            <w:tcW w:w="80" w:type="dxa"/>
            <w:vAlign w:val="bottom"/>
          </w:tcPr>
          <w:p>
            <w:pPr>
              <w:spacing w:after="0"/>
              <w:rPr>
                <w:sz w:val="17"/>
                <w:szCs w:val="17"/>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135,301</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taxes paid, net</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42,693</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22,764</w:t>
            </w: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13,326</w:t>
            </w:r>
          </w:p>
        </w:tc>
        <w:tc>
          <w:tcPr>
            <w:tcW w:w="80" w:type="dxa"/>
            <w:vAlign w:val="bottom"/>
          </w:tcPr>
          <w:p>
            <w:pPr>
              <w:spacing w:after="0"/>
              <w:rPr>
                <w:sz w:val="17"/>
                <w:szCs w:val="17"/>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15,615</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Notes to the Condensed Consolidated Financial Statements (Unaudited)</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1D2758"/>
        </w:rPr>
        <w:t>NOTE 1 - Summary of Significant Accounting Policies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WillScot Holdings Corporation (“WillScot” and, together with its subsidiaries, the “Company”) is a leading business services provider specializing in innovative and flexible turnkey temporary space solutions in the United States (“US”), Canada, and Mexico. The Company leases, sells, delivers and installs modular space solutions and portable storage products through an integrated network of branch locations that spans North America.</w:t>
      </w:r>
    </w:p>
    <w:p>
      <w:pPr>
        <w:spacing w:after="0" w:line="1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On July 29, 2024, the Company amended and restated its certificate of incorporation to effect a change of the Company’s name from “WillScot Mobile Mini Holdings Corp.” to “WillScot Holdings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The accompanying unaudited condensed consolidated financial statements comprise the financial statements of WillScot and its subsidiaries that it controls due to ownership of a majority voting interest and contain all adjustments, which are of a normal and recurring nature, considered necessary by management to present fairly the financial position, results of operations and cash flows for the interim periods presented.</w:t>
      </w:r>
    </w:p>
    <w:p>
      <w:pPr>
        <w:spacing w:after="0" w:line="6"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jc w:val="both"/>
        <w:ind w:firstLine="619"/>
        <w:spacing w:after="0" w:line="296" w:lineRule="auto"/>
        <w:rPr>
          <w:sz w:val="20"/>
          <w:szCs w:val="20"/>
          <w:color w:val="auto"/>
        </w:rPr>
      </w:pPr>
      <w:r>
        <w:rPr>
          <w:rFonts w:ascii="Arial" w:cs="Arial" w:eastAsia="Arial" w:hAnsi="Arial"/>
          <w:sz w:val="15"/>
          <w:szCs w:val="15"/>
          <w:color w:val="auto"/>
        </w:rPr>
        <w:t>The results of operations for the nine months ended September 30, 2024 are not necessarily indicative of the results to be expected for the full year. For further information, refer to the consolidated financial statements and notes included in the Company's Annual Report on Form 10-K for the year ended December 31, 2023.</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Segment Reporting</w:t>
      </w:r>
    </w:p>
    <w:p>
      <w:pPr>
        <w:spacing w:after="0" w:line="6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In January 2024, the Company completed the unification of its go-to market structure by integrating its modular and storage divisions under a single leadership team organized by geography, achieving local product unification within each metropolitan statistical area and the ability to consistently deliver its portfolio of solutions to its entire customer base. In connection with this change in operating model, the Company realigned the composition of its operating and reportable segments to reflect how its Chief Operating Decision Maker reviews financial information to allocate resources to and assess performance of the segments. As a result, the Company concluded that its two operating segments (US and Other North America) are aggregated into one reportable segment as the operating segments share similar economic characteristics (e.g., comparable gross margins and comparable adjusted earnings before interest, taxes, depreciation and amortization margins) and similar qualitative characteristics as the operating segments offer similar products and services to similar customers, use similar methods to distribute products and are subject to similar competitive risks.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Reclassifications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reclassifications have been made to prior year financial statements to conform to the current year presentation.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 xml:space="preserve">ASU 2023-07. </w:t>
      </w:r>
      <w:r>
        <w:rPr>
          <w:rFonts w:ascii="Arial" w:cs="Arial" w:eastAsia="Arial" w:hAnsi="Arial"/>
          <w:sz w:val="15"/>
          <w:szCs w:val="15"/>
          <w:i w:val="1"/>
          <w:iCs w:val="1"/>
          <w:u w:val="single" w:color="auto"/>
          <w:color w:val="auto"/>
        </w:rPr>
        <w:t>Segment Reporting (Topic 280): Improvements to Reportable Segment Disclosures</w:t>
      </w:r>
    </w:p>
    <w:p>
      <w:pPr>
        <w:spacing w:after="0" w:line="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In November 2023, the Financial Accounting Standards Board ("FASB") issued Accounting Standards Update No. 2023-07 </w:t>
      </w:r>
      <w:r>
        <w:rPr>
          <w:rFonts w:ascii="Arial" w:cs="Arial" w:eastAsia="Arial" w:hAnsi="Arial"/>
          <w:sz w:val="15"/>
          <w:szCs w:val="15"/>
          <w:i w:val="1"/>
          <w:iCs w:val="1"/>
          <w:color w:val="auto"/>
        </w:rPr>
        <w:t>Segment Reporting (Topic 280):</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Improvements to Reportable Segment Disclosures </w:t>
      </w:r>
      <w:r>
        <w:rPr>
          <w:rFonts w:ascii="Arial" w:cs="Arial" w:eastAsia="Arial" w:hAnsi="Arial"/>
          <w:sz w:val="15"/>
          <w:szCs w:val="15"/>
          <w:color w:val="auto"/>
        </w:rPr>
        <w:t>("ASU 2023-07"). ASU 2023-07 expands the breadth and frequency of segment disclosures, requiring disclosure</w:t>
      </w:r>
      <w:r>
        <w:rPr>
          <w:rFonts w:ascii="Arial" w:cs="Arial" w:eastAsia="Arial" w:hAnsi="Arial"/>
          <w:sz w:val="15"/>
          <w:szCs w:val="15"/>
          <w:i w:val="1"/>
          <w:iCs w:val="1"/>
          <w:color w:val="auto"/>
        </w:rPr>
        <w:t xml:space="preserve"> </w:t>
      </w:r>
      <w:r>
        <w:rPr>
          <w:rFonts w:ascii="Arial" w:cs="Arial" w:eastAsia="Arial" w:hAnsi="Arial"/>
          <w:sz w:val="15"/>
          <w:szCs w:val="15"/>
          <w:color w:val="auto"/>
        </w:rPr>
        <w:t>of (i) significant segment expenses, (ii) other segment items, (iii) the chief operating decision maker's title and position, (iv) how the chief operating decision maker uses the reported measures of a segment's profit or loss and (v) interim disclosure of all segment profit, loss and asset disclosures currently required annually. ASU 2023-07 clarifies that a public entity may report one or more measures of segment profit or loss and requires that single reportable segment entities provide all required segment disclosures. ASU 2023-07 is effective for fiscal years beginning after December 15, 2023 and interim periods within fiscal years beginning after December 15, 2024. Early adoption is permitted. The Company is currently evaluating the impact of ASU 2023-07 on its segment disclosures.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9" w:name="page10"/>
    <w:bookmarkEnd w:id="9"/>
    <w:p>
      <w:pPr>
        <w:spacing w:after="0"/>
        <w:rPr>
          <w:sz w:val="20"/>
          <w:szCs w:val="20"/>
          <w:color w:val="auto"/>
        </w:rPr>
      </w:pPr>
      <w:r>
        <w:rPr>
          <w:rFonts w:ascii="Arial" w:cs="Arial" w:eastAsia="Arial" w:hAnsi="Arial"/>
          <w:sz w:val="15"/>
          <w:szCs w:val="15"/>
          <w:u w:val="single" w:color="auto"/>
          <w:color w:val="auto"/>
        </w:rPr>
        <w:t xml:space="preserve">ASU 2023-09. </w:t>
      </w:r>
      <w:r>
        <w:rPr>
          <w:rFonts w:ascii="Arial" w:cs="Arial" w:eastAsia="Arial" w:hAnsi="Arial"/>
          <w:sz w:val="15"/>
          <w:szCs w:val="15"/>
          <w:i w:val="1"/>
          <w:iCs w:val="1"/>
          <w:u w:val="single" w:color="auto"/>
          <w:color w:val="auto"/>
        </w:rPr>
        <w:t>Income Taxes (Topic 740): Improvements to Income Tax Disclosures</w:t>
      </w:r>
    </w:p>
    <w:p>
      <w:pPr>
        <w:spacing w:after="0" w:line="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In December 2023, the FASB issued Accounting Standards Update No. 2023-09 </w:t>
      </w:r>
      <w:r>
        <w:rPr>
          <w:rFonts w:ascii="Arial" w:cs="Arial" w:eastAsia="Arial" w:hAnsi="Arial"/>
          <w:sz w:val="15"/>
          <w:szCs w:val="15"/>
          <w:i w:val="1"/>
          <w:iCs w:val="1"/>
          <w:color w:val="auto"/>
        </w:rPr>
        <w:t>Income Taxes (Topic 740): Improvements to Income Tax Disclosures</w:t>
      </w:r>
      <w:r>
        <w:rPr>
          <w:rFonts w:ascii="Arial" w:cs="Arial" w:eastAsia="Arial" w:hAnsi="Arial"/>
          <w:sz w:val="15"/>
          <w:szCs w:val="15"/>
          <w:color w:val="auto"/>
        </w:rPr>
        <w:t xml:space="preserve"> ("ASU 2023-09"). ASU 2023-09 requires entities to disclose more detailed information in their reconciliation of their statutory tax rate to their effective tax rate. Public business entities ("PBEs") are required to provide this incremental detail in a numerical, tabular format, while all other entities will do so through enhanced qualitative disclosures. The ASU also requires entities to disclose more detailed information about income taxes paid, including by jurisdiction; pretax income (or loss) from continuing operations; and income tax expense (or benefit). ASU 2023-09 is effective for fiscal years beginning after December 15, 2024. Early adoption is permitted. The Company is currently evaluating the impact of ASU 2023-09 on its income tax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1D2758"/>
        </w:rPr>
        <w:t>NOTE 2 -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During the nine months ended September 30, 2024, the Company acquired certain assets and assumed certain liabilities of three local storage and modular companies, which consisted primarily of approximately 600 storage units and 800 modular units, and one national provider of premium large clearspan structures for $84.5 million in cash, net of cash acquired. As of the acquisition dates, the fair value of rental equipment acquired was $80.7 million.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Integration Costs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recorded $1.5 million and $0.8 million in integration costs related to acquisitions during the three months ended September 30, 2024 and 2023, respectively, and $7.4 million and $6.9 million in integration costs related to acquisitions during the nine months ended September 30, 2024 and 2023, respectively, within selling, general and administrative expense ("SG&amp;A") .</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of Agreement to Acquire McGrath RentCorp</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January 28, 2024, the Company entered into an agreement and plan of merger (the “Merger Agreement”) with McGrath RentCorp ("McGrath"). On September 17, 2024, the Company and McGrath mutually agreed to terminate the Merger Agreement. In accordance with the terms of the Merger Agreement, the Company paid McGrath a $180.0 million termination fee during the three months ended September 30, 2024. During the three and nine months ended September 30, 2024, the Company recorded $8.8 million and $41.3 million, respectively, in legal and professional fees related to the McGrath transaction within SG&amp;A.</w:t>
      </w:r>
    </w:p>
    <w:p>
      <w:pPr>
        <w:spacing w:after="0" w:line="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In connection with the Company's proposed acquisition of McGrath, the Company entered into a commitment letter dated January 28, 2024, which was amended and restated on June 13, 2024 and modified by a Notice of Reduction of Bridge Commitments on June 28, 2024 (the "Commitment Letter"), pursuant to which certain financial institutions committed to make available, in accordance with the terms of the Commitment Letter, (i) a senior secured bridge credit facility and</w:t>
      </w:r>
    </w:p>
    <w:p>
      <w:pPr>
        <w:ind w:firstLine="3"/>
        <w:spacing w:after="0" w:line="280" w:lineRule="auto"/>
        <w:tabs>
          <w:tab w:leader="none" w:pos="242" w:val="left"/>
        </w:tabs>
        <w:numPr>
          <w:ilvl w:val="0"/>
          <w:numId w:val="3"/>
        </w:numPr>
        <w:rPr>
          <w:rFonts w:ascii="Arial" w:cs="Arial" w:eastAsia="Arial" w:hAnsi="Arial"/>
          <w:sz w:val="15"/>
          <w:szCs w:val="15"/>
          <w:color w:val="auto"/>
        </w:rPr>
      </w:pPr>
      <w:r>
        <w:rPr>
          <w:rFonts w:ascii="Arial" w:cs="Arial" w:eastAsia="Arial" w:hAnsi="Arial"/>
          <w:sz w:val="15"/>
          <w:szCs w:val="15"/>
          <w:color w:val="auto"/>
        </w:rPr>
        <w:t>an upsize to the existing ABL Facility (as defined below) of Williams Scotsman, Inc. ("WSI") As a result of the termination of the Merger Agreement, the Commitment Letter was terminated.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1D2758"/>
        </w:rPr>
        <w:t>NOTE 3 -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UK Storage Solutions Divestiture</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On January 31, 2023, the Company sold its former UK Storage Solutions segment for $418.1 million. Exiting the UK Storage Solutions segment represented the Company’s strategic shift to concentrate its operations on its core modular and storage businesses in North America. Results for the former UK Storage Solutions segment are reported in income from discontinued operations within the 2023 condensed consolidated statement of operations.</w:t>
      </w:r>
    </w:p>
    <w:p>
      <w:pPr>
        <w:jc w:val="both"/>
        <w:ind w:firstLine="619"/>
        <w:spacing w:after="0" w:line="294" w:lineRule="auto"/>
        <w:rPr>
          <w:sz w:val="20"/>
          <w:szCs w:val="20"/>
          <w:color w:val="auto"/>
        </w:rPr>
      </w:pPr>
      <w:r>
        <w:rPr>
          <w:rFonts w:ascii="Arial" w:cs="Arial" w:eastAsia="Arial" w:hAnsi="Arial"/>
          <w:sz w:val="15"/>
          <w:szCs w:val="15"/>
          <w:color w:val="auto"/>
        </w:rPr>
        <w:t>The following table presents the results of the former UK Storage Solutions segment as reported in income from discontinued operations within the condensed consolidated statement of operations.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40" w:type="dxa"/>
            <w:vAlign w:val="bottom"/>
            <w:shd w:val="clear" w:color="auto" w:fill="1D2758"/>
          </w:tcPr>
          <w:p>
            <w:pPr>
              <w:spacing w:after="0"/>
              <w:rPr>
                <w:sz w:val="14"/>
                <w:szCs w:val="14"/>
                <w:color w:val="auto"/>
              </w:rPr>
            </w:pPr>
          </w:p>
        </w:tc>
        <w:tc>
          <w:tcPr>
            <w:tcW w:w="280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Nine Months Ended</w:t>
            </w:r>
          </w:p>
        </w:tc>
        <w:tc>
          <w:tcPr>
            <w:tcW w:w="0" w:type="dxa"/>
            <w:vAlign w:val="bottom"/>
          </w:tcPr>
          <w:p>
            <w:pPr>
              <w:spacing w:after="0"/>
              <w:rPr>
                <w:sz w:val="1"/>
                <w:szCs w:val="1"/>
                <w:color w:val="auto"/>
              </w:rPr>
            </w:pPr>
          </w:p>
        </w:tc>
      </w:tr>
      <w:tr>
        <w:trPr>
          <w:trHeight w:val="206"/>
        </w:trPr>
        <w:tc>
          <w:tcPr>
            <w:tcW w:w="7900" w:type="dxa"/>
            <w:vAlign w:val="bottom"/>
            <w:vMerge w:val="continue"/>
            <w:shd w:val="clear" w:color="auto" w:fill="1D2758"/>
          </w:tcPr>
          <w:p>
            <w:pPr>
              <w:spacing w:after="0"/>
              <w:rPr>
                <w:sz w:val="17"/>
                <w:szCs w:val="17"/>
                <w:color w:val="auto"/>
              </w:rPr>
            </w:pPr>
          </w:p>
        </w:tc>
        <w:tc>
          <w:tcPr>
            <w:tcW w:w="540" w:type="dxa"/>
            <w:vAlign w:val="bottom"/>
            <w:shd w:val="clear" w:color="auto" w:fill="1D2758"/>
          </w:tcPr>
          <w:p>
            <w:pPr>
              <w:spacing w:after="0"/>
              <w:rPr>
                <w:sz w:val="17"/>
                <w:szCs w:val="17"/>
                <w:color w:val="auto"/>
              </w:rPr>
            </w:pPr>
          </w:p>
        </w:tc>
        <w:tc>
          <w:tcPr>
            <w:tcW w:w="280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September 30, 2023</w:t>
            </w:r>
          </w:p>
        </w:tc>
        <w:tc>
          <w:tcPr>
            <w:tcW w:w="0" w:type="dxa"/>
            <w:vAlign w:val="bottom"/>
          </w:tcPr>
          <w:p>
            <w:pPr>
              <w:spacing w:after="0"/>
              <w:rPr>
                <w:sz w:val="1"/>
                <w:szCs w:val="1"/>
                <w:color w:val="auto"/>
              </w:rPr>
            </w:pPr>
          </w:p>
        </w:tc>
      </w:tr>
      <w:tr>
        <w:trPr>
          <w:trHeight w:val="206"/>
        </w:trPr>
        <w:tc>
          <w:tcPr>
            <w:tcW w:w="79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540" w:type="dxa"/>
            <w:vAlign w:val="bottom"/>
            <w:shd w:val="clear" w:color="auto" w:fill="DBDBDB"/>
          </w:tcPr>
          <w:p>
            <w:pPr>
              <w:spacing w:after="0"/>
              <w:rPr>
                <w:sz w:val="17"/>
                <w:szCs w:val="17"/>
                <w:color w:val="auto"/>
              </w:rPr>
            </w:pPr>
          </w:p>
        </w:tc>
        <w:tc>
          <w:tcPr>
            <w:tcW w:w="28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5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9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5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2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6,389</w:t>
            </w:r>
          </w:p>
        </w:tc>
        <w:tc>
          <w:tcPr>
            <w:tcW w:w="0" w:type="dxa"/>
            <w:vAlign w:val="bottom"/>
          </w:tcPr>
          <w:p>
            <w:pPr>
              <w:spacing w:after="0"/>
              <w:rPr>
                <w:sz w:val="1"/>
                <w:szCs w:val="1"/>
                <w:color w:val="auto"/>
              </w:rPr>
            </w:pPr>
          </w:p>
        </w:tc>
      </w:tr>
      <w:tr>
        <w:trPr>
          <w:trHeight w:val="205"/>
        </w:trPr>
        <w:tc>
          <w:tcPr>
            <w:tcW w:w="790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54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5"/>
                <w:szCs w:val="15"/>
                <w:color w:val="auto"/>
              </w:rPr>
              <w:t>1,802</w:t>
            </w:r>
          </w:p>
        </w:tc>
        <w:tc>
          <w:tcPr>
            <w:tcW w:w="0" w:type="dxa"/>
            <w:vAlign w:val="bottom"/>
          </w:tcPr>
          <w:p>
            <w:pPr>
              <w:spacing w:after="0"/>
              <w:rPr>
                <w:sz w:val="1"/>
                <w:szCs w:val="1"/>
                <w:color w:val="auto"/>
              </w:rPr>
            </w:pPr>
          </w:p>
        </w:tc>
      </w:tr>
      <w:tr>
        <w:trPr>
          <w:trHeight w:val="207"/>
        </w:trPr>
        <w:tc>
          <w:tcPr>
            <w:tcW w:w="79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540" w:type="dxa"/>
            <w:vAlign w:val="bottom"/>
            <w:shd w:val="clear" w:color="auto" w:fill="DBDBDB"/>
          </w:tcPr>
          <w:p>
            <w:pPr>
              <w:spacing w:after="0"/>
              <w:rPr>
                <w:sz w:val="18"/>
                <w:szCs w:val="18"/>
                <w:color w:val="auto"/>
              </w:rPr>
            </w:pPr>
          </w:p>
        </w:tc>
        <w:tc>
          <w:tcPr>
            <w:tcW w:w="28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54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7"/>
        </w:trPr>
        <w:tc>
          <w:tcPr>
            <w:tcW w:w="79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540" w:type="dxa"/>
            <w:vAlign w:val="bottom"/>
            <w:tcBorders>
              <w:bottom w:val="single" w:sz="8" w:color="auto"/>
            </w:tcBorders>
            <w:shd w:val="clear" w:color="auto" w:fill="DBDBDB"/>
          </w:tcPr>
          <w:p>
            <w:pPr>
              <w:spacing w:after="0"/>
              <w:rPr>
                <w:sz w:val="18"/>
                <w:szCs w:val="18"/>
                <w:color w:val="auto"/>
              </w:rPr>
            </w:pPr>
          </w:p>
        </w:tc>
        <w:tc>
          <w:tcPr>
            <w:tcW w:w="2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449</w:t>
            </w:r>
          </w:p>
        </w:tc>
        <w:tc>
          <w:tcPr>
            <w:tcW w:w="0" w:type="dxa"/>
            <w:vAlign w:val="bottom"/>
          </w:tcPr>
          <w:p>
            <w:pPr>
              <w:spacing w:after="0"/>
              <w:rPr>
                <w:sz w:val="1"/>
                <w:szCs w:val="1"/>
                <w:color w:val="auto"/>
              </w:rPr>
            </w:pPr>
          </w:p>
        </w:tc>
      </w:tr>
      <w:tr>
        <w:trPr>
          <w:trHeight w:val="198"/>
        </w:trPr>
        <w:tc>
          <w:tcPr>
            <w:tcW w:w="790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54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5"/>
                <w:szCs w:val="15"/>
                <w:color w:val="auto"/>
              </w:rPr>
              <w:t>8,694</w:t>
            </w:r>
          </w:p>
        </w:tc>
        <w:tc>
          <w:tcPr>
            <w:tcW w:w="0" w:type="dxa"/>
            <w:vAlign w:val="bottom"/>
          </w:tcPr>
          <w:p>
            <w:pPr>
              <w:spacing w:after="0"/>
              <w:rPr>
                <w:sz w:val="1"/>
                <w:szCs w:val="1"/>
                <w:color w:val="auto"/>
              </w:rPr>
            </w:pPr>
          </w:p>
        </w:tc>
      </w:tr>
      <w:tr>
        <w:trPr>
          <w:trHeight w:val="207"/>
        </w:trPr>
        <w:tc>
          <w:tcPr>
            <w:tcW w:w="790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540" w:type="dxa"/>
            <w:vAlign w:val="bottom"/>
            <w:shd w:val="clear" w:color="auto" w:fill="DBDBDB"/>
          </w:tcPr>
          <w:p>
            <w:pPr>
              <w:spacing w:after="0"/>
              <w:rPr>
                <w:sz w:val="18"/>
                <w:szCs w:val="18"/>
                <w:color w:val="auto"/>
              </w:rPr>
            </w:pPr>
          </w:p>
        </w:tc>
        <w:tc>
          <w:tcPr>
            <w:tcW w:w="28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5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9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540" w:type="dxa"/>
            <w:vAlign w:val="bottom"/>
            <w:shd w:val="clear" w:color="auto" w:fill="DBDBDB"/>
          </w:tcPr>
          <w:p>
            <w:pPr>
              <w:spacing w:after="0"/>
              <w:rPr>
                <w:sz w:val="18"/>
                <w:szCs w:val="18"/>
                <w:color w:val="auto"/>
              </w:rPr>
            </w:pPr>
          </w:p>
        </w:tc>
        <w:tc>
          <w:tcPr>
            <w:tcW w:w="2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1,407</w:t>
            </w:r>
          </w:p>
        </w:tc>
        <w:tc>
          <w:tcPr>
            <w:tcW w:w="0" w:type="dxa"/>
            <w:vAlign w:val="bottom"/>
          </w:tcPr>
          <w:p>
            <w:pPr>
              <w:spacing w:after="0"/>
              <w:rPr>
                <w:sz w:val="1"/>
                <w:szCs w:val="1"/>
                <w:color w:val="auto"/>
              </w:rPr>
            </w:pPr>
          </w:p>
        </w:tc>
      </w:tr>
      <w:tr>
        <w:trPr>
          <w:trHeight w:val="205"/>
        </w:trPr>
        <w:tc>
          <w:tcPr>
            <w:tcW w:w="790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54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5"/>
                <w:szCs w:val="15"/>
                <w:color w:val="auto"/>
              </w:rPr>
              <w:t>1,213</w:t>
            </w:r>
          </w:p>
        </w:tc>
        <w:tc>
          <w:tcPr>
            <w:tcW w:w="0" w:type="dxa"/>
            <w:vAlign w:val="bottom"/>
          </w:tcPr>
          <w:p>
            <w:pPr>
              <w:spacing w:after="0"/>
              <w:rPr>
                <w:sz w:val="1"/>
                <w:szCs w:val="1"/>
                <w:color w:val="auto"/>
              </w:rPr>
            </w:pPr>
          </w:p>
        </w:tc>
      </w:tr>
      <w:tr>
        <w:trPr>
          <w:trHeight w:val="207"/>
        </w:trPr>
        <w:tc>
          <w:tcPr>
            <w:tcW w:w="79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540" w:type="dxa"/>
            <w:vAlign w:val="bottom"/>
            <w:shd w:val="clear" w:color="auto" w:fill="DBDBDB"/>
          </w:tcPr>
          <w:p>
            <w:pPr>
              <w:spacing w:after="0"/>
              <w:rPr>
                <w:sz w:val="18"/>
                <w:szCs w:val="18"/>
                <w:color w:val="auto"/>
              </w:rPr>
            </w:pPr>
          </w:p>
        </w:tc>
        <w:tc>
          <w:tcPr>
            <w:tcW w:w="28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54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7"/>
        </w:trPr>
        <w:tc>
          <w:tcPr>
            <w:tcW w:w="79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540" w:type="dxa"/>
            <w:vAlign w:val="bottom"/>
            <w:tcBorders>
              <w:bottom w:val="single" w:sz="8" w:color="auto"/>
            </w:tcBorders>
            <w:shd w:val="clear" w:color="auto" w:fill="DBDBDB"/>
          </w:tcPr>
          <w:p>
            <w:pPr>
              <w:spacing w:after="0"/>
              <w:rPr>
                <w:sz w:val="18"/>
                <w:szCs w:val="18"/>
                <w:color w:val="auto"/>
              </w:rPr>
            </w:pPr>
          </w:p>
        </w:tc>
        <w:tc>
          <w:tcPr>
            <w:tcW w:w="2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w:t>
            </w:r>
          </w:p>
        </w:tc>
        <w:tc>
          <w:tcPr>
            <w:tcW w:w="0" w:type="dxa"/>
            <w:vAlign w:val="bottom"/>
          </w:tcPr>
          <w:p>
            <w:pPr>
              <w:spacing w:after="0"/>
              <w:rPr>
                <w:sz w:val="1"/>
                <w:szCs w:val="1"/>
                <w:color w:val="auto"/>
              </w:rPr>
            </w:pPr>
          </w:p>
        </w:tc>
      </w:tr>
      <w:tr>
        <w:trPr>
          <w:trHeight w:val="198"/>
        </w:trPr>
        <w:tc>
          <w:tcPr>
            <w:tcW w:w="7900" w:type="dxa"/>
            <w:vAlign w:val="bottom"/>
          </w:tcPr>
          <w:p>
            <w:pPr>
              <w:ind w:left="320"/>
              <w:spacing w:after="0"/>
              <w:rPr>
                <w:sz w:val="20"/>
                <w:szCs w:val="20"/>
                <w:color w:val="auto"/>
              </w:rPr>
            </w:pPr>
            <w:r>
              <w:rPr>
                <w:rFonts w:ascii="Arial" w:cs="Arial" w:eastAsia="Arial" w:hAnsi="Arial"/>
                <w:sz w:val="15"/>
                <w:szCs w:val="15"/>
                <w:color w:val="auto"/>
              </w:rPr>
              <w:t>Gross profit</w:t>
            </w:r>
          </w:p>
        </w:tc>
        <w:tc>
          <w:tcPr>
            <w:tcW w:w="54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5"/>
                <w:szCs w:val="15"/>
                <w:color w:val="auto"/>
              </w:rPr>
              <w:t>5,544</w:t>
            </w:r>
          </w:p>
        </w:tc>
        <w:tc>
          <w:tcPr>
            <w:tcW w:w="0" w:type="dxa"/>
            <w:vAlign w:val="bottom"/>
          </w:tcPr>
          <w:p>
            <w:pPr>
              <w:spacing w:after="0"/>
              <w:rPr>
                <w:sz w:val="1"/>
                <w:szCs w:val="1"/>
                <w:color w:val="auto"/>
              </w:rPr>
            </w:pPr>
          </w:p>
        </w:tc>
      </w:tr>
      <w:tr>
        <w:trPr>
          <w:trHeight w:val="207"/>
        </w:trPr>
        <w:tc>
          <w:tcPr>
            <w:tcW w:w="7900" w:type="dxa"/>
            <w:vAlign w:val="bottom"/>
            <w:shd w:val="clear" w:color="auto" w:fill="DBDBDB"/>
          </w:tcPr>
          <w:p>
            <w:pPr>
              <w:ind w:left="20"/>
              <w:spacing w:after="0"/>
              <w:rPr>
                <w:sz w:val="20"/>
                <w:szCs w:val="20"/>
                <w:color w:val="auto"/>
              </w:rPr>
            </w:pPr>
            <w:r>
              <w:rPr>
                <w:rFonts w:ascii="Arial" w:cs="Arial" w:eastAsia="Arial" w:hAnsi="Arial"/>
                <w:sz w:val="15"/>
                <w:szCs w:val="15"/>
                <w:color w:val="auto"/>
              </w:rPr>
              <w:t>Expenses:</w:t>
            </w:r>
          </w:p>
        </w:tc>
        <w:tc>
          <w:tcPr>
            <w:tcW w:w="540" w:type="dxa"/>
            <w:vAlign w:val="bottom"/>
            <w:shd w:val="clear" w:color="auto" w:fill="DBDBDB"/>
          </w:tcPr>
          <w:p>
            <w:pPr>
              <w:spacing w:after="0"/>
              <w:rPr>
                <w:sz w:val="18"/>
                <w:szCs w:val="18"/>
                <w:color w:val="auto"/>
              </w:rPr>
            </w:pPr>
          </w:p>
        </w:tc>
        <w:tc>
          <w:tcPr>
            <w:tcW w:w="28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54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5"/>
                <w:szCs w:val="15"/>
                <w:color w:val="auto"/>
              </w:rPr>
              <w:t>1,486</w:t>
            </w:r>
          </w:p>
        </w:tc>
        <w:tc>
          <w:tcPr>
            <w:tcW w:w="0" w:type="dxa"/>
            <w:vAlign w:val="bottom"/>
          </w:tcPr>
          <w:p>
            <w:pPr>
              <w:spacing w:after="0"/>
              <w:rPr>
                <w:sz w:val="1"/>
                <w:szCs w:val="1"/>
                <w:color w:val="auto"/>
              </w:rPr>
            </w:pPr>
          </w:p>
        </w:tc>
      </w:tr>
      <w:tr>
        <w:trPr>
          <w:trHeight w:val="207"/>
        </w:trPr>
        <w:tc>
          <w:tcPr>
            <w:tcW w:w="79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income, net</w:t>
            </w:r>
          </w:p>
        </w:tc>
        <w:tc>
          <w:tcPr>
            <w:tcW w:w="540" w:type="dxa"/>
            <w:vAlign w:val="bottom"/>
            <w:tcBorders>
              <w:bottom w:val="single" w:sz="8" w:color="auto"/>
            </w:tcBorders>
            <w:shd w:val="clear" w:color="auto" w:fill="DBDBDB"/>
          </w:tcPr>
          <w:p>
            <w:pPr>
              <w:spacing w:after="0"/>
              <w:rPr>
                <w:sz w:val="18"/>
                <w:szCs w:val="18"/>
                <w:color w:val="auto"/>
              </w:rPr>
            </w:pPr>
          </w:p>
        </w:tc>
        <w:tc>
          <w:tcPr>
            <w:tcW w:w="2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7900" w:type="dxa"/>
            <w:vAlign w:val="bottom"/>
          </w:tcPr>
          <w:p>
            <w:pPr>
              <w:ind w:left="440"/>
              <w:spacing w:after="0"/>
              <w:rPr>
                <w:sz w:val="20"/>
                <w:szCs w:val="20"/>
                <w:color w:val="auto"/>
              </w:rPr>
            </w:pPr>
            <w:r>
              <w:rPr>
                <w:rFonts w:ascii="Arial" w:cs="Arial" w:eastAsia="Arial" w:hAnsi="Arial"/>
                <w:sz w:val="15"/>
                <w:szCs w:val="15"/>
                <w:color w:val="auto"/>
              </w:rPr>
              <w:t>Operating income</w:t>
            </w:r>
          </w:p>
        </w:tc>
        <w:tc>
          <w:tcPr>
            <w:tcW w:w="54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5"/>
                <w:szCs w:val="15"/>
                <w:color w:val="auto"/>
              </w:rPr>
              <w:t>4,059</w:t>
            </w:r>
          </w:p>
        </w:tc>
        <w:tc>
          <w:tcPr>
            <w:tcW w:w="0" w:type="dxa"/>
            <w:vAlign w:val="bottom"/>
          </w:tcPr>
          <w:p>
            <w:pPr>
              <w:spacing w:after="0"/>
              <w:rPr>
                <w:sz w:val="1"/>
                <w:szCs w:val="1"/>
                <w:color w:val="auto"/>
              </w:rPr>
            </w:pPr>
          </w:p>
        </w:tc>
      </w:tr>
      <w:tr>
        <w:trPr>
          <w:trHeight w:val="207"/>
        </w:trPr>
        <w:tc>
          <w:tcPr>
            <w:tcW w:w="79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540" w:type="dxa"/>
            <w:vAlign w:val="bottom"/>
            <w:tcBorders>
              <w:bottom w:val="single" w:sz="8" w:color="auto"/>
            </w:tcBorders>
            <w:shd w:val="clear" w:color="auto" w:fill="DBDBDB"/>
          </w:tcPr>
          <w:p>
            <w:pPr>
              <w:spacing w:after="0"/>
              <w:rPr>
                <w:sz w:val="18"/>
                <w:szCs w:val="18"/>
                <w:color w:val="auto"/>
              </w:rPr>
            </w:pPr>
          </w:p>
        </w:tc>
        <w:tc>
          <w:tcPr>
            <w:tcW w:w="2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8"/>
        </w:trPr>
        <w:tc>
          <w:tcPr>
            <w:tcW w:w="790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54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5"/>
                <w:szCs w:val="15"/>
                <w:color w:val="auto"/>
              </w:rPr>
              <w:t>4,003</w:t>
            </w:r>
          </w:p>
        </w:tc>
        <w:tc>
          <w:tcPr>
            <w:tcW w:w="0" w:type="dxa"/>
            <w:vAlign w:val="bottom"/>
          </w:tcPr>
          <w:p>
            <w:pPr>
              <w:spacing w:after="0"/>
              <w:rPr>
                <w:sz w:val="1"/>
                <w:szCs w:val="1"/>
                <w:color w:val="auto"/>
              </w:rPr>
            </w:pPr>
          </w:p>
        </w:tc>
      </w:tr>
      <w:tr>
        <w:trPr>
          <w:trHeight w:val="207"/>
        </w:trPr>
        <w:tc>
          <w:tcPr>
            <w:tcW w:w="79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540" w:type="dxa"/>
            <w:vAlign w:val="bottom"/>
            <w:shd w:val="clear" w:color="auto" w:fill="DBDBDB"/>
          </w:tcPr>
          <w:p>
            <w:pPr>
              <w:spacing w:after="0"/>
              <w:rPr>
                <w:sz w:val="18"/>
                <w:szCs w:val="18"/>
                <w:color w:val="auto"/>
              </w:rPr>
            </w:pPr>
          </w:p>
        </w:tc>
        <w:tc>
          <w:tcPr>
            <w:tcW w:w="2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175,708</w:t>
            </w:r>
          </w:p>
        </w:tc>
        <w:tc>
          <w:tcPr>
            <w:tcW w:w="0" w:type="dxa"/>
            <w:vAlign w:val="bottom"/>
          </w:tcPr>
          <w:p>
            <w:pPr>
              <w:spacing w:after="0"/>
              <w:rPr>
                <w:sz w:val="1"/>
                <w:szCs w:val="1"/>
                <w:color w:val="auto"/>
              </w:rPr>
            </w:pPr>
          </w:p>
        </w:tc>
      </w:tr>
      <w:tr>
        <w:trPr>
          <w:trHeight w:val="205"/>
        </w:trPr>
        <w:tc>
          <w:tcPr>
            <w:tcW w:w="79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5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45,468</w:t>
            </w:r>
          </w:p>
        </w:tc>
        <w:tc>
          <w:tcPr>
            <w:tcW w:w="0" w:type="dxa"/>
            <w:vAlign w:val="bottom"/>
          </w:tcPr>
          <w:p>
            <w:pPr>
              <w:spacing w:after="0"/>
              <w:rPr>
                <w:sz w:val="1"/>
                <w:szCs w:val="1"/>
                <w:color w:val="auto"/>
              </w:rPr>
            </w:pPr>
          </w:p>
        </w:tc>
      </w:tr>
      <w:tr>
        <w:trPr>
          <w:trHeight w:val="225"/>
        </w:trPr>
        <w:tc>
          <w:tcPr>
            <w:tcW w:w="7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540" w:type="dxa"/>
            <w:vAlign w:val="bottom"/>
            <w:tcBorders>
              <w:bottom w:val="single" w:sz="8" w:color="auto"/>
            </w:tcBorders>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2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134,243</w:t>
            </w:r>
          </w:p>
        </w:tc>
        <w:tc>
          <w:tcPr>
            <w:tcW w:w="0" w:type="dxa"/>
            <w:vAlign w:val="bottom"/>
          </w:tcPr>
          <w:p>
            <w:pPr>
              <w:spacing w:after="0"/>
              <w:rPr>
                <w:sz w:val="1"/>
                <w:szCs w:val="1"/>
                <w:color w:val="auto"/>
              </w:rPr>
            </w:pPr>
          </w:p>
        </w:tc>
      </w:tr>
      <w:tr>
        <w:trPr>
          <w:trHeight w:val="20"/>
        </w:trPr>
        <w:tc>
          <w:tcPr>
            <w:tcW w:w="79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28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In January 2023, a $0.4 million adjustment was made to the gain on sale of the former Tank and Pump segment due to the final contractual working capital adjustment. Including this adjustment, the total gain on sale of discontinued operations was $176.1 million for the nine months ended September 30, 2023.</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nine months ended September 30, 2023, significant investing items related to the former UK Storage Solutions segment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560" w:type="dxa"/>
            <w:vAlign w:val="bottom"/>
            <w:shd w:val="clear" w:color="auto" w:fill="1D2758"/>
          </w:tcPr>
          <w:p>
            <w:pPr>
              <w:spacing w:after="0"/>
              <w:rPr>
                <w:sz w:val="15"/>
                <w:szCs w:val="15"/>
                <w:color w:val="auto"/>
              </w:rPr>
            </w:pPr>
          </w:p>
        </w:tc>
        <w:tc>
          <w:tcPr>
            <w:tcW w:w="280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5880" w:type="dxa"/>
            <w:vAlign w:val="bottom"/>
            <w:shd w:val="clear" w:color="auto" w:fill="1D2758"/>
          </w:tcPr>
          <w:p>
            <w:pPr>
              <w:spacing w:after="0"/>
              <w:rPr>
                <w:sz w:val="17"/>
                <w:szCs w:val="17"/>
                <w:color w:val="auto"/>
              </w:rPr>
            </w:pPr>
          </w:p>
        </w:tc>
        <w:tc>
          <w:tcPr>
            <w:tcW w:w="2560" w:type="dxa"/>
            <w:vAlign w:val="bottom"/>
            <w:shd w:val="clear" w:color="auto" w:fill="1D2758"/>
          </w:tcPr>
          <w:p>
            <w:pPr>
              <w:spacing w:after="0"/>
              <w:rPr>
                <w:sz w:val="17"/>
                <w:szCs w:val="17"/>
                <w:color w:val="auto"/>
              </w:rPr>
            </w:pPr>
          </w:p>
        </w:tc>
        <w:tc>
          <w:tcPr>
            <w:tcW w:w="280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September 30, 2023</w:t>
            </w:r>
          </w:p>
        </w:tc>
      </w:tr>
      <w:tr>
        <w:trPr>
          <w:trHeight w:val="206"/>
        </w:trPr>
        <w:tc>
          <w:tcPr>
            <w:tcW w:w="5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2560" w:type="dxa"/>
            <w:vAlign w:val="bottom"/>
            <w:shd w:val="clear" w:color="auto" w:fill="DBDBDB"/>
          </w:tcPr>
          <w:p>
            <w:pPr>
              <w:spacing w:after="0"/>
              <w:rPr>
                <w:sz w:val="17"/>
                <w:szCs w:val="17"/>
                <w:color w:val="auto"/>
              </w:rPr>
            </w:pPr>
          </w:p>
        </w:tc>
        <w:tc>
          <w:tcPr>
            <w:tcW w:w="2800" w:type="dxa"/>
            <w:vAlign w:val="bottom"/>
            <w:shd w:val="clear" w:color="auto" w:fill="DBDBDB"/>
          </w:tcPr>
          <w:p>
            <w:pPr>
              <w:spacing w:after="0"/>
              <w:rPr>
                <w:sz w:val="17"/>
                <w:szCs w:val="17"/>
                <w:color w:val="auto"/>
              </w:rPr>
            </w:pPr>
          </w:p>
        </w:tc>
      </w:tr>
      <w:tr>
        <w:trPr>
          <w:trHeight w:val="205"/>
        </w:trPr>
        <w:tc>
          <w:tcPr>
            <w:tcW w:w="588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256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2800" w:type="dxa"/>
            <w:vAlign w:val="bottom"/>
          </w:tcPr>
          <w:p>
            <w:pPr>
              <w:jc w:val="right"/>
              <w:spacing w:after="0"/>
              <w:rPr>
                <w:sz w:val="20"/>
                <w:szCs w:val="20"/>
                <w:color w:val="auto"/>
              </w:rPr>
            </w:pPr>
            <w:r>
              <w:rPr>
                <w:rFonts w:ascii="Arial" w:cs="Arial" w:eastAsia="Arial" w:hAnsi="Arial"/>
                <w:sz w:val="15"/>
                <w:szCs w:val="15"/>
                <w:color w:val="auto"/>
              </w:rPr>
              <w:t>514</w:t>
            </w:r>
          </w:p>
        </w:tc>
      </w:tr>
      <w:tr>
        <w:trPr>
          <w:trHeight w:val="207"/>
        </w:trPr>
        <w:tc>
          <w:tcPr>
            <w:tcW w:w="5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56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rPr>
              <w:t>$</w:t>
            </w:r>
          </w:p>
        </w:tc>
        <w:tc>
          <w:tcPr>
            <w:tcW w:w="2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(371)</w:t>
            </w:r>
          </w:p>
        </w:tc>
      </w:tr>
      <w:tr>
        <w:trPr>
          <w:trHeight w:val="205"/>
        </w:trPr>
        <w:tc>
          <w:tcPr>
            <w:tcW w:w="5880" w:type="dxa"/>
            <w:vAlign w:val="bottom"/>
          </w:tcPr>
          <w:p>
            <w:pPr>
              <w:ind w:left="220"/>
              <w:spacing w:after="0"/>
              <w:rPr>
                <w:sz w:val="20"/>
                <w:szCs w:val="20"/>
                <w:color w:val="auto"/>
              </w:rPr>
            </w:pPr>
            <w:r>
              <w:rPr>
                <w:rFonts w:ascii="Arial" w:cs="Arial" w:eastAsia="Arial" w:hAnsi="Arial"/>
                <w:sz w:val="15"/>
                <w:szCs w:val="15"/>
                <w:color w:val="auto"/>
              </w:rPr>
              <w:t>Proceeds from sale of property, plant and equipment</w:t>
            </w:r>
          </w:p>
        </w:tc>
        <w:tc>
          <w:tcPr>
            <w:tcW w:w="256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280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07"/>
        </w:trPr>
        <w:tc>
          <w:tcPr>
            <w:tcW w:w="5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56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rPr>
              <w:t>$</w:t>
            </w:r>
          </w:p>
        </w:tc>
        <w:tc>
          <w:tcPr>
            <w:tcW w:w="2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1D2758"/>
        </w:rPr>
        <w:t>NOTE 4 - Revenue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Geographic Areas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total revenue in the following geographic areas for the three and nine months ended September 30, 2024 and 2023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4"/>
                <w:szCs w:val="14"/>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565,021</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567,221</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1,683,434</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1,645,727</w:t>
            </w:r>
          </w:p>
        </w:tc>
      </w:tr>
      <w:tr>
        <w:trPr>
          <w:trHeight w:val="205"/>
        </w:trPr>
        <w:tc>
          <w:tcPr>
            <w:tcW w:w="4740" w:type="dxa"/>
            <w:vAlign w:val="bottom"/>
          </w:tcPr>
          <w:p>
            <w:pPr>
              <w:ind w:left="20"/>
              <w:spacing w:after="0"/>
              <w:rPr>
                <w:sz w:val="20"/>
                <w:szCs w:val="20"/>
                <w:color w:val="auto"/>
              </w:rPr>
            </w:pPr>
            <w:r>
              <w:rPr>
                <w:rFonts w:ascii="Arial" w:cs="Arial" w:eastAsia="Arial" w:hAnsi="Arial"/>
                <w:sz w:val="15"/>
                <w:szCs w:val="15"/>
                <w:color w:val="auto"/>
              </w:rPr>
              <w:t>Canada</w:t>
            </w: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29,657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30,921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88,495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88,702</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3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6,754</w:t>
            </w:r>
          </w:p>
        </w:tc>
        <w:tc>
          <w:tcPr>
            <w:tcW w:w="80" w:type="dxa"/>
            <w:vAlign w:val="bottom"/>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6,692</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21,274</w:t>
            </w:r>
          </w:p>
        </w:tc>
        <w:tc>
          <w:tcPr>
            <w:tcW w:w="80" w:type="dxa"/>
            <w:vAlign w:val="bottom"/>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17,962</w:t>
            </w:r>
          </w:p>
        </w:tc>
      </w:tr>
      <w:tr>
        <w:trPr>
          <w:trHeight w:val="200"/>
        </w:trPr>
        <w:tc>
          <w:tcPr>
            <w:tcW w:w="4740" w:type="dxa"/>
            <w:vAlign w:val="bottom"/>
          </w:tcPr>
          <w:p>
            <w:pPr>
              <w:ind w:left="12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601,432</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604,834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1,793,203</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1,752,391</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Major Product and Service Lines</w:t>
      </w:r>
    </w:p>
    <w:p>
      <w:pPr>
        <w:spacing w:after="0" w:line="7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turnkey temporary modular space and portable storage units along with value-added products and services ("VAPS"), which include furniture, steps, ramps, basic appliances, internet connectivity devices, integral tool racking, heavy duty capacity shelving, workstations, electrical and lighting products and other items used by customers in connection with the Company's products. The Company also offers its lease customers a damage waiver program that protects them in case the leased unit is damaged. Leasing is complemented by new unit sales and sales of rental units. In connection with its leasing and sales activities, the Company provides services including delivery and installation, maintenance and ad hoc services and removal services at the end of lease transactions.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revenue by major product and service line for the three and nine months ended September 30, 2024 and 2023 was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4"/>
                <w:szCs w:val="14"/>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r>
      <w:tr>
        <w:trPr>
          <w:trHeight w:val="206"/>
        </w:trPr>
        <w:tc>
          <w:tcPr>
            <w:tcW w:w="474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p>
        </w:tc>
        <w:tc>
          <w:tcPr>
            <w:tcW w:w="360" w:type="dxa"/>
            <w:vAlign w:val="bottom"/>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254,531</w:t>
            </w:r>
          </w:p>
        </w:tc>
        <w:tc>
          <w:tcPr>
            <w:tcW w:w="80" w:type="dxa"/>
            <w:vAlign w:val="bottom"/>
            <w:shd w:val="clear" w:color="auto" w:fill="DDDDDD"/>
          </w:tcPr>
          <w:p>
            <w:pPr>
              <w:spacing w:after="0"/>
              <w:rPr>
                <w:sz w:val="17"/>
                <w:szCs w:val="17"/>
                <w:color w:val="auto"/>
              </w:rPr>
            </w:pPr>
          </w:p>
        </w:tc>
        <w:tc>
          <w:tcPr>
            <w:tcW w:w="560" w:type="dxa"/>
            <w:vAlign w:val="bottom"/>
            <w:shd w:val="clear" w:color="auto" w:fill="DDDDDD"/>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243,947</w:t>
            </w:r>
          </w:p>
        </w:tc>
        <w:tc>
          <w:tcPr>
            <w:tcW w:w="100" w:type="dxa"/>
            <w:vAlign w:val="bottom"/>
            <w:shd w:val="clear" w:color="auto" w:fill="DDDDDD"/>
          </w:tcPr>
          <w:p>
            <w:pPr>
              <w:spacing w:after="0"/>
              <w:rPr>
                <w:sz w:val="17"/>
                <w:szCs w:val="17"/>
                <w:color w:val="auto"/>
              </w:rPr>
            </w:pPr>
          </w:p>
        </w:tc>
        <w:tc>
          <w:tcPr>
            <w:tcW w:w="360" w:type="dxa"/>
            <w:vAlign w:val="bottom"/>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760,404</w:t>
            </w:r>
          </w:p>
        </w:tc>
        <w:tc>
          <w:tcPr>
            <w:tcW w:w="80" w:type="dxa"/>
            <w:vAlign w:val="bottom"/>
            <w:shd w:val="clear" w:color="auto" w:fill="DDDDDD"/>
          </w:tcPr>
          <w:p>
            <w:pPr>
              <w:spacing w:after="0"/>
              <w:rPr>
                <w:sz w:val="17"/>
                <w:szCs w:val="17"/>
                <w:color w:val="auto"/>
              </w:rPr>
            </w:pPr>
          </w:p>
        </w:tc>
        <w:tc>
          <w:tcPr>
            <w:tcW w:w="560" w:type="dxa"/>
            <w:vAlign w:val="bottom"/>
            <w:shd w:val="clear" w:color="auto" w:fill="DDDDDD"/>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705,041</w:t>
            </w:r>
          </w:p>
        </w:tc>
      </w:tr>
      <w:tr>
        <w:trPr>
          <w:trHeight w:val="205"/>
        </w:trPr>
        <w:tc>
          <w:tcPr>
            <w:tcW w:w="474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85,746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98,155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263,628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288,932</w:t>
            </w:r>
          </w:p>
        </w:tc>
      </w:tr>
      <w:tr>
        <w:trPr>
          <w:trHeight w:val="207"/>
        </w:trPr>
        <w:tc>
          <w:tcPr>
            <w:tcW w:w="4740" w:type="dxa"/>
            <w:vAlign w:val="bottom"/>
            <w:shd w:val="clear" w:color="auto" w:fill="DDDDDD"/>
          </w:tcPr>
          <w:p>
            <w:pPr>
              <w:ind w:left="20"/>
              <w:spacing w:after="0" w:line="207" w:lineRule="exact"/>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(a)</w:t>
            </w:r>
          </w:p>
        </w:tc>
        <w:tc>
          <w:tcPr>
            <w:tcW w:w="360" w:type="dxa"/>
            <w:vAlign w:val="bottom"/>
            <w:shd w:val="clear" w:color="auto" w:fill="DDDDDD"/>
          </w:tcPr>
          <w:p>
            <w:pPr>
              <w:spacing w:after="0"/>
              <w:rPr>
                <w:sz w:val="18"/>
                <w:szCs w:val="18"/>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100,176</w:t>
            </w:r>
          </w:p>
        </w:tc>
        <w:tc>
          <w:tcPr>
            <w:tcW w:w="80" w:type="dxa"/>
            <w:vAlign w:val="bottom"/>
            <w:shd w:val="clear" w:color="auto" w:fill="DDDDDD"/>
          </w:tcPr>
          <w:p>
            <w:pPr>
              <w:spacing w:after="0"/>
              <w:rPr>
                <w:sz w:val="18"/>
                <w:szCs w:val="18"/>
                <w:color w:val="auto"/>
              </w:rPr>
            </w:pPr>
          </w:p>
        </w:tc>
        <w:tc>
          <w:tcPr>
            <w:tcW w:w="560" w:type="dxa"/>
            <w:vAlign w:val="bottom"/>
            <w:shd w:val="clear" w:color="auto" w:fill="DDDDDD"/>
          </w:tcPr>
          <w:p>
            <w:pPr>
              <w:spacing w:after="0"/>
              <w:rPr>
                <w:sz w:val="18"/>
                <w:szCs w:val="18"/>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99,872</w:t>
            </w:r>
          </w:p>
        </w:tc>
        <w:tc>
          <w:tcPr>
            <w:tcW w:w="100" w:type="dxa"/>
            <w:vAlign w:val="bottom"/>
            <w:shd w:val="clear" w:color="auto" w:fill="DDDDDD"/>
          </w:tcPr>
          <w:p>
            <w:pPr>
              <w:spacing w:after="0"/>
              <w:rPr>
                <w:sz w:val="18"/>
                <w:szCs w:val="18"/>
                <w:color w:val="auto"/>
              </w:rPr>
            </w:pPr>
          </w:p>
        </w:tc>
        <w:tc>
          <w:tcPr>
            <w:tcW w:w="360" w:type="dxa"/>
            <w:vAlign w:val="bottom"/>
            <w:shd w:val="clear" w:color="auto" w:fill="DDDDDD"/>
          </w:tcPr>
          <w:p>
            <w:pPr>
              <w:spacing w:after="0"/>
              <w:rPr>
                <w:sz w:val="18"/>
                <w:szCs w:val="18"/>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296,602</w:t>
            </w:r>
          </w:p>
        </w:tc>
        <w:tc>
          <w:tcPr>
            <w:tcW w:w="80" w:type="dxa"/>
            <w:vAlign w:val="bottom"/>
            <w:shd w:val="clear" w:color="auto" w:fill="DDDDDD"/>
          </w:tcPr>
          <w:p>
            <w:pPr>
              <w:spacing w:after="0"/>
              <w:rPr>
                <w:sz w:val="18"/>
                <w:szCs w:val="18"/>
                <w:color w:val="auto"/>
              </w:rPr>
            </w:pPr>
          </w:p>
        </w:tc>
        <w:tc>
          <w:tcPr>
            <w:tcW w:w="560" w:type="dxa"/>
            <w:vAlign w:val="bottom"/>
            <w:shd w:val="clear" w:color="auto" w:fill="DDDDDD"/>
          </w:tcPr>
          <w:p>
            <w:pPr>
              <w:spacing w:after="0"/>
              <w:rPr>
                <w:sz w:val="18"/>
                <w:szCs w:val="18"/>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291,697</w:t>
            </w:r>
          </w:p>
        </w:tc>
      </w:tr>
      <w:tr>
        <w:trPr>
          <w:trHeight w:val="206"/>
        </w:trPr>
        <w:tc>
          <w:tcPr>
            <w:tcW w:w="4740" w:type="dxa"/>
            <w:vAlign w:val="bottom"/>
            <w:tcBorders>
              <w:bottom w:val="single" w:sz="8" w:color="DDDDDD"/>
            </w:tcBorders>
          </w:tcPr>
          <w:p>
            <w:pPr>
              <w:ind w:left="20"/>
              <w:spacing w:after="0" w:line="207" w:lineRule="exact"/>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(b)</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15,125</w:t>
            </w:r>
          </w:p>
        </w:tc>
        <w:tc>
          <w:tcPr>
            <w:tcW w:w="80" w:type="dxa"/>
            <w:vAlign w:val="bottom"/>
            <w:tcBorders>
              <w:bottom w:val="single" w:sz="8" w:color="DDDDD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24,795</w:t>
            </w:r>
          </w:p>
        </w:tc>
        <w:tc>
          <w:tcPr>
            <w:tcW w:w="100" w:type="dxa"/>
            <w:vAlign w:val="bottom"/>
            <w:tcBorders>
              <w:bottom w:val="single" w:sz="8" w:color="DDDDD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54,137</w:t>
            </w:r>
          </w:p>
        </w:tc>
        <w:tc>
          <w:tcPr>
            <w:tcW w:w="80" w:type="dxa"/>
            <w:vAlign w:val="bottom"/>
            <w:tcBorders>
              <w:bottom w:val="single" w:sz="8" w:color="DDDDD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70,370</w:t>
            </w:r>
          </w:p>
        </w:tc>
      </w:tr>
      <w:tr>
        <w:trPr>
          <w:trHeight w:val="199"/>
        </w:trPr>
        <w:tc>
          <w:tcPr>
            <w:tcW w:w="47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Leasing revenue</w:t>
            </w:r>
          </w:p>
        </w:tc>
        <w:tc>
          <w:tcPr>
            <w:tcW w:w="360" w:type="dxa"/>
            <w:vAlign w:val="bottom"/>
            <w:shd w:val="clear" w:color="auto" w:fill="DDDDDD"/>
          </w:tcPr>
          <w:p>
            <w:pPr>
              <w:spacing w:after="0"/>
              <w:rPr>
                <w:sz w:val="17"/>
                <w:szCs w:val="17"/>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455,578</w:t>
            </w:r>
          </w:p>
        </w:tc>
        <w:tc>
          <w:tcPr>
            <w:tcW w:w="8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466,769</w:t>
            </w:r>
          </w:p>
        </w:tc>
        <w:tc>
          <w:tcPr>
            <w:tcW w:w="10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1,374,771</w:t>
            </w:r>
          </w:p>
        </w:tc>
        <w:tc>
          <w:tcPr>
            <w:tcW w:w="8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1,356,040</w:t>
            </w:r>
          </w:p>
        </w:tc>
      </w:tr>
      <w:tr>
        <w:trPr>
          <w:trHeight w:val="205"/>
        </w:trPr>
        <w:tc>
          <w:tcPr>
            <w:tcW w:w="474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Delivery and installation revenue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114,765</w:t>
            </w:r>
          </w:p>
        </w:tc>
        <w:tc>
          <w:tcPr>
            <w:tcW w:w="80" w:type="dxa"/>
            <w:vAlign w:val="bottom"/>
            <w:tcBorders>
              <w:bottom w:val="single" w:sz="8" w:color="DDDDD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115,598</w:t>
            </w:r>
          </w:p>
        </w:tc>
        <w:tc>
          <w:tcPr>
            <w:tcW w:w="100" w:type="dxa"/>
            <w:vAlign w:val="bottom"/>
            <w:tcBorders>
              <w:bottom w:val="single" w:sz="8" w:color="DDDDD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323,274</w:t>
            </w:r>
          </w:p>
        </w:tc>
        <w:tc>
          <w:tcPr>
            <w:tcW w:w="80" w:type="dxa"/>
            <w:vAlign w:val="bottom"/>
            <w:tcBorders>
              <w:bottom w:val="single" w:sz="8" w:color="DDDDD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334,982</w:t>
            </w:r>
          </w:p>
        </w:tc>
      </w:tr>
      <w:tr>
        <w:trPr>
          <w:trHeight w:val="200"/>
        </w:trPr>
        <w:tc>
          <w:tcPr>
            <w:tcW w:w="47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Total leasing and services revenue</w:t>
            </w:r>
          </w:p>
        </w:tc>
        <w:tc>
          <w:tcPr>
            <w:tcW w:w="360" w:type="dxa"/>
            <w:vAlign w:val="bottom"/>
            <w:shd w:val="clear" w:color="auto" w:fill="DDDDDD"/>
          </w:tcPr>
          <w:p>
            <w:pPr>
              <w:spacing w:after="0"/>
              <w:rPr>
                <w:sz w:val="17"/>
                <w:szCs w:val="17"/>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570,343</w:t>
            </w:r>
          </w:p>
        </w:tc>
        <w:tc>
          <w:tcPr>
            <w:tcW w:w="8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582,367</w:t>
            </w:r>
          </w:p>
        </w:tc>
        <w:tc>
          <w:tcPr>
            <w:tcW w:w="10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1,698,045</w:t>
            </w:r>
          </w:p>
        </w:tc>
        <w:tc>
          <w:tcPr>
            <w:tcW w:w="8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1,691,022</w:t>
            </w:r>
          </w:p>
        </w:tc>
      </w:tr>
      <w:tr>
        <w:trPr>
          <w:trHeight w:val="205"/>
        </w:trPr>
        <w:tc>
          <w:tcPr>
            <w:tcW w:w="4740" w:type="dxa"/>
            <w:vAlign w:val="bottom"/>
          </w:tcPr>
          <w:p>
            <w:pPr>
              <w:ind w:left="20"/>
              <w:spacing w:after="0"/>
              <w:rPr>
                <w:sz w:val="20"/>
                <w:szCs w:val="20"/>
                <w:color w:val="auto"/>
              </w:rPr>
            </w:pPr>
            <w:r>
              <w:rPr>
                <w:rFonts w:ascii="Arial" w:cs="Arial" w:eastAsia="Arial" w:hAnsi="Arial"/>
                <w:sz w:val="15"/>
                <w:szCs w:val="15"/>
                <w:color w:val="auto"/>
              </w:rPr>
              <w:t>New unit sales revenue</w:t>
            </w: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17,850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10,155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52,727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29,816</w:t>
            </w:r>
          </w:p>
        </w:tc>
      </w:tr>
      <w:tr>
        <w:trPr>
          <w:trHeight w:val="206"/>
        </w:trPr>
        <w:tc>
          <w:tcPr>
            <w:tcW w:w="4740" w:type="dxa"/>
            <w:vAlign w:val="bottom"/>
            <w:shd w:val="clear" w:color="auto" w:fill="DDDDDD"/>
          </w:tcPr>
          <w:p>
            <w:pPr>
              <w:ind w:left="20"/>
              <w:spacing w:after="0"/>
              <w:rPr>
                <w:sz w:val="20"/>
                <w:szCs w:val="20"/>
                <w:color w:val="auto"/>
              </w:rPr>
            </w:pPr>
            <w:r>
              <w:rPr>
                <w:rFonts w:ascii="Arial" w:cs="Arial" w:eastAsia="Arial" w:hAnsi="Arial"/>
                <w:sz w:val="15"/>
                <w:szCs w:val="15"/>
                <w:color w:val="auto"/>
              </w:rPr>
              <w:t>Rental unit sales revenue</w:t>
            </w:r>
          </w:p>
        </w:tc>
        <w:tc>
          <w:tcPr>
            <w:tcW w:w="360" w:type="dxa"/>
            <w:vAlign w:val="bottom"/>
            <w:tcBorders>
              <w:bottom w:val="single" w:sz="8" w:color="auto"/>
            </w:tcBorders>
            <w:shd w:val="clear" w:color="auto" w:fill="DDDDDD"/>
          </w:tcPr>
          <w:p>
            <w:pPr>
              <w:spacing w:after="0"/>
              <w:rPr>
                <w:sz w:val="17"/>
                <w:szCs w:val="17"/>
                <w:color w:val="auto"/>
              </w:rPr>
            </w:pPr>
          </w:p>
        </w:tc>
        <w:tc>
          <w:tcPr>
            <w:tcW w:w="1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13,239</w:t>
            </w:r>
          </w:p>
        </w:tc>
        <w:tc>
          <w:tcPr>
            <w:tcW w:w="80" w:type="dxa"/>
            <w:vAlign w:val="bottom"/>
            <w:shd w:val="clear" w:color="auto" w:fill="DDDDDD"/>
          </w:tcPr>
          <w:p>
            <w:pPr>
              <w:spacing w:after="0"/>
              <w:rPr>
                <w:sz w:val="17"/>
                <w:szCs w:val="17"/>
                <w:color w:val="auto"/>
              </w:rPr>
            </w:pPr>
          </w:p>
        </w:tc>
        <w:tc>
          <w:tcPr>
            <w:tcW w:w="560" w:type="dxa"/>
            <w:vAlign w:val="bottom"/>
            <w:tcBorders>
              <w:bottom w:val="single" w:sz="8" w:color="auto"/>
            </w:tcBorders>
            <w:shd w:val="clear" w:color="auto" w:fill="DDDDDD"/>
          </w:tcPr>
          <w:p>
            <w:pPr>
              <w:spacing w:after="0"/>
              <w:rPr>
                <w:sz w:val="17"/>
                <w:szCs w:val="17"/>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12,312</w:t>
            </w:r>
          </w:p>
        </w:tc>
        <w:tc>
          <w:tcPr>
            <w:tcW w:w="100" w:type="dxa"/>
            <w:vAlign w:val="bottom"/>
            <w:shd w:val="clear" w:color="auto" w:fill="DDDDDD"/>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42,431</w:t>
            </w:r>
          </w:p>
        </w:tc>
        <w:tc>
          <w:tcPr>
            <w:tcW w:w="80" w:type="dxa"/>
            <w:vAlign w:val="bottom"/>
            <w:shd w:val="clear" w:color="auto" w:fill="DDDDDD"/>
          </w:tcPr>
          <w:p>
            <w:pPr>
              <w:spacing w:after="0"/>
              <w:rPr>
                <w:sz w:val="17"/>
                <w:szCs w:val="17"/>
                <w:color w:val="auto"/>
              </w:rPr>
            </w:pPr>
          </w:p>
        </w:tc>
        <w:tc>
          <w:tcPr>
            <w:tcW w:w="560" w:type="dxa"/>
            <w:vAlign w:val="bottom"/>
            <w:tcBorders>
              <w:bottom w:val="single" w:sz="8" w:color="auto"/>
            </w:tcBorders>
            <w:shd w:val="clear" w:color="auto" w:fill="DDDDDD"/>
          </w:tcPr>
          <w:p>
            <w:pPr>
              <w:spacing w:after="0"/>
              <w:rPr>
                <w:sz w:val="17"/>
                <w:szCs w:val="17"/>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31,553</w:t>
            </w:r>
          </w:p>
        </w:tc>
      </w:tr>
      <w:tr>
        <w:trPr>
          <w:trHeight w:val="200"/>
        </w:trPr>
        <w:tc>
          <w:tcPr>
            <w:tcW w:w="4740" w:type="dxa"/>
            <w:vAlign w:val="bottom"/>
          </w:tcPr>
          <w:p>
            <w:pPr>
              <w:ind w:left="32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601,432</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604,834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1,793,203</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1,752,391</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w:t>
      </w:r>
    </w:p>
    <w:p>
      <w:pPr>
        <w:ind w:left="480" w:right="20"/>
        <w:spacing w:after="0" w:line="231" w:lineRule="auto"/>
        <w:rPr>
          <w:sz w:val="20"/>
          <w:szCs w:val="20"/>
          <w:color w:val="auto"/>
        </w:rPr>
      </w:pPr>
      <w:r>
        <w:rPr>
          <w:rFonts w:ascii="Arial" w:cs="Arial" w:eastAsia="Arial" w:hAnsi="Arial"/>
          <w:sz w:val="14"/>
          <w:szCs w:val="14"/>
          <w:color w:val="auto"/>
        </w:rPr>
        <w:t>Includes $10.3 million and $6.4 million of service revenue for the three months ended September 30, 2024 and 2023, respectively, and $30.4 million and $18.1 million of service revenue for the nine months ended September 30, 2024 and 2023, respectively.</w:t>
      </w:r>
    </w:p>
    <w:p>
      <w:pPr>
        <w:ind w:left="480" w:hanging="46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other processing fees, and provisions for specific uncollectible receivables.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Leasing and Services Revenue</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The majority of revenue (74% and 75% for the three and nine months ended September 30, 2024, respectively, and 76% for both the three and nine months ended September 30, 2023) was generated by lease income subject to the guidance of Accounting Standards Update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remaining revenue was generated by performance obligations in contracts with customers for services or the sale of units subject to the guidance in Accounting Standards Update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and Credit Losses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manages credit risk associated with its accounts receivable at the customer level. Because the same customers generate the revenues that are accounted for under both ASC 842 and ASC 606, the discussions below on credit risk and the Company's allowance for credit losses address the Company's total revenues.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2" w:name="page13"/>
    <w:bookmarkEnd w:id="12"/>
    <w:p>
      <w:pPr>
        <w:jc w:val="both"/>
        <w:ind w:firstLine="619"/>
        <w:spacing w:after="0" w:line="294" w:lineRule="auto"/>
        <w:rPr>
          <w:sz w:val="20"/>
          <w:szCs w:val="20"/>
          <w:color w:val="auto"/>
        </w:rPr>
      </w:pPr>
      <w:r>
        <w:rPr>
          <w:rFonts w:ascii="Arial" w:cs="Arial" w:eastAsia="Arial" w:hAnsi="Arial"/>
          <w:sz w:val="15"/>
          <w:szCs w:val="15"/>
          <w:color w:val="auto"/>
        </w:rPr>
        <w:t>Concentration of credit risk with respect to the Company's receivables is limited because of a large number of geographically diverse customers who operate in a variety of end user markets. The Company manages credit risk through credit approvals, credit limits, and other monitoring procedures.</w:t>
      </w:r>
    </w:p>
    <w:p>
      <w:pPr>
        <w:spacing w:after="0" w:line="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Company's allowance for credit losses reflects its estimate of the amount of receivables that it will be unable to collect. The estimated losses are calculated using the loss rate method based upon a review of outstanding receivables, related aging, and historical collection experience. The Company's estimates reflect changing circumstances, and the Company may be required to increase or decrease its allowance in future periods.</w:t>
      </w:r>
    </w:p>
    <w:p>
      <w:pPr>
        <w:ind w:left="620"/>
        <w:spacing w:after="0"/>
        <w:rPr>
          <w:sz w:val="20"/>
          <w:szCs w:val="20"/>
          <w:color w:val="auto"/>
        </w:rPr>
      </w:pPr>
      <w:r>
        <w:rPr>
          <w:rFonts w:ascii="Arial" w:cs="Arial" w:eastAsia="Arial" w:hAnsi="Arial"/>
          <w:sz w:val="15"/>
          <w:szCs w:val="15"/>
          <w:color w:val="auto"/>
        </w:rPr>
        <w:t>Activity in the allowance for credit losses was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shd w:val="clear" w:color="auto" w:fill="1D2758"/>
          </w:tcPr>
          <w:p>
            <w:pPr>
              <w:spacing w:after="0"/>
              <w:rPr>
                <w:sz w:val="14"/>
                <w:szCs w:val="14"/>
                <w:color w:val="auto"/>
              </w:rPr>
            </w:pPr>
          </w:p>
        </w:tc>
        <w:tc>
          <w:tcPr>
            <w:tcW w:w="2620" w:type="dxa"/>
            <w:vAlign w:val="bottom"/>
            <w:gridSpan w:val="4"/>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Three Months Ended</w:t>
            </w:r>
          </w:p>
        </w:tc>
        <w:tc>
          <w:tcPr>
            <w:tcW w:w="58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474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1660" w:type="dxa"/>
            <w:vAlign w:val="bottom"/>
            <w:gridSpan w:val="3"/>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September 30,</w:t>
            </w:r>
          </w:p>
        </w:tc>
        <w:tc>
          <w:tcPr>
            <w:tcW w:w="58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6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98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58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960" w:type="dxa"/>
            <w:vAlign w:val="bottom"/>
            <w:shd w:val="clear" w:color="auto" w:fill="DDDDDD"/>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DDDDD"/>
          </w:tcPr>
          <w:p>
            <w:pPr>
              <w:jc w:val="center"/>
              <w:spacing w:after="0"/>
              <w:rPr>
                <w:sz w:val="20"/>
                <w:szCs w:val="20"/>
                <w:color w:val="auto"/>
              </w:rPr>
            </w:pPr>
            <w:r>
              <w:rPr>
                <w:rFonts w:ascii="Arial" w:cs="Arial" w:eastAsia="Arial" w:hAnsi="Arial"/>
                <w:sz w:val="15"/>
                <w:szCs w:val="15"/>
                <w:color w:val="auto"/>
              </w:rPr>
              <w:t>89,070</w:t>
            </w:r>
          </w:p>
        </w:tc>
        <w:tc>
          <w:tcPr>
            <w:tcW w:w="80" w:type="dxa"/>
            <w:vAlign w:val="bottom"/>
            <w:shd w:val="clear" w:color="auto" w:fill="DDDDDD"/>
          </w:tcPr>
          <w:p>
            <w:pPr>
              <w:spacing w:after="0"/>
              <w:rPr>
                <w:sz w:val="17"/>
                <w:szCs w:val="17"/>
                <w:color w:val="auto"/>
              </w:rPr>
            </w:pPr>
          </w:p>
        </w:tc>
        <w:tc>
          <w:tcPr>
            <w:tcW w:w="980" w:type="dxa"/>
            <w:vAlign w:val="bottom"/>
            <w:shd w:val="clear" w:color="auto" w:fill="DDDDDD"/>
          </w:tcPr>
          <w:p>
            <w:pPr>
              <w:jc w:val="right"/>
              <w:ind w:right="803"/>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68,096</w:t>
            </w:r>
          </w:p>
        </w:tc>
        <w:tc>
          <w:tcPr>
            <w:tcW w:w="100" w:type="dxa"/>
            <w:vAlign w:val="bottom"/>
            <w:shd w:val="clear" w:color="auto" w:fill="DDDDDD"/>
          </w:tcPr>
          <w:p>
            <w:pPr>
              <w:spacing w:after="0"/>
              <w:rPr>
                <w:sz w:val="17"/>
                <w:szCs w:val="17"/>
                <w:color w:val="auto"/>
              </w:rPr>
            </w:pPr>
          </w:p>
        </w:tc>
        <w:tc>
          <w:tcPr>
            <w:tcW w:w="360" w:type="dxa"/>
            <w:vAlign w:val="bottom"/>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81,656</w:t>
            </w:r>
          </w:p>
        </w:tc>
        <w:tc>
          <w:tcPr>
            <w:tcW w:w="80" w:type="dxa"/>
            <w:vAlign w:val="bottom"/>
            <w:shd w:val="clear" w:color="auto" w:fill="DDDDDD"/>
          </w:tcPr>
          <w:p>
            <w:pPr>
              <w:spacing w:after="0"/>
              <w:rPr>
                <w:sz w:val="17"/>
                <w:szCs w:val="17"/>
                <w:color w:val="auto"/>
              </w:rPr>
            </w:pPr>
          </w:p>
        </w:tc>
        <w:tc>
          <w:tcPr>
            <w:tcW w:w="560" w:type="dxa"/>
            <w:vAlign w:val="bottom"/>
            <w:shd w:val="clear" w:color="auto" w:fill="DDDDDD"/>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57,048</w:t>
            </w:r>
          </w:p>
        </w:tc>
      </w:tr>
      <w:tr>
        <w:trPr>
          <w:trHeight w:val="205"/>
        </w:trPr>
        <w:tc>
          <w:tcPr>
            <w:tcW w:w="4740" w:type="dxa"/>
            <w:vAlign w:val="bottom"/>
          </w:tcPr>
          <w:p>
            <w:pPr>
              <w:ind w:left="20"/>
              <w:spacing w:after="0"/>
              <w:rPr>
                <w:sz w:val="20"/>
                <w:szCs w:val="20"/>
                <w:color w:val="auto"/>
              </w:rPr>
            </w:pPr>
            <w:r>
              <w:rPr>
                <w:rFonts w:ascii="Arial" w:cs="Arial" w:eastAsia="Arial" w:hAnsi="Arial"/>
                <w:sz w:val="15"/>
                <w:szCs w:val="15"/>
                <w:color w:val="auto"/>
              </w:rPr>
              <w:t>Provision for credit losses, net of recoveries</w:t>
            </w:r>
          </w:p>
        </w:tc>
        <w:tc>
          <w:tcPr>
            <w:tcW w:w="96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rPr>
              <w:t>22,121</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15,871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45,317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38,079</w:t>
            </w:r>
          </w:p>
        </w:tc>
      </w:tr>
      <w:tr>
        <w:trPr>
          <w:trHeight w:val="207"/>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Write-offs</w:t>
            </w:r>
          </w:p>
        </w:tc>
        <w:tc>
          <w:tcPr>
            <w:tcW w:w="960" w:type="dxa"/>
            <w:vAlign w:val="bottom"/>
            <w:shd w:val="clear" w:color="auto" w:fill="DDDDDD"/>
          </w:tcPr>
          <w:p>
            <w:pPr>
              <w:spacing w:after="0"/>
              <w:rPr>
                <w:sz w:val="18"/>
                <w:szCs w:val="18"/>
                <w:color w:val="auto"/>
              </w:rPr>
            </w:pPr>
          </w:p>
        </w:tc>
        <w:tc>
          <w:tcPr>
            <w:tcW w:w="600" w:type="dxa"/>
            <w:vAlign w:val="bottom"/>
            <w:shd w:val="clear" w:color="auto" w:fill="DDDDDD"/>
          </w:tcPr>
          <w:p>
            <w:pPr>
              <w:jc w:val="center"/>
              <w:spacing w:after="0"/>
              <w:rPr>
                <w:sz w:val="20"/>
                <w:szCs w:val="20"/>
                <w:color w:val="auto"/>
              </w:rPr>
            </w:pPr>
            <w:r>
              <w:rPr>
                <w:rFonts w:ascii="Arial" w:cs="Arial" w:eastAsia="Arial" w:hAnsi="Arial"/>
                <w:sz w:val="15"/>
                <w:szCs w:val="15"/>
                <w:color w:val="auto"/>
              </w:rPr>
              <w:t>(11,869)</w:t>
            </w:r>
          </w:p>
        </w:tc>
        <w:tc>
          <w:tcPr>
            <w:tcW w:w="8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(5,252)</w:t>
            </w:r>
          </w:p>
        </w:tc>
        <w:tc>
          <w:tcPr>
            <w:tcW w:w="100" w:type="dxa"/>
            <w:vAlign w:val="bottom"/>
            <w:shd w:val="clear" w:color="auto" w:fill="DDDDDD"/>
          </w:tcPr>
          <w:p>
            <w:pPr>
              <w:spacing w:after="0"/>
              <w:rPr>
                <w:sz w:val="18"/>
                <w:szCs w:val="18"/>
                <w:color w:val="auto"/>
              </w:rPr>
            </w:pPr>
          </w:p>
        </w:tc>
        <w:tc>
          <w:tcPr>
            <w:tcW w:w="36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(27,528)</w:t>
            </w:r>
          </w:p>
        </w:tc>
        <w:tc>
          <w:tcPr>
            <w:tcW w:w="80" w:type="dxa"/>
            <w:vAlign w:val="bottom"/>
            <w:shd w:val="clear" w:color="auto" w:fill="DDDDDD"/>
          </w:tcPr>
          <w:p>
            <w:pPr>
              <w:spacing w:after="0"/>
              <w:rPr>
                <w:sz w:val="18"/>
                <w:szCs w:val="18"/>
                <w:color w:val="auto"/>
              </w:rPr>
            </w:pPr>
          </w:p>
        </w:tc>
        <w:tc>
          <w:tcPr>
            <w:tcW w:w="560" w:type="dxa"/>
            <w:vAlign w:val="bottom"/>
            <w:shd w:val="clear" w:color="auto" w:fill="DDDDDD"/>
          </w:tcPr>
          <w:p>
            <w:pPr>
              <w:spacing w:after="0"/>
              <w:rPr>
                <w:sz w:val="18"/>
                <w:szCs w:val="18"/>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(16,758)</w:t>
            </w:r>
          </w:p>
        </w:tc>
      </w:tr>
      <w:tr>
        <w:trPr>
          <w:trHeight w:val="205"/>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DDDDD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w:t>
            </w:r>
          </w:p>
        </w:tc>
        <w:tc>
          <w:tcPr>
            <w:tcW w:w="80" w:type="dxa"/>
            <w:vAlign w:val="bottom"/>
            <w:tcBorders>
              <w:bottom w:val="single" w:sz="8" w:color="DDDDD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w:t>
            </w:r>
          </w:p>
        </w:tc>
      </w:tr>
      <w:tr>
        <w:trPr>
          <w:trHeight w:val="224"/>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960" w:type="dxa"/>
            <w:vAlign w:val="bottom"/>
            <w:tcBorders>
              <w:bottom w:val="single" w:sz="8" w:color="auto"/>
            </w:tcBorders>
            <w:shd w:val="clear" w:color="auto" w:fill="DDDDDD"/>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5"/>
                <w:szCs w:val="15"/>
                <w:color w:val="auto"/>
              </w:rPr>
              <w:t>99,241</w:t>
            </w:r>
          </w:p>
        </w:tc>
        <w:tc>
          <w:tcPr>
            <w:tcW w:w="80" w:type="dxa"/>
            <w:vAlign w:val="bottom"/>
            <w:tcBorders>
              <w:bottom w:val="single" w:sz="8" w:color="DDDDDD"/>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ind w:right="80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78,738</w:t>
            </w:r>
          </w:p>
        </w:tc>
        <w:tc>
          <w:tcPr>
            <w:tcW w:w="100" w:type="dxa"/>
            <w:vAlign w:val="bottom"/>
            <w:tcBorders>
              <w:bottom w:val="single" w:sz="8" w:color="DDDDDD"/>
            </w:tcBorders>
            <w:shd w:val="clear" w:color="auto" w:fill="DDDDDD"/>
          </w:tcPr>
          <w:p>
            <w:pPr>
              <w:spacing w:after="0"/>
              <w:rPr>
                <w:sz w:val="19"/>
                <w:szCs w:val="19"/>
                <w:color w:val="auto"/>
              </w:rPr>
            </w:pPr>
          </w:p>
        </w:tc>
        <w:tc>
          <w:tcPr>
            <w:tcW w:w="360" w:type="dxa"/>
            <w:vAlign w:val="bottom"/>
            <w:tcBorders>
              <w:bottom w:val="single" w:sz="8" w:color="auto"/>
            </w:tcBorders>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99,241</w:t>
            </w:r>
          </w:p>
        </w:tc>
        <w:tc>
          <w:tcPr>
            <w:tcW w:w="80" w:type="dxa"/>
            <w:vAlign w:val="bottom"/>
            <w:tcBorders>
              <w:bottom w:val="single" w:sz="8" w:color="DDDDDD"/>
            </w:tcBorders>
            <w:shd w:val="clear" w:color="auto" w:fill="DDDDDD"/>
          </w:tcPr>
          <w:p>
            <w:pPr>
              <w:spacing w:after="0"/>
              <w:rPr>
                <w:sz w:val="19"/>
                <w:szCs w:val="19"/>
                <w:color w:val="auto"/>
              </w:rPr>
            </w:pPr>
          </w:p>
        </w:tc>
        <w:tc>
          <w:tcPr>
            <w:tcW w:w="560" w:type="dxa"/>
            <w:vAlign w:val="bottom"/>
            <w:tcBorders>
              <w:bottom w:val="single" w:sz="8" w:color="auto"/>
            </w:tcBorders>
            <w:shd w:val="clear" w:color="auto" w:fill="DDDDDD"/>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78,738</w:t>
            </w: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6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980" w:type="dxa"/>
            <w:vAlign w:val="bottom"/>
            <w:tcBorders>
              <w:top w:val="single" w:sz="8" w:color="DDDDDD"/>
              <w:bottom w:val="single" w:sz="8" w:color="auto"/>
            </w:tcBorders>
          </w:tcPr>
          <w:p>
            <w:pPr>
              <w:spacing w:after="0" w:line="20" w:lineRule="exact"/>
              <w:rPr>
                <w:sz w:val="1"/>
                <w:szCs w:val="1"/>
                <w:color w:val="auto"/>
              </w:rPr>
            </w:pPr>
          </w:p>
        </w:tc>
        <w:tc>
          <w:tcPr>
            <w:tcW w:w="5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560" w:type="dxa"/>
            <w:vAlign w:val="bottom"/>
            <w:tcBorders>
              <w:top w:val="single" w:sz="8" w:color="DDDDDD"/>
              <w:bottom w:val="single" w:sz="8" w:color="auto"/>
            </w:tcBorders>
          </w:tcPr>
          <w:p>
            <w:pPr>
              <w:spacing w:after="0" w:line="20" w:lineRule="exact"/>
              <w:rPr>
                <w:sz w:val="1"/>
                <w:szCs w:val="1"/>
                <w:color w:val="auto"/>
              </w:rPr>
            </w:pPr>
          </w:p>
        </w:tc>
        <w:tc>
          <w:tcPr>
            <w:tcW w:w="1000" w:type="dxa"/>
            <w:vAlign w:val="bottom"/>
            <w:tcBorders>
              <w:top w:val="single" w:sz="8" w:color="DDDDDD"/>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September 30, 2024 and December 31, 2023, the Company had approximately $136.9 million and $124.1 million, respectively, of deferred revenue related to services billed in advance. During the three and nine months ended September 30, 2024, $13.3 million and $61.0 million, respectively, of deferred revenue billed in advance was recognized as revenue.</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does not have material contract assets, and it did not recognize any material impairments for any contract assets.</w:t>
      </w:r>
    </w:p>
    <w:p>
      <w:pPr>
        <w:spacing w:after="0" w:line="6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expedient to omit disclosure of such amounts.</w:t>
      </w:r>
    </w:p>
    <w:p>
      <w:pPr>
        <w:spacing w:after="0" w:line="19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1D2758"/>
        </w:rPr>
        <w:t>NOTE 5 - Leases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ind w:left="620"/>
              <w:spacing w:after="0"/>
              <w:rPr>
                <w:sz w:val="20"/>
                <w:szCs w:val="20"/>
                <w:color w:val="auto"/>
              </w:rPr>
            </w:pPr>
            <w:r>
              <w:rPr>
                <w:rFonts w:ascii="Arial" w:cs="Arial" w:eastAsia="Arial" w:hAnsi="Arial"/>
                <w:sz w:val="15"/>
                <w:szCs w:val="15"/>
                <w:color w:val="auto"/>
              </w:rPr>
              <w:t>As   of   September</w:t>
            </w:r>
          </w:p>
        </w:tc>
        <w:tc>
          <w:tcPr>
            <w:tcW w:w="4760" w:type="dxa"/>
            <w:vAlign w:val="bottom"/>
            <w:gridSpan w:val="2"/>
          </w:tcPr>
          <w:p>
            <w:pPr>
              <w:jc w:val="right"/>
              <w:ind w:right="40"/>
              <w:spacing w:after="0"/>
              <w:rPr>
                <w:sz w:val="20"/>
                <w:szCs w:val="20"/>
                <w:color w:val="auto"/>
              </w:rPr>
            </w:pPr>
            <w:r>
              <w:rPr>
                <w:rFonts w:ascii="Arial" w:cs="Arial" w:eastAsia="Arial" w:hAnsi="Arial"/>
                <w:sz w:val="15"/>
                <w:szCs w:val="15"/>
                <w:color w:val="auto"/>
              </w:rPr>
              <w:t>30,   2024,   the   future   lease   payments   for   operating</w:t>
            </w:r>
          </w:p>
        </w:tc>
        <w:tc>
          <w:tcPr>
            <w:tcW w:w="1740" w:type="dxa"/>
            <w:vAlign w:val="bottom"/>
            <w:gridSpan w:val="2"/>
          </w:tcPr>
          <w:p>
            <w:pPr>
              <w:ind w:left="180"/>
              <w:spacing w:after="0"/>
              <w:rPr>
                <w:sz w:val="20"/>
                <w:szCs w:val="20"/>
                <w:color w:val="auto"/>
              </w:rPr>
            </w:pPr>
            <w:r>
              <w:rPr>
                <w:rFonts w:ascii="Arial" w:cs="Arial" w:eastAsia="Arial" w:hAnsi="Arial"/>
                <w:sz w:val="15"/>
                <w:szCs w:val="15"/>
                <w:color w:val="auto"/>
              </w:rPr>
              <w:t>and   finance   lease</w:t>
            </w:r>
          </w:p>
        </w:tc>
        <w:tc>
          <w:tcPr>
            <w:tcW w:w="1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5"/>
                <w:szCs w:val="15"/>
                <w:color w:val="auto"/>
              </w:rPr>
              <w:t>liabilities   were   as   follows:</w:t>
            </w:r>
          </w:p>
        </w:tc>
      </w:tr>
      <w:tr>
        <w:trPr>
          <w:trHeight w:val="27"/>
        </w:trPr>
        <w:tc>
          <w:tcPr>
            <w:tcW w:w="22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06"/>
        </w:trPr>
        <w:tc>
          <w:tcPr>
            <w:tcW w:w="22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940" w:type="dxa"/>
            <w:vAlign w:val="bottom"/>
            <w:shd w:val="clear" w:color="auto" w:fill="1D2758"/>
          </w:tcPr>
          <w:p>
            <w:pPr>
              <w:spacing w:after="0"/>
              <w:rPr>
                <w:sz w:val="17"/>
                <w:szCs w:val="17"/>
                <w:color w:val="auto"/>
              </w:rPr>
            </w:pPr>
          </w:p>
        </w:tc>
        <w:tc>
          <w:tcPr>
            <w:tcW w:w="820" w:type="dxa"/>
            <w:vAlign w:val="bottom"/>
            <w:shd w:val="clear" w:color="auto" w:fill="1D2758"/>
          </w:tcPr>
          <w:p>
            <w:pPr>
              <w:spacing w:after="0"/>
              <w:rPr>
                <w:sz w:val="17"/>
                <w:szCs w:val="17"/>
                <w:color w:val="auto"/>
              </w:rPr>
            </w:pPr>
          </w:p>
        </w:tc>
        <w:tc>
          <w:tcPr>
            <w:tcW w:w="1740" w:type="dxa"/>
            <w:vAlign w:val="bottom"/>
            <w:gridSpan w:val="2"/>
            <w:shd w:val="clear" w:color="auto" w:fill="1D2758"/>
          </w:tcPr>
          <w:p>
            <w:pPr>
              <w:ind w:left="60"/>
              <w:spacing w:after="0"/>
              <w:rPr>
                <w:sz w:val="20"/>
                <w:szCs w:val="20"/>
                <w:color w:val="auto"/>
              </w:rPr>
            </w:pPr>
            <w:r>
              <w:rPr>
                <w:rFonts w:ascii="Arial" w:cs="Arial" w:eastAsia="Arial" w:hAnsi="Arial"/>
                <w:sz w:val="15"/>
                <w:szCs w:val="15"/>
                <w:b w:val="1"/>
                <w:bCs w:val="1"/>
                <w:color w:val="FFFFFF"/>
              </w:rPr>
              <w:t>Operating</w:t>
            </w:r>
          </w:p>
        </w:tc>
        <w:tc>
          <w:tcPr>
            <w:tcW w:w="160" w:type="dxa"/>
            <w:vAlign w:val="bottom"/>
            <w:shd w:val="clear" w:color="auto" w:fill="1D2758"/>
          </w:tcPr>
          <w:p>
            <w:pPr>
              <w:spacing w:after="0"/>
              <w:rPr>
                <w:sz w:val="17"/>
                <w:szCs w:val="17"/>
                <w:color w:val="auto"/>
              </w:rPr>
            </w:pPr>
          </w:p>
        </w:tc>
        <w:tc>
          <w:tcPr>
            <w:tcW w:w="232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Finance</w:t>
            </w:r>
          </w:p>
        </w:tc>
      </w:tr>
      <w:tr>
        <w:trPr>
          <w:trHeight w:val="206"/>
        </w:trPr>
        <w:tc>
          <w:tcPr>
            <w:tcW w:w="22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2024 (remaining)</w:t>
            </w:r>
          </w:p>
        </w:tc>
        <w:tc>
          <w:tcPr>
            <w:tcW w:w="4760" w:type="dxa"/>
            <w:vAlign w:val="bottom"/>
            <w:gridSpan w:val="2"/>
            <w:shd w:val="clear" w:color="auto" w:fill="DBDBDB"/>
          </w:tcPr>
          <w:p>
            <w:pPr>
              <w:jc w:val="right"/>
              <w:ind w:right="720"/>
              <w:spacing w:after="0"/>
              <w:rPr>
                <w:sz w:val="20"/>
                <w:szCs w:val="20"/>
                <w:color w:val="auto"/>
              </w:rPr>
            </w:pPr>
            <w:r>
              <w:rPr>
                <w:rFonts w:ascii="Arial" w:cs="Arial" w:eastAsia="Arial" w:hAnsi="Arial"/>
                <w:sz w:val="15"/>
                <w:szCs w:val="15"/>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13,853</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7,523</w:t>
            </w:r>
          </w:p>
        </w:tc>
      </w:tr>
      <w:tr>
        <w:trPr>
          <w:trHeight w:val="205"/>
        </w:trPr>
        <w:tc>
          <w:tcPr>
            <w:tcW w:w="2260" w:type="dxa"/>
            <w:vAlign w:val="bottom"/>
          </w:tcPr>
          <w:p>
            <w:pPr>
              <w:ind w:left="20"/>
              <w:spacing w:after="0"/>
              <w:rPr>
                <w:sz w:val="20"/>
                <w:szCs w:val="20"/>
                <w:color w:val="auto"/>
              </w:rPr>
            </w:pPr>
            <w:r>
              <w:rPr>
                <w:rFonts w:ascii="Arial" w:cs="Arial" w:eastAsia="Arial" w:hAnsi="Arial"/>
                <w:sz w:val="15"/>
                <w:szCs w:val="15"/>
                <w:color w:val="auto"/>
              </w:rPr>
              <w:t>2025</w:t>
            </w:r>
          </w:p>
        </w:tc>
        <w:tc>
          <w:tcPr>
            <w:tcW w:w="3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76,801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5"/>
                <w:szCs w:val="15"/>
                <w:color w:val="auto"/>
              </w:rPr>
              <w:t>28,583</w:t>
            </w:r>
          </w:p>
        </w:tc>
      </w:tr>
      <w:tr>
        <w:trPr>
          <w:trHeight w:val="207"/>
        </w:trPr>
        <w:tc>
          <w:tcPr>
            <w:tcW w:w="22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2026</w:t>
            </w:r>
          </w:p>
        </w:tc>
        <w:tc>
          <w:tcPr>
            <w:tcW w:w="39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61,389</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28,331</w:t>
            </w:r>
          </w:p>
        </w:tc>
      </w:tr>
      <w:tr>
        <w:trPr>
          <w:trHeight w:val="205"/>
        </w:trPr>
        <w:tc>
          <w:tcPr>
            <w:tcW w:w="2260" w:type="dxa"/>
            <w:vAlign w:val="bottom"/>
          </w:tcPr>
          <w:p>
            <w:pPr>
              <w:ind w:left="20"/>
              <w:spacing w:after="0"/>
              <w:rPr>
                <w:sz w:val="20"/>
                <w:szCs w:val="20"/>
                <w:color w:val="auto"/>
              </w:rPr>
            </w:pPr>
            <w:r>
              <w:rPr>
                <w:rFonts w:ascii="Arial" w:cs="Arial" w:eastAsia="Arial" w:hAnsi="Arial"/>
                <w:sz w:val="15"/>
                <w:szCs w:val="15"/>
                <w:color w:val="auto"/>
              </w:rPr>
              <w:t>2027</w:t>
            </w:r>
          </w:p>
        </w:tc>
        <w:tc>
          <w:tcPr>
            <w:tcW w:w="3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49,025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5"/>
                <w:szCs w:val="15"/>
                <w:color w:val="auto"/>
              </w:rPr>
              <w:t>25,083</w:t>
            </w:r>
          </w:p>
        </w:tc>
      </w:tr>
      <w:tr>
        <w:trPr>
          <w:trHeight w:val="207"/>
        </w:trPr>
        <w:tc>
          <w:tcPr>
            <w:tcW w:w="22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w:t>
            </w:r>
          </w:p>
        </w:tc>
        <w:tc>
          <w:tcPr>
            <w:tcW w:w="39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37,149</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27,564</w:t>
            </w:r>
          </w:p>
        </w:tc>
      </w:tr>
      <w:tr>
        <w:trPr>
          <w:trHeight w:val="205"/>
        </w:trPr>
        <w:tc>
          <w:tcPr>
            <w:tcW w:w="22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3940" w:type="dxa"/>
            <w:vAlign w:val="bottom"/>
            <w:tcBorders>
              <w:bottom w:val="single" w:sz="8" w:color="DBDBDB"/>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62,605</w:t>
            </w:r>
          </w:p>
        </w:tc>
        <w:tc>
          <w:tcPr>
            <w:tcW w:w="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38,450</w:t>
            </w:r>
          </w:p>
        </w:tc>
      </w:tr>
      <w:tr>
        <w:trPr>
          <w:trHeight w:val="200"/>
        </w:trPr>
        <w:tc>
          <w:tcPr>
            <w:tcW w:w="2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lease payments</w:t>
            </w:r>
          </w:p>
        </w:tc>
        <w:tc>
          <w:tcPr>
            <w:tcW w:w="39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300,822</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155,534</w:t>
            </w:r>
          </w:p>
        </w:tc>
      </w:tr>
      <w:tr>
        <w:trPr>
          <w:trHeight w:val="205"/>
        </w:trPr>
        <w:tc>
          <w:tcPr>
            <w:tcW w:w="22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interest</w:t>
            </w:r>
          </w:p>
        </w:tc>
        <w:tc>
          <w:tcPr>
            <w:tcW w:w="3940" w:type="dxa"/>
            <w:vAlign w:val="bottom"/>
            <w:tcBorders>
              <w:bottom w:val="single" w:sz="8" w:color="DBDBDB"/>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(42,981)</w:t>
            </w:r>
          </w:p>
        </w:tc>
        <w:tc>
          <w:tcPr>
            <w:tcW w:w="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(21,375)</w:t>
            </w:r>
          </w:p>
        </w:tc>
      </w:tr>
      <w:tr>
        <w:trPr>
          <w:trHeight w:val="219"/>
        </w:trPr>
        <w:tc>
          <w:tcPr>
            <w:tcW w:w="22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Present value of lease liabilities</w:t>
            </w:r>
          </w:p>
        </w:tc>
        <w:tc>
          <w:tcPr>
            <w:tcW w:w="4760" w:type="dxa"/>
            <w:vAlign w:val="bottom"/>
            <w:gridSpan w:val="2"/>
            <w:shd w:val="clear" w:color="auto" w:fill="DBDBDB"/>
          </w:tcPr>
          <w:p>
            <w:pPr>
              <w:jc w:val="right"/>
              <w:ind w:right="720"/>
              <w:spacing w:after="0"/>
              <w:rPr>
                <w:sz w:val="20"/>
                <w:szCs w:val="20"/>
                <w:color w:val="auto"/>
              </w:rPr>
            </w:pPr>
            <w:r>
              <w:rPr>
                <w:rFonts w:ascii="Arial" w:cs="Arial" w:eastAsia="Arial" w:hAnsi="Arial"/>
                <w:sz w:val="15"/>
                <w:szCs w:val="15"/>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257,841</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134,159</w:t>
            </w:r>
          </w:p>
        </w:tc>
      </w:tr>
      <w:tr>
        <w:trPr>
          <w:trHeight w:val="20"/>
        </w:trPr>
        <w:tc>
          <w:tcPr>
            <w:tcW w:w="2260" w:type="dxa"/>
            <w:vAlign w:val="bottom"/>
            <w:tcBorders>
              <w:top w:val="single" w:sz="8" w:color="DBDBDB"/>
            </w:tcBorders>
          </w:tcPr>
          <w:p>
            <w:pPr>
              <w:spacing w:after="0" w:line="20" w:lineRule="exact"/>
              <w:rPr>
                <w:sz w:val="1"/>
                <w:szCs w:val="1"/>
                <w:color w:val="auto"/>
              </w:rPr>
            </w:pPr>
          </w:p>
        </w:tc>
        <w:tc>
          <w:tcPr>
            <w:tcW w:w="394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Finance lease liabilities are included within long-term debt and current portion of long-term debt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ind w:left="620"/>
        <w:spacing w:after="0"/>
        <w:rPr>
          <w:sz w:val="20"/>
          <w:szCs w:val="20"/>
          <w:color w:val="auto"/>
        </w:rPr>
      </w:pPr>
      <w:r>
        <w:rPr>
          <w:rFonts w:ascii="Arial" w:cs="Arial" w:eastAsia="Arial" w:hAnsi="Arial"/>
          <w:sz w:val="15"/>
          <w:szCs w:val="15"/>
          <w:color w:val="auto"/>
        </w:rPr>
        <w:t>The Company’s lease activity during the nine months ended September 30, 2024 and 2023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80" w:type="dxa"/>
            <w:vAlign w:val="bottom"/>
            <w:shd w:val="clear" w:color="auto" w:fill="1D2758"/>
          </w:tcPr>
          <w:p>
            <w:pPr>
              <w:spacing w:after="0"/>
              <w:rPr>
                <w:sz w:val="17"/>
                <w:szCs w:val="17"/>
                <w:color w:val="auto"/>
              </w:rPr>
            </w:pPr>
          </w:p>
        </w:tc>
        <w:tc>
          <w:tcPr>
            <w:tcW w:w="4340" w:type="dxa"/>
            <w:vAlign w:val="bottom"/>
            <w:gridSpan w:val="5"/>
            <w:shd w:val="clear" w:color="auto" w:fill="1D2758"/>
          </w:tcPr>
          <w:p>
            <w:pPr>
              <w:jc w:val="right"/>
              <w:ind w:right="116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Financial Statement Line</w:t>
            </w:r>
          </w:p>
        </w:tc>
        <w:tc>
          <w:tcPr>
            <w:tcW w:w="680" w:type="dxa"/>
            <w:vAlign w:val="bottom"/>
            <w:shd w:val="clear" w:color="auto" w:fill="1D2758"/>
          </w:tcPr>
          <w:p>
            <w:pPr>
              <w:spacing w:after="0"/>
              <w:rPr>
                <w:sz w:val="17"/>
                <w:szCs w:val="17"/>
                <w:color w:val="auto"/>
              </w:rPr>
            </w:pPr>
          </w:p>
        </w:tc>
        <w:tc>
          <w:tcPr>
            <w:tcW w:w="178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2023</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Finance Lease Expense</w:t>
            </w:r>
          </w:p>
        </w:tc>
        <w:tc>
          <w:tcPr>
            <w:tcW w:w="68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900" w:type="dxa"/>
            <w:vAlign w:val="bottom"/>
            <w:shd w:val="clear" w:color="auto" w:fill="DBDBDB"/>
          </w:tcPr>
          <w:p>
            <w:pPr>
              <w:spacing w:after="0"/>
              <w:rPr>
                <w:sz w:val="17"/>
                <w:szCs w:val="17"/>
                <w:color w:val="auto"/>
              </w:rPr>
            </w:pPr>
          </w:p>
        </w:tc>
      </w:tr>
      <w:tr>
        <w:trPr>
          <w:trHeight w:val="205"/>
        </w:trPr>
        <w:tc>
          <w:tcPr>
            <w:tcW w:w="6220" w:type="dxa"/>
            <w:vAlign w:val="bottom"/>
          </w:tcPr>
          <w:p>
            <w:pPr>
              <w:ind w:left="320"/>
              <w:spacing w:after="0"/>
              <w:rPr>
                <w:sz w:val="20"/>
                <w:szCs w:val="20"/>
                <w:color w:val="auto"/>
              </w:rPr>
            </w:pPr>
            <w:r>
              <w:rPr>
                <w:rFonts w:ascii="Arial" w:cs="Arial" w:eastAsia="Arial" w:hAnsi="Arial"/>
                <w:sz w:val="15"/>
                <w:szCs w:val="15"/>
                <w:color w:val="auto"/>
              </w:rPr>
              <w:t>Amortization of finance lease assets</w:t>
            </w:r>
          </w:p>
        </w:tc>
        <w:tc>
          <w:tcPr>
            <w:tcW w:w="680" w:type="dxa"/>
            <w:vAlign w:val="bottom"/>
          </w:tcPr>
          <w:p>
            <w:pPr>
              <w:jc w:val="right"/>
              <w:ind w:right="503"/>
              <w:spacing w:after="0"/>
              <w:rPr>
                <w:sz w:val="20"/>
                <w:szCs w:val="20"/>
                <w:color w:val="auto"/>
              </w:rPr>
            </w:pPr>
            <w:r>
              <w:rPr>
                <w:rFonts w:ascii="Arial" w:cs="Arial" w:eastAsia="Arial" w:hAnsi="Arial"/>
                <w:sz w:val="15"/>
                <w:szCs w:val="15"/>
                <w:color w:val="auto"/>
                <w:w w:val="95"/>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10,355</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11,976</w:t>
            </w:r>
          </w:p>
        </w:tc>
      </w:tr>
      <w:tr>
        <w:trPr>
          <w:trHeight w:val="206"/>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Interest on obligations under finance leases</w:t>
            </w:r>
          </w:p>
        </w:tc>
        <w:tc>
          <w:tcPr>
            <w:tcW w:w="680" w:type="dxa"/>
            <w:vAlign w:val="bottom"/>
            <w:tcBorders>
              <w:bottom w:val="single" w:sz="8" w:color="auto"/>
            </w:tcBorders>
            <w:shd w:val="clear" w:color="auto" w:fill="DBDBDB"/>
          </w:tcPr>
          <w:p>
            <w:pPr>
              <w:spacing w:after="0"/>
              <w:rPr>
                <w:sz w:val="17"/>
                <w:szCs w:val="17"/>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4,679</w:t>
            </w:r>
          </w:p>
        </w:tc>
        <w:tc>
          <w:tcPr>
            <w:tcW w:w="8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2,571</w:t>
            </w:r>
          </w:p>
        </w:tc>
      </w:tr>
      <w:tr>
        <w:trPr>
          <w:trHeight w:val="200"/>
        </w:trPr>
        <w:tc>
          <w:tcPr>
            <w:tcW w:w="6220" w:type="dxa"/>
            <w:vAlign w:val="bottom"/>
          </w:tcPr>
          <w:p>
            <w:pPr>
              <w:ind w:left="20"/>
              <w:spacing w:after="0"/>
              <w:rPr>
                <w:sz w:val="20"/>
                <w:szCs w:val="20"/>
                <w:color w:val="auto"/>
              </w:rPr>
            </w:pPr>
            <w:r>
              <w:rPr>
                <w:rFonts w:ascii="Arial" w:cs="Arial" w:eastAsia="Arial" w:hAnsi="Arial"/>
                <w:sz w:val="15"/>
                <w:szCs w:val="15"/>
                <w:color w:val="auto"/>
              </w:rPr>
              <w:t>Total finance lease expense</w:t>
            </w: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15,034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14,547</w:t>
            </w: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11"/>
        </w:trPr>
        <w:tc>
          <w:tcPr>
            <w:tcW w:w="622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Operating Lease Expense</w:t>
            </w: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Fixed lease expense</w:t>
            </w: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680" w:type="dxa"/>
            <w:vAlign w:val="bottom"/>
          </w:tcPr>
          <w:p>
            <w:pPr>
              <w:jc w:val="right"/>
              <w:ind w:right="503"/>
              <w:spacing w:after="0"/>
              <w:rPr>
                <w:sz w:val="20"/>
                <w:szCs w:val="20"/>
                <w:color w:val="auto"/>
              </w:rPr>
            </w:pPr>
            <w:r>
              <w:rPr>
                <w:rFonts w:ascii="Arial" w:cs="Arial" w:eastAsia="Arial" w:hAnsi="Arial"/>
                <w:sz w:val="15"/>
                <w:szCs w:val="15"/>
                <w:color w:val="auto"/>
                <w:w w:val="95"/>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860</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1,013</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59,396</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49,327</w:t>
            </w: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6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Short-term lease expense</w:t>
            </w: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6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21,586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18,631</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1,524</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1,353</w:t>
            </w: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680" w:type="dxa"/>
            <w:vAlign w:val="bottom"/>
          </w:tcPr>
          <w:p>
            <w:pPr>
              <w:spacing w:after="0"/>
              <w:rPr>
                <w:sz w:val="17"/>
                <w:szCs w:val="17"/>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Variable lease expense</w:t>
            </w: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6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739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1,865</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7,732</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7,028</w:t>
            </w:r>
          </w:p>
        </w:tc>
      </w:tr>
      <w:tr>
        <w:trPr>
          <w:trHeight w:val="205"/>
        </w:trPr>
        <w:tc>
          <w:tcPr>
            <w:tcW w:w="6220" w:type="dxa"/>
            <w:vAlign w:val="bottom"/>
            <w:tcBorders>
              <w:bottom w:val="single" w:sz="8" w:color="DBDBDB"/>
            </w:tcBorders>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6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836</w:t>
            </w:r>
          </w:p>
        </w:tc>
        <w:tc>
          <w:tcPr>
            <w:tcW w:w="8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operating lease expense</w:t>
            </w:r>
          </w:p>
        </w:tc>
        <w:tc>
          <w:tcPr>
            <w:tcW w:w="680" w:type="dxa"/>
            <w:vAlign w:val="bottom"/>
            <w:tcBorders>
              <w:bottom w:val="single" w:sz="8" w:color="auto"/>
            </w:tcBorders>
            <w:shd w:val="clear" w:color="auto" w:fill="DBDBDB"/>
          </w:tcPr>
          <w:p>
            <w:pPr>
              <w:jc w:val="right"/>
              <w:ind w:right="503"/>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92,704</w:t>
            </w:r>
          </w:p>
        </w:tc>
        <w:tc>
          <w:tcPr>
            <w:tcW w:w="8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DBDBDB"/>
          </w:tcPr>
          <w:p>
            <w:pPr>
              <w:spacing w:after="0"/>
              <w:rPr>
                <w:sz w:val="19"/>
                <w:szCs w:val="19"/>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79,239</w:t>
            </w: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gridSpan w:val="2"/>
          </w:tcPr>
          <w:p>
            <w:pPr>
              <w:spacing w:after="0" w:line="20" w:lineRule="exact"/>
              <w:rPr>
                <w:sz w:val="1"/>
                <w:szCs w:val="1"/>
                <w:color w:val="auto"/>
              </w:rPr>
            </w:pPr>
          </w:p>
        </w:tc>
        <w:tc>
          <w:tcPr>
            <w:tcW w:w="1900" w:type="dxa"/>
            <w:vAlign w:val="bottom"/>
            <w:tcBorders>
              <w:top w:val="single" w:sz="8" w:color="DBDBDB"/>
              <w:bottom w:val="single" w:sz="8" w:color="auto"/>
            </w:tcBorders>
          </w:tcPr>
          <w:p>
            <w:pPr>
              <w:spacing w:after="0" w:line="20" w:lineRule="exact"/>
              <w:rPr>
                <w:sz w:val="1"/>
                <w:szCs w:val="1"/>
                <w:color w:val="auto"/>
              </w:rPr>
            </w:pPr>
          </w:p>
        </w:tc>
      </w:tr>
      <w:tr>
        <w:trPr>
          <w:trHeight w:val="486"/>
        </w:trPr>
        <w:tc>
          <w:tcPr>
            <w:tcW w:w="9340" w:type="dxa"/>
            <w:vAlign w:val="bottom"/>
            <w:gridSpan w:val="6"/>
          </w:tcPr>
          <w:p>
            <w:pPr>
              <w:ind w:left="620"/>
              <w:spacing w:after="0"/>
              <w:rPr>
                <w:sz w:val="20"/>
                <w:szCs w:val="20"/>
                <w:color w:val="auto"/>
              </w:rPr>
            </w:pPr>
            <w:r>
              <w:rPr>
                <w:rFonts w:ascii="Arial" w:cs="Arial" w:eastAsia="Arial" w:hAnsi="Arial"/>
                <w:sz w:val="15"/>
                <w:szCs w:val="15"/>
                <w:color w:val="auto"/>
              </w:rPr>
              <w:t>Supplemental cash flow information related to leases for the nine months ended September 30, 2024 and 2023 was as follows:</w:t>
            </w:r>
          </w:p>
        </w:tc>
        <w:tc>
          <w:tcPr>
            <w:tcW w:w="1900" w:type="dxa"/>
            <w:vAlign w:val="bottom"/>
          </w:tcPr>
          <w:p>
            <w:pPr>
              <w:spacing w:after="0"/>
              <w:rPr>
                <w:sz w:val="24"/>
                <w:szCs w:val="24"/>
                <w:color w:val="auto"/>
              </w:rPr>
            </w:pPr>
          </w:p>
        </w:tc>
      </w:tr>
      <w:tr>
        <w:trPr>
          <w:trHeight w:val="79"/>
        </w:trPr>
        <w:tc>
          <w:tcPr>
            <w:tcW w:w="6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340" w:type="dxa"/>
            <w:vAlign w:val="bottom"/>
            <w:gridSpan w:val="5"/>
          </w:tcPr>
          <w:p>
            <w:pPr>
              <w:spacing w:after="0"/>
              <w:rPr>
                <w:sz w:val="6"/>
                <w:szCs w:val="6"/>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80" w:type="dxa"/>
            <w:vAlign w:val="bottom"/>
            <w:shd w:val="clear" w:color="auto" w:fill="1D2758"/>
          </w:tcPr>
          <w:p>
            <w:pPr>
              <w:spacing w:after="0"/>
              <w:rPr>
                <w:sz w:val="17"/>
                <w:szCs w:val="17"/>
                <w:color w:val="auto"/>
              </w:rPr>
            </w:pPr>
          </w:p>
        </w:tc>
        <w:tc>
          <w:tcPr>
            <w:tcW w:w="4340" w:type="dxa"/>
            <w:vAlign w:val="bottom"/>
            <w:gridSpan w:val="5"/>
            <w:shd w:val="clear" w:color="auto" w:fill="1D2758"/>
          </w:tcPr>
          <w:p>
            <w:pPr>
              <w:jc w:val="right"/>
              <w:ind w:right="90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Supplemental Cash Flow Information</w:t>
            </w:r>
          </w:p>
        </w:tc>
        <w:tc>
          <w:tcPr>
            <w:tcW w:w="680" w:type="dxa"/>
            <w:vAlign w:val="bottom"/>
            <w:shd w:val="clear" w:color="auto" w:fill="1D2758"/>
          </w:tcPr>
          <w:p>
            <w:pPr>
              <w:spacing w:after="0"/>
              <w:rPr>
                <w:sz w:val="17"/>
                <w:szCs w:val="17"/>
                <w:color w:val="auto"/>
              </w:rPr>
            </w:pPr>
          </w:p>
        </w:tc>
        <w:tc>
          <w:tcPr>
            <w:tcW w:w="178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2023</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the amounts included in the measurement of lease liabilities:</w:t>
            </w:r>
          </w:p>
        </w:tc>
        <w:tc>
          <w:tcPr>
            <w:tcW w:w="68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900" w:type="dxa"/>
            <w:vAlign w:val="bottom"/>
            <w:shd w:val="clear" w:color="auto" w:fill="DBDBDB"/>
          </w:tcPr>
          <w:p>
            <w:pPr>
              <w:spacing w:after="0"/>
              <w:rPr>
                <w:sz w:val="17"/>
                <w:szCs w:val="17"/>
                <w:color w:val="auto"/>
              </w:rPr>
            </w:pPr>
          </w:p>
        </w:tc>
      </w:tr>
      <w:tr>
        <w:trPr>
          <w:trHeight w:val="205"/>
        </w:trPr>
        <w:tc>
          <w:tcPr>
            <w:tcW w:w="6220" w:type="dxa"/>
            <w:vAlign w:val="bottom"/>
          </w:tcPr>
          <w:p>
            <w:pPr>
              <w:ind w:left="120"/>
              <w:spacing w:after="0"/>
              <w:rPr>
                <w:sz w:val="20"/>
                <w:szCs w:val="20"/>
                <w:color w:val="auto"/>
              </w:rPr>
            </w:pPr>
            <w:r>
              <w:rPr>
                <w:rFonts w:ascii="Arial" w:cs="Arial" w:eastAsia="Arial" w:hAnsi="Arial"/>
                <w:sz w:val="15"/>
                <w:szCs w:val="15"/>
                <w:color w:val="auto"/>
              </w:rPr>
              <w:t>Operating cash outflows from operating leases</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60" w:type="dxa"/>
            <w:vAlign w:val="bottom"/>
            <w:gridSpan w:val="3"/>
          </w:tcPr>
          <w:p>
            <w:pPr>
              <w:jc w:val="right"/>
              <w:ind w:right="23"/>
              <w:spacing w:after="0"/>
              <w:rPr>
                <w:sz w:val="20"/>
                <w:szCs w:val="20"/>
                <w:color w:val="auto"/>
              </w:rPr>
            </w:pPr>
            <w:r>
              <w:rPr>
                <w:rFonts w:ascii="Arial" w:cs="Arial" w:eastAsia="Arial" w:hAnsi="Arial"/>
                <w:sz w:val="15"/>
                <w:szCs w:val="15"/>
                <w:color w:val="auto"/>
              </w:rPr>
              <w:t>59,847</w:t>
            </w:r>
          </w:p>
        </w:tc>
        <w:tc>
          <w:tcPr>
            <w:tcW w:w="3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50,495</w:t>
            </w:r>
          </w:p>
        </w:tc>
      </w:tr>
      <w:tr>
        <w:trPr>
          <w:trHeight w:val="207"/>
        </w:trPr>
        <w:tc>
          <w:tcPr>
            <w:tcW w:w="622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Operating cash outflows from finance leases</w:t>
            </w:r>
          </w:p>
        </w:tc>
        <w:tc>
          <w:tcPr>
            <w:tcW w:w="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60" w:type="dxa"/>
            <w:vAlign w:val="bottom"/>
            <w:gridSpan w:val="3"/>
            <w:shd w:val="clear" w:color="auto" w:fill="DBDBDB"/>
          </w:tcPr>
          <w:p>
            <w:pPr>
              <w:jc w:val="right"/>
              <w:ind w:right="23"/>
              <w:spacing w:after="0"/>
              <w:rPr>
                <w:sz w:val="20"/>
                <w:szCs w:val="20"/>
                <w:color w:val="auto"/>
              </w:rPr>
            </w:pPr>
            <w:r>
              <w:rPr>
                <w:rFonts w:ascii="Arial" w:cs="Arial" w:eastAsia="Arial" w:hAnsi="Arial"/>
                <w:sz w:val="15"/>
                <w:szCs w:val="15"/>
                <w:color w:val="auto"/>
              </w:rPr>
              <w:t>4,621</w:t>
            </w:r>
          </w:p>
        </w:tc>
        <w:tc>
          <w:tcPr>
            <w:tcW w:w="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2,515</w:t>
            </w:r>
          </w:p>
        </w:tc>
      </w:tr>
      <w:tr>
        <w:trPr>
          <w:trHeight w:val="205"/>
        </w:trPr>
        <w:tc>
          <w:tcPr>
            <w:tcW w:w="6220" w:type="dxa"/>
            <w:vAlign w:val="bottom"/>
          </w:tcPr>
          <w:p>
            <w:pPr>
              <w:ind w:left="120"/>
              <w:spacing w:after="0"/>
              <w:rPr>
                <w:sz w:val="20"/>
                <w:szCs w:val="20"/>
                <w:color w:val="auto"/>
              </w:rPr>
            </w:pPr>
            <w:r>
              <w:rPr>
                <w:rFonts w:ascii="Arial" w:cs="Arial" w:eastAsia="Arial" w:hAnsi="Arial"/>
                <w:sz w:val="15"/>
                <w:szCs w:val="15"/>
                <w:color w:val="auto"/>
              </w:rPr>
              <w:t>Financing cash outflows from finance leases</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60" w:type="dxa"/>
            <w:vAlign w:val="bottom"/>
            <w:gridSpan w:val="3"/>
          </w:tcPr>
          <w:p>
            <w:pPr>
              <w:jc w:val="right"/>
              <w:ind w:right="23"/>
              <w:spacing w:after="0"/>
              <w:rPr>
                <w:sz w:val="20"/>
                <w:szCs w:val="20"/>
                <w:color w:val="auto"/>
              </w:rPr>
            </w:pPr>
            <w:r>
              <w:rPr>
                <w:rFonts w:ascii="Arial" w:cs="Arial" w:eastAsia="Arial" w:hAnsi="Arial"/>
                <w:sz w:val="15"/>
                <w:szCs w:val="15"/>
                <w:color w:val="auto"/>
              </w:rPr>
              <w:t>14,815</w:t>
            </w:r>
          </w:p>
        </w:tc>
        <w:tc>
          <w:tcPr>
            <w:tcW w:w="3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12,425</w:t>
            </w:r>
          </w:p>
        </w:tc>
      </w:tr>
      <w:tr>
        <w:trPr>
          <w:trHeight w:val="246"/>
        </w:trPr>
        <w:tc>
          <w:tcPr>
            <w:tcW w:w="6220" w:type="dxa"/>
            <w:vAlign w:val="bottom"/>
            <w:shd w:val="clear" w:color="auto" w:fill="DBDBDB"/>
          </w:tcPr>
          <w:p>
            <w:pPr>
              <w:spacing w:after="0"/>
              <w:rPr>
                <w:sz w:val="21"/>
                <w:szCs w:val="21"/>
                <w:color w:val="auto"/>
              </w:rPr>
            </w:pPr>
          </w:p>
        </w:tc>
        <w:tc>
          <w:tcPr>
            <w:tcW w:w="680" w:type="dxa"/>
            <w:vAlign w:val="bottom"/>
            <w:shd w:val="clear" w:color="auto" w:fill="DBDBDB"/>
          </w:tcPr>
          <w:p>
            <w:pPr>
              <w:spacing w:after="0"/>
              <w:rPr>
                <w:sz w:val="21"/>
                <w:szCs w:val="21"/>
                <w:color w:val="auto"/>
              </w:rPr>
            </w:pPr>
          </w:p>
        </w:tc>
        <w:tc>
          <w:tcPr>
            <w:tcW w:w="2060" w:type="dxa"/>
            <w:vAlign w:val="bottom"/>
            <w:gridSpan w:val="3"/>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900" w:type="dxa"/>
            <w:vAlign w:val="bottom"/>
            <w:shd w:val="clear" w:color="auto" w:fill="DBDBDB"/>
          </w:tcPr>
          <w:p>
            <w:pPr>
              <w:spacing w:after="0"/>
              <w:rPr>
                <w:sz w:val="21"/>
                <w:szCs w:val="21"/>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Right of use assets obtained in exchange for lease obligations</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60" w:type="dxa"/>
            <w:vAlign w:val="bottom"/>
            <w:gridSpan w:val="3"/>
          </w:tcPr>
          <w:p>
            <w:pPr>
              <w:jc w:val="right"/>
              <w:ind w:right="23"/>
              <w:spacing w:after="0"/>
              <w:rPr>
                <w:sz w:val="20"/>
                <w:szCs w:val="20"/>
                <w:color w:val="auto"/>
              </w:rPr>
            </w:pPr>
            <w:r>
              <w:rPr>
                <w:rFonts w:ascii="Arial" w:cs="Arial" w:eastAsia="Arial" w:hAnsi="Arial"/>
                <w:sz w:val="15"/>
                <w:szCs w:val="15"/>
                <w:color w:val="auto"/>
              </w:rPr>
              <w:t>63,599</w:t>
            </w:r>
          </w:p>
        </w:tc>
        <w:tc>
          <w:tcPr>
            <w:tcW w:w="3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78,969</w:t>
            </w:r>
          </w:p>
        </w:tc>
      </w:tr>
      <w:tr>
        <w:trPr>
          <w:trHeight w:val="207"/>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 obtained in exchange for finance leases</w:t>
            </w:r>
          </w:p>
        </w:tc>
        <w:tc>
          <w:tcPr>
            <w:tcW w:w="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60" w:type="dxa"/>
            <w:vAlign w:val="bottom"/>
            <w:gridSpan w:val="3"/>
            <w:shd w:val="clear" w:color="auto" w:fill="DBDBDB"/>
          </w:tcPr>
          <w:p>
            <w:pPr>
              <w:jc w:val="right"/>
              <w:ind w:right="23"/>
              <w:spacing w:after="0"/>
              <w:rPr>
                <w:sz w:val="20"/>
                <w:szCs w:val="20"/>
                <w:color w:val="auto"/>
              </w:rPr>
            </w:pPr>
            <w:r>
              <w:rPr>
                <w:rFonts w:ascii="Arial" w:cs="Arial" w:eastAsia="Arial" w:hAnsi="Arial"/>
                <w:sz w:val="15"/>
                <w:szCs w:val="15"/>
                <w:color w:val="auto"/>
              </w:rPr>
              <w:t>31,907</w:t>
            </w:r>
          </w:p>
        </w:tc>
        <w:tc>
          <w:tcPr>
            <w:tcW w:w="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38,534</w:t>
            </w:r>
          </w:p>
        </w:tc>
      </w:tr>
      <w:tr>
        <w:trPr>
          <w:trHeight w:val="362"/>
        </w:trPr>
        <w:tc>
          <w:tcPr>
            <w:tcW w:w="11240" w:type="dxa"/>
            <w:vAlign w:val="bottom"/>
            <w:gridSpan w:val="7"/>
          </w:tcPr>
          <w:p>
            <w:pPr>
              <w:ind w:left="620"/>
              <w:spacing w:after="0"/>
              <w:rPr>
                <w:sz w:val="20"/>
                <w:szCs w:val="20"/>
                <w:color w:val="auto"/>
              </w:rPr>
            </w:pPr>
            <w:r>
              <w:rPr>
                <w:rFonts w:ascii="Arial" w:cs="Arial" w:eastAsia="Arial" w:hAnsi="Arial"/>
                <w:sz w:val="15"/>
                <w:szCs w:val="15"/>
                <w:color w:val="auto"/>
              </w:rPr>
              <w:t>Weighted average remaining operating lease terms and the weighted average discount rates as of September 30, 2024 and December 31, 2023 were as</w:t>
            </w:r>
          </w:p>
        </w:tc>
      </w:tr>
      <w:tr>
        <w:trPr>
          <w:trHeight w:val="204"/>
        </w:trPr>
        <w:tc>
          <w:tcPr>
            <w:tcW w:w="6220" w:type="dxa"/>
            <w:vAlign w:val="bottom"/>
          </w:tcPr>
          <w:p>
            <w:pPr>
              <w:spacing w:after="0"/>
              <w:rPr>
                <w:sz w:val="20"/>
                <w:szCs w:val="20"/>
                <w:color w:val="auto"/>
              </w:rPr>
            </w:pPr>
            <w:r>
              <w:rPr>
                <w:rFonts w:ascii="Arial" w:cs="Arial" w:eastAsia="Arial" w:hAnsi="Arial"/>
                <w:sz w:val="15"/>
                <w:szCs w:val="15"/>
                <w:color w:val="auto"/>
              </w:rPr>
              <w:t>follows:</w:t>
            </w: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6"/>
        </w:trPr>
        <w:tc>
          <w:tcPr>
            <w:tcW w:w="6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6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Lease Terms and Discount Rates</w:t>
            </w:r>
          </w:p>
        </w:tc>
        <w:tc>
          <w:tcPr>
            <w:tcW w:w="680" w:type="dxa"/>
            <w:vAlign w:val="bottom"/>
            <w:shd w:val="clear" w:color="auto" w:fill="1D2758"/>
          </w:tcPr>
          <w:p>
            <w:pPr>
              <w:spacing w:after="0"/>
              <w:rPr>
                <w:sz w:val="17"/>
                <w:szCs w:val="17"/>
                <w:color w:val="auto"/>
              </w:rPr>
            </w:pPr>
          </w:p>
        </w:tc>
        <w:tc>
          <w:tcPr>
            <w:tcW w:w="186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September 30, 2024</w:t>
            </w:r>
          </w:p>
        </w:tc>
        <w:tc>
          <w:tcPr>
            <w:tcW w:w="2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2023</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remaining lease term - operating leases</w:t>
            </w:r>
          </w:p>
        </w:tc>
        <w:tc>
          <w:tcPr>
            <w:tcW w:w="680" w:type="dxa"/>
            <w:vAlign w:val="bottom"/>
            <w:shd w:val="clear" w:color="auto" w:fill="DBDBDB"/>
          </w:tcPr>
          <w:p>
            <w:pPr>
              <w:spacing w:after="0"/>
              <w:rPr>
                <w:sz w:val="17"/>
                <w:szCs w:val="17"/>
                <w:color w:val="auto"/>
              </w:rPr>
            </w:pPr>
          </w:p>
        </w:tc>
        <w:tc>
          <w:tcPr>
            <w:tcW w:w="2060" w:type="dxa"/>
            <w:vAlign w:val="bottom"/>
            <w:gridSpan w:val="3"/>
            <w:shd w:val="clear" w:color="auto" w:fill="DBDBDB"/>
          </w:tcPr>
          <w:p>
            <w:pPr>
              <w:jc w:val="right"/>
              <w:ind w:right="43"/>
              <w:spacing w:after="0"/>
              <w:rPr>
                <w:sz w:val="20"/>
                <w:szCs w:val="20"/>
                <w:color w:val="auto"/>
              </w:rPr>
            </w:pPr>
            <w:r>
              <w:rPr>
                <w:rFonts w:ascii="Arial" w:cs="Arial" w:eastAsia="Arial" w:hAnsi="Arial"/>
                <w:sz w:val="15"/>
                <w:szCs w:val="15"/>
                <w:color w:val="auto"/>
              </w:rPr>
              <w:t>5.1 years</w:t>
            </w:r>
          </w:p>
        </w:tc>
        <w:tc>
          <w:tcPr>
            <w:tcW w:w="380" w:type="dxa"/>
            <w:vAlign w:val="bottom"/>
            <w:shd w:val="clear" w:color="auto" w:fill="DBDBDB"/>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 years</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Weighted average discount rate - operating leases</w:t>
            </w:r>
          </w:p>
        </w:tc>
        <w:tc>
          <w:tcPr>
            <w:tcW w:w="680" w:type="dxa"/>
            <w:vAlign w:val="bottom"/>
          </w:tcPr>
          <w:p>
            <w:pPr>
              <w:spacing w:after="0"/>
              <w:rPr>
                <w:sz w:val="17"/>
                <w:szCs w:val="17"/>
                <w:color w:val="auto"/>
              </w:rPr>
            </w:pPr>
          </w:p>
        </w:tc>
        <w:tc>
          <w:tcPr>
            <w:tcW w:w="2060" w:type="dxa"/>
            <w:vAlign w:val="bottom"/>
            <w:gridSpan w:val="3"/>
          </w:tcPr>
          <w:p>
            <w:pPr>
              <w:jc w:val="right"/>
              <w:ind w:right="43"/>
              <w:spacing w:after="0"/>
              <w:rPr>
                <w:sz w:val="20"/>
                <w:szCs w:val="20"/>
                <w:color w:val="auto"/>
              </w:rPr>
            </w:pPr>
            <w:r>
              <w:rPr>
                <w:rFonts w:ascii="Arial" w:cs="Arial" w:eastAsia="Arial" w:hAnsi="Arial"/>
                <w:sz w:val="15"/>
                <w:szCs w:val="15"/>
                <w:color w:val="auto"/>
              </w:rPr>
              <w:t>5.9 %</w:t>
            </w: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5.9 %</w:t>
            </w:r>
          </w:p>
        </w:tc>
      </w:tr>
      <w:tr>
        <w:trPr>
          <w:trHeight w:val="207"/>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remaining lease term - finance leases</w:t>
            </w:r>
          </w:p>
        </w:tc>
        <w:tc>
          <w:tcPr>
            <w:tcW w:w="680" w:type="dxa"/>
            <w:vAlign w:val="bottom"/>
            <w:shd w:val="clear" w:color="auto" w:fill="DBDBDB"/>
          </w:tcPr>
          <w:p>
            <w:pPr>
              <w:spacing w:after="0"/>
              <w:rPr>
                <w:sz w:val="18"/>
                <w:szCs w:val="18"/>
                <w:color w:val="auto"/>
              </w:rPr>
            </w:pPr>
          </w:p>
        </w:tc>
        <w:tc>
          <w:tcPr>
            <w:tcW w:w="2060" w:type="dxa"/>
            <w:vAlign w:val="bottom"/>
            <w:gridSpan w:val="3"/>
            <w:shd w:val="clear" w:color="auto" w:fill="DBDBDB"/>
          </w:tcPr>
          <w:p>
            <w:pPr>
              <w:jc w:val="right"/>
              <w:ind w:right="43"/>
              <w:spacing w:after="0"/>
              <w:rPr>
                <w:sz w:val="20"/>
                <w:szCs w:val="20"/>
                <w:color w:val="auto"/>
              </w:rPr>
            </w:pPr>
            <w:r>
              <w:rPr>
                <w:rFonts w:ascii="Arial" w:cs="Arial" w:eastAsia="Arial" w:hAnsi="Arial"/>
                <w:sz w:val="15"/>
                <w:szCs w:val="15"/>
                <w:color w:val="auto"/>
              </w:rPr>
              <w:t>4.8 years</w:t>
            </w: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 years</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Weighted average discount rate - finance leases</w:t>
            </w:r>
          </w:p>
        </w:tc>
        <w:tc>
          <w:tcPr>
            <w:tcW w:w="680" w:type="dxa"/>
            <w:vAlign w:val="bottom"/>
          </w:tcPr>
          <w:p>
            <w:pPr>
              <w:spacing w:after="0"/>
              <w:rPr>
                <w:sz w:val="17"/>
                <w:szCs w:val="17"/>
                <w:color w:val="auto"/>
              </w:rPr>
            </w:pPr>
          </w:p>
        </w:tc>
        <w:tc>
          <w:tcPr>
            <w:tcW w:w="2060" w:type="dxa"/>
            <w:vAlign w:val="bottom"/>
            <w:gridSpan w:val="3"/>
          </w:tcPr>
          <w:p>
            <w:pPr>
              <w:jc w:val="right"/>
              <w:ind w:right="43"/>
              <w:spacing w:after="0"/>
              <w:rPr>
                <w:sz w:val="20"/>
                <w:szCs w:val="20"/>
                <w:color w:val="auto"/>
              </w:rPr>
            </w:pPr>
            <w:r>
              <w:rPr>
                <w:rFonts w:ascii="Arial" w:cs="Arial" w:eastAsia="Arial" w:hAnsi="Arial"/>
                <w:sz w:val="15"/>
                <w:szCs w:val="15"/>
                <w:color w:val="auto"/>
              </w:rPr>
              <w:t>5.1 %</w:t>
            </w: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4.8 %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1D2758"/>
        </w:rPr>
        <w:t>NOTE 6 - Inventories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Inventories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20"/>
                <w:szCs w:val="20"/>
                <w:color w:val="auto"/>
              </w:rPr>
            </w:pPr>
          </w:p>
        </w:tc>
        <w:tc>
          <w:tcPr>
            <w:tcW w:w="2060" w:type="dxa"/>
            <w:vAlign w:val="bottom"/>
            <w:gridSpan w:val="2"/>
            <w:vMerge w:val="restart"/>
            <w:shd w:val="clear" w:color="auto" w:fill="1D2758"/>
          </w:tcPr>
          <w:p>
            <w:pPr>
              <w:ind w:left="140"/>
              <w:spacing w:after="0"/>
              <w:rPr>
                <w:sz w:val="20"/>
                <w:szCs w:val="20"/>
                <w:color w:val="auto"/>
              </w:rPr>
            </w:pPr>
            <w:r>
              <w:rPr>
                <w:rFonts w:ascii="Arial" w:cs="Arial" w:eastAsia="Arial" w:hAnsi="Arial"/>
                <w:sz w:val="15"/>
                <w:szCs w:val="15"/>
                <w:b w:val="1"/>
                <w:bCs w:val="1"/>
                <w:color w:val="FFFFFF"/>
              </w:rPr>
              <w:t>September 30, 2024</w:t>
            </w:r>
          </w:p>
        </w:tc>
        <w:tc>
          <w:tcPr>
            <w:tcW w:w="260" w:type="dxa"/>
            <w:vAlign w:val="bottom"/>
            <w:shd w:val="clear" w:color="auto" w:fill="1D2758"/>
          </w:tcPr>
          <w:p>
            <w:pPr>
              <w:spacing w:after="0"/>
              <w:rPr>
                <w:sz w:val="20"/>
                <w:szCs w:val="20"/>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2023</w:t>
            </w:r>
          </w:p>
        </w:tc>
        <w:tc>
          <w:tcPr>
            <w:tcW w:w="0" w:type="dxa"/>
            <w:vAlign w:val="bottom"/>
          </w:tcPr>
          <w:p>
            <w:pPr>
              <w:spacing w:after="0"/>
              <w:rPr>
                <w:sz w:val="1"/>
                <w:szCs w:val="1"/>
                <w:color w:val="auto"/>
              </w:rPr>
            </w:pPr>
          </w:p>
        </w:tc>
      </w:tr>
      <w:tr>
        <w:trPr>
          <w:trHeight w:val="65"/>
        </w:trPr>
        <w:tc>
          <w:tcPr>
            <w:tcW w:w="6720" w:type="dxa"/>
            <w:vAlign w:val="bottom"/>
            <w:shd w:val="clear" w:color="auto" w:fill="1D2758"/>
          </w:tcPr>
          <w:p>
            <w:pPr>
              <w:spacing w:after="0"/>
              <w:rPr>
                <w:sz w:val="5"/>
                <w:szCs w:val="5"/>
                <w:color w:val="auto"/>
              </w:rPr>
            </w:pPr>
          </w:p>
        </w:tc>
        <w:tc>
          <w:tcPr>
            <w:tcW w:w="240" w:type="dxa"/>
            <w:vAlign w:val="bottom"/>
            <w:shd w:val="clear" w:color="auto" w:fill="1D2758"/>
          </w:tcPr>
          <w:p>
            <w:pPr>
              <w:spacing w:after="0"/>
              <w:rPr>
                <w:sz w:val="5"/>
                <w:szCs w:val="5"/>
                <w:color w:val="auto"/>
              </w:rPr>
            </w:pPr>
          </w:p>
        </w:tc>
        <w:tc>
          <w:tcPr>
            <w:tcW w:w="2060" w:type="dxa"/>
            <w:vAlign w:val="bottom"/>
            <w:gridSpan w:val="2"/>
            <w:vMerge w:val="continue"/>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6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42,276</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43,071</w:t>
            </w:r>
          </w:p>
        </w:tc>
        <w:tc>
          <w:tcPr>
            <w:tcW w:w="0" w:type="dxa"/>
            <w:vAlign w:val="bottom"/>
          </w:tcPr>
          <w:p>
            <w:pPr>
              <w:spacing w:after="0"/>
              <w:rPr>
                <w:sz w:val="1"/>
                <w:szCs w:val="1"/>
                <w:color w:val="auto"/>
              </w:rPr>
            </w:pPr>
          </w:p>
        </w:tc>
      </w:tr>
      <w:tr>
        <w:trPr>
          <w:trHeight w:val="205"/>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10,300</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4,335</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52,576</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47,406</w:t>
            </w:r>
          </w:p>
        </w:tc>
        <w:tc>
          <w:tcPr>
            <w:tcW w:w="0" w:type="dxa"/>
            <w:vAlign w:val="bottom"/>
          </w:tcPr>
          <w:p>
            <w:pPr>
              <w:spacing w:after="0"/>
              <w:rPr>
                <w:sz w:val="1"/>
                <w:szCs w:val="1"/>
                <w:color w:val="auto"/>
              </w:rPr>
            </w:pPr>
          </w:p>
        </w:tc>
      </w:tr>
      <w:tr>
        <w:trPr>
          <w:trHeight w:val="20"/>
        </w:trPr>
        <w:tc>
          <w:tcPr>
            <w:tcW w:w="67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7 - Rental Equipment</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20"/>
                <w:szCs w:val="20"/>
                <w:color w:val="auto"/>
              </w:rPr>
            </w:pPr>
          </w:p>
        </w:tc>
        <w:tc>
          <w:tcPr>
            <w:tcW w:w="2060" w:type="dxa"/>
            <w:vAlign w:val="bottom"/>
            <w:gridSpan w:val="2"/>
            <w:vMerge w:val="restart"/>
            <w:shd w:val="clear" w:color="auto" w:fill="1D2758"/>
          </w:tcPr>
          <w:p>
            <w:pPr>
              <w:ind w:left="140"/>
              <w:spacing w:after="0"/>
              <w:rPr>
                <w:sz w:val="20"/>
                <w:szCs w:val="20"/>
                <w:color w:val="auto"/>
              </w:rPr>
            </w:pPr>
            <w:r>
              <w:rPr>
                <w:rFonts w:ascii="Arial" w:cs="Arial" w:eastAsia="Arial" w:hAnsi="Arial"/>
                <w:sz w:val="15"/>
                <w:szCs w:val="15"/>
                <w:b w:val="1"/>
                <w:bCs w:val="1"/>
                <w:color w:val="FFFFFF"/>
              </w:rPr>
              <w:t>September 30, 2024</w:t>
            </w:r>
          </w:p>
        </w:tc>
        <w:tc>
          <w:tcPr>
            <w:tcW w:w="260" w:type="dxa"/>
            <w:vAlign w:val="bottom"/>
            <w:shd w:val="clear" w:color="auto" w:fill="1D2758"/>
          </w:tcPr>
          <w:p>
            <w:pPr>
              <w:spacing w:after="0"/>
              <w:rPr>
                <w:sz w:val="20"/>
                <w:szCs w:val="20"/>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2023</w:t>
            </w:r>
          </w:p>
        </w:tc>
        <w:tc>
          <w:tcPr>
            <w:tcW w:w="0" w:type="dxa"/>
            <w:vAlign w:val="bottom"/>
          </w:tcPr>
          <w:p>
            <w:pPr>
              <w:spacing w:after="0"/>
              <w:rPr>
                <w:sz w:val="1"/>
                <w:szCs w:val="1"/>
                <w:color w:val="auto"/>
              </w:rPr>
            </w:pPr>
          </w:p>
        </w:tc>
      </w:tr>
      <w:tr>
        <w:trPr>
          <w:trHeight w:val="65"/>
        </w:trPr>
        <w:tc>
          <w:tcPr>
            <w:tcW w:w="6720" w:type="dxa"/>
            <w:vAlign w:val="bottom"/>
            <w:shd w:val="clear" w:color="auto" w:fill="1D2758"/>
          </w:tcPr>
          <w:p>
            <w:pPr>
              <w:spacing w:after="0"/>
              <w:rPr>
                <w:sz w:val="5"/>
                <w:szCs w:val="5"/>
                <w:color w:val="auto"/>
              </w:rPr>
            </w:pPr>
          </w:p>
        </w:tc>
        <w:tc>
          <w:tcPr>
            <w:tcW w:w="240" w:type="dxa"/>
            <w:vAlign w:val="bottom"/>
            <w:shd w:val="clear" w:color="auto" w:fill="1D2758"/>
          </w:tcPr>
          <w:p>
            <w:pPr>
              <w:spacing w:after="0"/>
              <w:rPr>
                <w:sz w:val="5"/>
                <w:szCs w:val="5"/>
                <w:color w:val="auto"/>
              </w:rPr>
            </w:pPr>
          </w:p>
        </w:tc>
        <w:tc>
          <w:tcPr>
            <w:tcW w:w="2060" w:type="dxa"/>
            <w:vAlign w:val="bottom"/>
            <w:gridSpan w:val="2"/>
            <w:vMerge w:val="continue"/>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6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3,660,481</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3,541,451</w:t>
            </w:r>
          </w:p>
        </w:tc>
        <w:tc>
          <w:tcPr>
            <w:tcW w:w="0" w:type="dxa"/>
            <w:vAlign w:val="bottom"/>
          </w:tcPr>
          <w:p>
            <w:pPr>
              <w:spacing w:after="0"/>
              <w:rPr>
                <w:sz w:val="1"/>
                <w:szCs w:val="1"/>
                <w:color w:val="auto"/>
              </w:rPr>
            </w:pPr>
          </w:p>
        </w:tc>
      </w:tr>
      <w:tr>
        <w:trPr>
          <w:trHeight w:val="205"/>
        </w:trPr>
        <w:tc>
          <w:tcPr>
            <w:tcW w:w="672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240" w:type="dxa"/>
            <w:vAlign w:val="bottom"/>
          </w:tcPr>
          <w:p>
            <w:pPr>
              <w:spacing w:after="0"/>
              <w:rPr>
                <w:sz w:val="17"/>
                <w:szCs w:val="17"/>
                <w:color w:val="auto"/>
              </w:rPr>
            </w:pPr>
          </w:p>
        </w:tc>
        <w:tc>
          <w:tcPr>
            <w:tcW w:w="1980" w:type="dxa"/>
            <w:vAlign w:val="bottom"/>
          </w:tcPr>
          <w:p>
            <w:pPr>
              <w:jc w:val="right"/>
              <w:ind w:right="3"/>
              <w:spacing w:after="0"/>
              <w:rPr>
                <w:sz w:val="20"/>
                <w:szCs w:val="20"/>
                <w:color w:val="auto"/>
              </w:rPr>
            </w:pPr>
            <w:r>
              <w:rPr>
                <w:rFonts w:ascii="Arial" w:cs="Arial" w:eastAsia="Arial" w:hAnsi="Arial"/>
                <w:sz w:val="15"/>
                <w:szCs w:val="15"/>
                <w:color w:val="auto"/>
              </w:rPr>
              <w:t>1,059,704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1,009,059</w:t>
            </w:r>
          </w:p>
        </w:tc>
        <w:tc>
          <w:tcPr>
            <w:tcW w:w="0" w:type="dxa"/>
            <w:vAlign w:val="bottom"/>
          </w:tcPr>
          <w:p>
            <w:pPr>
              <w:spacing w:after="0"/>
              <w:rPr>
                <w:sz w:val="1"/>
                <w:szCs w:val="1"/>
                <w:color w:val="auto"/>
              </w:rPr>
            </w:pP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Value added products</w:t>
            </w:r>
          </w:p>
        </w:tc>
        <w:tc>
          <w:tcPr>
            <w:tcW w:w="240" w:type="dxa"/>
            <w:vAlign w:val="bottom"/>
            <w:tcBorders>
              <w:bottom w:val="single" w:sz="8" w:color="auto"/>
            </w:tcBorders>
            <w:shd w:val="clear" w:color="auto" w:fill="DBDBDB"/>
          </w:tcPr>
          <w:p>
            <w:pPr>
              <w:spacing w:after="0"/>
              <w:rPr>
                <w:sz w:val="18"/>
                <w:szCs w:val="18"/>
                <w:color w:val="auto"/>
              </w:rPr>
            </w:pPr>
          </w:p>
        </w:tc>
        <w:tc>
          <w:tcPr>
            <w:tcW w:w="1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203,764</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204,933</w:t>
            </w:r>
          </w:p>
        </w:tc>
        <w:tc>
          <w:tcPr>
            <w:tcW w:w="0" w:type="dxa"/>
            <w:vAlign w:val="bottom"/>
          </w:tcPr>
          <w:p>
            <w:pPr>
              <w:spacing w:after="0"/>
              <w:rPr>
                <w:sz w:val="1"/>
                <w:szCs w:val="1"/>
                <w:color w:val="auto"/>
              </w:rPr>
            </w:pPr>
          </w:p>
        </w:tc>
      </w:tr>
      <w:tr>
        <w:trPr>
          <w:trHeight w:val="198"/>
        </w:trPr>
        <w:tc>
          <w:tcPr>
            <w:tcW w:w="672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240" w:type="dxa"/>
            <w:vAlign w:val="bottom"/>
          </w:tcPr>
          <w:p>
            <w:pPr>
              <w:spacing w:after="0"/>
              <w:rPr>
                <w:sz w:val="17"/>
                <w:szCs w:val="17"/>
                <w:color w:val="auto"/>
              </w:rPr>
            </w:pPr>
          </w:p>
        </w:tc>
        <w:tc>
          <w:tcPr>
            <w:tcW w:w="1980" w:type="dxa"/>
            <w:vAlign w:val="bottom"/>
          </w:tcPr>
          <w:p>
            <w:pPr>
              <w:jc w:val="right"/>
              <w:ind w:right="3"/>
              <w:spacing w:after="0"/>
              <w:rPr>
                <w:sz w:val="20"/>
                <w:szCs w:val="20"/>
                <w:color w:val="auto"/>
              </w:rPr>
            </w:pPr>
            <w:r>
              <w:rPr>
                <w:rFonts w:ascii="Arial" w:cs="Arial" w:eastAsia="Arial" w:hAnsi="Arial"/>
                <w:sz w:val="15"/>
                <w:szCs w:val="15"/>
                <w:color w:val="auto"/>
              </w:rPr>
              <w:t>4,923,949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4,755,443</w:t>
            </w:r>
          </w:p>
        </w:tc>
        <w:tc>
          <w:tcPr>
            <w:tcW w:w="0" w:type="dxa"/>
            <w:vAlign w:val="bottom"/>
          </w:tcPr>
          <w:p>
            <w:pPr>
              <w:spacing w:after="0"/>
              <w:rPr>
                <w:sz w:val="1"/>
                <w:szCs w:val="1"/>
                <w:color w:val="auto"/>
              </w:rPr>
            </w:pP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240" w:type="dxa"/>
            <w:vAlign w:val="bottom"/>
            <w:tcBorders>
              <w:bottom w:val="single" w:sz="8" w:color="auto"/>
            </w:tcBorders>
            <w:shd w:val="clear" w:color="auto" w:fill="DBDBDB"/>
          </w:tcPr>
          <w:p>
            <w:pPr>
              <w:spacing w:after="0"/>
              <w:rPr>
                <w:sz w:val="18"/>
                <w:szCs w:val="18"/>
                <w:color w:val="auto"/>
              </w:rPr>
            </w:pP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(1,522,751)</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(1,374,128)</w:t>
            </w:r>
          </w:p>
        </w:tc>
        <w:tc>
          <w:tcPr>
            <w:tcW w:w="0" w:type="dxa"/>
            <w:vAlign w:val="bottom"/>
          </w:tcPr>
          <w:p>
            <w:pPr>
              <w:spacing w:after="0"/>
              <w:rPr>
                <w:sz w:val="1"/>
                <w:szCs w:val="1"/>
                <w:color w:val="auto"/>
              </w:rPr>
            </w:pPr>
          </w:p>
        </w:tc>
      </w:tr>
      <w:tr>
        <w:trPr>
          <w:trHeight w:val="198"/>
        </w:trPr>
        <w:tc>
          <w:tcPr>
            <w:tcW w:w="672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3,401,198</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3,381,315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8 - Goodwill and Intangibles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20" w:type="dxa"/>
            <w:vAlign w:val="bottom"/>
          </w:tcPr>
          <w:p>
            <w:pPr>
              <w:ind w:left="620"/>
              <w:spacing w:after="0"/>
              <w:rPr>
                <w:sz w:val="20"/>
                <w:szCs w:val="20"/>
                <w:color w:val="auto"/>
              </w:rPr>
            </w:pPr>
            <w:r>
              <w:rPr>
                <w:rFonts w:ascii="Arial" w:cs="Arial" w:eastAsia="Arial" w:hAnsi="Arial"/>
                <w:sz w:val="15"/>
                <w:szCs w:val="15"/>
                <w:color w:val="auto"/>
              </w:rPr>
              <w:t>Changes in the carrying amount of goodwill were as follows:</w:t>
            </w: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79"/>
        </w:trPr>
        <w:tc>
          <w:tcPr>
            <w:tcW w:w="9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06"/>
        </w:trPr>
        <w:tc>
          <w:tcPr>
            <w:tcW w:w="90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780" w:type="dxa"/>
            <w:vAlign w:val="bottom"/>
            <w:shd w:val="clear" w:color="auto" w:fill="1D2758"/>
          </w:tcPr>
          <w:p>
            <w:pPr>
              <w:spacing w:after="0"/>
              <w:rPr>
                <w:sz w:val="17"/>
                <w:szCs w:val="17"/>
                <w:color w:val="auto"/>
              </w:rPr>
            </w:pPr>
          </w:p>
        </w:tc>
        <w:tc>
          <w:tcPr>
            <w:tcW w:w="1440" w:type="dxa"/>
            <w:vAlign w:val="bottom"/>
            <w:shd w:val="clear" w:color="auto" w:fill="1D2758"/>
          </w:tcPr>
          <w:p>
            <w:pPr>
              <w:spacing w:after="0"/>
              <w:rPr>
                <w:sz w:val="17"/>
                <w:szCs w:val="17"/>
                <w:color w:val="auto"/>
              </w:rPr>
            </w:pPr>
          </w:p>
        </w:tc>
      </w:tr>
      <w:tr>
        <w:trPr>
          <w:trHeight w:val="206"/>
        </w:trPr>
        <w:tc>
          <w:tcPr>
            <w:tcW w:w="9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78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1,011,429</w:t>
            </w:r>
          </w:p>
        </w:tc>
      </w:tr>
      <w:tr>
        <w:trPr>
          <w:trHeight w:val="205"/>
        </w:trPr>
        <w:tc>
          <w:tcPr>
            <w:tcW w:w="9020" w:type="dxa"/>
            <w:vAlign w:val="bottom"/>
          </w:tcPr>
          <w:p>
            <w:pPr>
              <w:ind w:left="220"/>
              <w:spacing w:after="0"/>
              <w:rPr>
                <w:sz w:val="20"/>
                <w:szCs w:val="20"/>
                <w:color w:val="auto"/>
              </w:rPr>
            </w:pPr>
            <w:r>
              <w:rPr>
                <w:rFonts w:ascii="Arial" w:cs="Arial" w:eastAsia="Arial" w:hAnsi="Arial"/>
                <w:sz w:val="15"/>
                <w:szCs w:val="15"/>
                <w:color w:val="auto"/>
              </w:rPr>
              <w:t>Additions from acquisitions</w:t>
            </w:r>
          </w:p>
        </w:tc>
        <w:tc>
          <w:tcPr>
            <w:tcW w:w="7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164,502</w:t>
            </w:r>
          </w:p>
        </w:tc>
      </w:tr>
      <w:tr>
        <w:trPr>
          <w:trHeight w:val="207"/>
        </w:trPr>
        <w:tc>
          <w:tcPr>
            <w:tcW w:w="90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78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704</w:t>
            </w:r>
          </w:p>
        </w:tc>
      </w:tr>
      <w:tr>
        <w:trPr>
          <w:trHeight w:val="198"/>
        </w:trPr>
        <w:tc>
          <w:tcPr>
            <w:tcW w:w="9020" w:type="dxa"/>
            <w:vAlign w:val="bottom"/>
          </w:tcPr>
          <w:p>
            <w:pPr>
              <w:ind w:left="20"/>
              <w:spacing w:after="0"/>
              <w:rPr>
                <w:sz w:val="20"/>
                <w:szCs w:val="20"/>
                <w:color w:val="auto"/>
              </w:rPr>
            </w:pPr>
            <w:r>
              <w:rPr>
                <w:rFonts w:ascii="Arial" w:cs="Arial" w:eastAsia="Arial" w:hAnsi="Arial"/>
                <w:sz w:val="15"/>
                <w:szCs w:val="15"/>
                <w:color w:val="auto"/>
              </w:rPr>
              <w:t>Balance at December 31, 2023</w:t>
            </w:r>
          </w:p>
        </w:tc>
        <w:tc>
          <w:tcPr>
            <w:tcW w:w="7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1,176,635</w:t>
            </w:r>
          </w:p>
        </w:tc>
      </w:tr>
      <w:tr>
        <w:trPr>
          <w:trHeight w:val="207"/>
        </w:trPr>
        <w:tc>
          <w:tcPr>
            <w:tcW w:w="90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Addition from acquisition</w:t>
            </w:r>
          </w:p>
        </w:tc>
        <w:tc>
          <w:tcPr>
            <w:tcW w:w="7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887</w:t>
            </w:r>
          </w:p>
        </w:tc>
      </w:tr>
      <w:tr>
        <w:trPr>
          <w:trHeight w:val="205"/>
        </w:trPr>
        <w:tc>
          <w:tcPr>
            <w:tcW w:w="90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7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(633)</w:t>
            </w:r>
          </w:p>
        </w:tc>
      </w:tr>
      <w:tr>
        <w:trPr>
          <w:trHeight w:val="224"/>
        </w:trPr>
        <w:tc>
          <w:tcPr>
            <w:tcW w:w="9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September 30, 2024</w:t>
            </w:r>
          </w:p>
        </w:tc>
        <w:tc>
          <w:tcPr>
            <w:tcW w:w="780" w:type="dxa"/>
            <w:vAlign w:val="bottom"/>
            <w:tcBorders>
              <w:bottom w:val="single" w:sz="8" w:color="auto"/>
            </w:tcBorders>
            <w:shd w:val="clear" w:color="auto" w:fill="DBDBDB"/>
          </w:tcPr>
          <w:p>
            <w:pPr>
              <w:jc w:val="right"/>
              <w:ind w:right="583"/>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1,176,889</w:t>
            </w:r>
          </w:p>
        </w:tc>
      </w:tr>
      <w:tr>
        <w:trPr>
          <w:trHeight w:val="20"/>
        </w:trPr>
        <w:tc>
          <w:tcPr>
            <w:tcW w:w="902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no goodwill impairment during the nine months ended September 30, 2024 or the year ended December 31, 2023.</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ind w:left="660"/>
              <w:spacing w:after="0"/>
              <w:rPr>
                <w:sz w:val="20"/>
                <w:szCs w:val="20"/>
                <w:color w:val="auto"/>
              </w:rPr>
            </w:pPr>
            <w:r>
              <w:rPr>
                <w:rFonts w:ascii="Arial" w:cs="Arial" w:eastAsia="Arial" w:hAnsi="Arial"/>
                <w:sz w:val="15"/>
                <w:szCs w:val="15"/>
                <w:b w:val="1"/>
                <w:bCs w:val="1"/>
                <w:color w:val="FFFFFF"/>
              </w:rPr>
              <w:t>September 30, 2024</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60" w:type="dxa"/>
            <w:vAlign w:val="bottom"/>
          </w:tcPr>
          <w:p>
            <w:pPr>
              <w:ind w:left="220"/>
              <w:spacing w:after="0"/>
              <w:rPr>
                <w:sz w:val="20"/>
                <w:szCs w:val="20"/>
                <w:color w:val="auto"/>
              </w:rPr>
            </w:pPr>
            <w:r>
              <w:rPr>
                <w:rFonts w:ascii="Arial" w:cs="Arial" w:eastAsia="Arial" w:hAnsi="Arial"/>
                <w:sz w:val="15"/>
                <w:szCs w:val="15"/>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3.8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214,408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(106,141)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108,267</w:t>
            </w:r>
          </w:p>
        </w:tc>
        <w:tc>
          <w:tcPr>
            <w:tcW w:w="0" w:type="dxa"/>
            <w:vAlign w:val="bottom"/>
          </w:tcPr>
          <w:p>
            <w:pPr>
              <w:spacing w:after="0"/>
              <w:rPr>
                <w:sz w:val="1"/>
                <w:szCs w:val="1"/>
                <w:color w:val="auto"/>
              </w:rPr>
            </w:pPr>
          </w:p>
        </w:tc>
      </w:tr>
      <w:tr>
        <w:trPr>
          <w:trHeight w:val="207"/>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1.8</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(1,063)</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437</w:t>
            </w:r>
          </w:p>
        </w:tc>
        <w:tc>
          <w:tcPr>
            <w:tcW w:w="0" w:type="dxa"/>
            <w:vAlign w:val="bottom"/>
          </w:tcPr>
          <w:p>
            <w:pPr>
              <w:spacing w:after="0"/>
              <w:rPr>
                <w:sz w:val="1"/>
                <w:szCs w:val="1"/>
                <w:color w:val="auto"/>
              </w:rPr>
            </w:pPr>
          </w:p>
        </w:tc>
      </w:tr>
      <w:tr>
        <w:trPr>
          <w:trHeight w:val="205"/>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tcPr>
          <w:p>
            <w:pPr>
              <w:jc w:val="center"/>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31,460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(4,625)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26,835</w:t>
            </w:r>
          </w:p>
        </w:tc>
        <w:tc>
          <w:tcPr>
            <w:tcW w:w="0" w:type="dxa"/>
            <w:vAlign w:val="bottom"/>
          </w:tcPr>
          <w:p>
            <w:pPr>
              <w:spacing w:after="0"/>
              <w:rPr>
                <w:sz w:val="1"/>
                <w:szCs w:val="1"/>
                <w:color w:val="auto"/>
              </w:rPr>
            </w:pPr>
          </w:p>
        </w:tc>
      </w:tr>
      <w:tr>
        <w:trPr>
          <w:trHeight w:val="213"/>
        </w:trPr>
        <w:tc>
          <w:tcPr>
            <w:tcW w:w="5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32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32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4"/>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372,368</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(111,829)</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260,539</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ind w:left="680"/>
              <w:spacing w:after="0"/>
              <w:rPr>
                <w:sz w:val="20"/>
                <w:szCs w:val="20"/>
                <w:color w:val="auto"/>
              </w:rPr>
            </w:pPr>
            <w:r>
              <w:rPr>
                <w:rFonts w:ascii="Arial" w:cs="Arial" w:eastAsia="Arial" w:hAnsi="Arial"/>
                <w:sz w:val="15"/>
                <w:szCs w:val="15"/>
                <w:b w:val="1"/>
                <w:bCs w:val="1"/>
                <w:color w:val="FFFFFF"/>
              </w:rPr>
              <w:t>December 31, 2023</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60" w:type="dxa"/>
            <w:vAlign w:val="bottom"/>
          </w:tcPr>
          <w:p>
            <w:pPr>
              <w:ind w:left="220"/>
              <w:spacing w:after="0"/>
              <w:rPr>
                <w:sz w:val="20"/>
                <w:szCs w:val="20"/>
                <w:color w:val="auto"/>
              </w:rPr>
            </w:pPr>
            <w:r>
              <w:rPr>
                <w:rFonts w:ascii="Arial" w:cs="Arial" w:eastAsia="Arial" w:hAnsi="Arial"/>
                <w:sz w:val="15"/>
                <w:szCs w:val="15"/>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4.5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214,408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(84,324)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130,084</w:t>
            </w:r>
          </w:p>
        </w:tc>
        <w:tc>
          <w:tcPr>
            <w:tcW w:w="0" w:type="dxa"/>
            <w:vAlign w:val="bottom"/>
          </w:tcPr>
          <w:p>
            <w:pPr>
              <w:spacing w:after="0"/>
              <w:rPr>
                <w:sz w:val="1"/>
                <w:szCs w:val="1"/>
                <w:color w:val="auto"/>
              </w:rPr>
            </w:pPr>
          </w:p>
        </w:tc>
      </w:tr>
      <w:tr>
        <w:trPr>
          <w:trHeight w:val="207"/>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2.5</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(875)</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625</w:t>
            </w:r>
          </w:p>
        </w:tc>
        <w:tc>
          <w:tcPr>
            <w:tcW w:w="0" w:type="dxa"/>
            <w:vAlign w:val="bottom"/>
          </w:tcPr>
          <w:p>
            <w:pPr>
              <w:spacing w:after="0"/>
              <w:rPr>
                <w:sz w:val="1"/>
                <w:szCs w:val="1"/>
                <w:color w:val="auto"/>
              </w:rPr>
            </w:pPr>
          </w:p>
        </w:tc>
      </w:tr>
      <w:tr>
        <w:trPr>
          <w:trHeight w:val="205"/>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ind w:left="108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05"/>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10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5"/>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504,908</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(85,199)</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419,709</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Amortization expense related to intangible assets was $11.9 million and $5.9 million for the three months ended September 30, 2024 and 2023, respectively, and $26.6 million and $17.8 million for the nine months ended September 30, 2024 and 2023, respectively.</w:t>
      </w:r>
    </w:p>
    <w:p>
      <w:pPr>
        <w:jc w:val="both"/>
        <w:ind w:firstLine="619"/>
        <w:spacing w:after="0" w:line="267" w:lineRule="auto"/>
        <w:rPr>
          <w:sz w:val="20"/>
          <w:szCs w:val="20"/>
          <w:color w:val="auto"/>
        </w:rPr>
      </w:pPr>
      <w:r>
        <w:rPr>
          <w:rFonts w:ascii="Arial" w:cs="Arial" w:eastAsia="Arial" w:hAnsi="Arial"/>
          <w:sz w:val="15"/>
          <w:szCs w:val="15"/>
          <w:color w:val="auto"/>
        </w:rPr>
        <w:t>In the second quarter of 2024, the Company determined that a review of the carrying value of the Mobile Mini trade name was necessary based on the Company's plan to rebrand under a single WillScot brand name and discontinue the use of the Mobile Mini trade name. As of June 30, 2024, the Mobile Mini trade name was tested for impairment using the relief from royalty valuation method. The most significant unobservable input (Level 3) used to estimate the fair value was a discount rate of 9%. After determining the estimated fair value, the Company recorded an impairment charge of $132.5 million during the nine months ended September 30, 2024. This non-cash charge was recorded to impairment loss on intangible asset on the consolidated statement of operations. After the impairment charge, the remaining net book value of the Mobile Mini trade name was $31.5 million, which is being amortized over a remaining useful life. The Company did not record any other impairment charges during the nine months ended September 30, 2024.</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September 30, 2024, the expected future amortization expense for intangible assets is as follows for the years ended December 31: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80" w:type="dxa"/>
            <w:vAlign w:val="bottom"/>
            <w:shd w:val="clear" w:color="auto" w:fill="1D2758"/>
          </w:tcPr>
          <w:p>
            <w:pPr>
              <w:spacing w:after="0"/>
              <w:rPr>
                <w:sz w:val="17"/>
                <w:szCs w:val="17"/>
                <w:color w:val="auto"/>
              </w:rPr>
            </w:pPr>
          </w:p>
        </w:tc>
        <w:tc>
          <w:tcPr>
            <w:tcW w:w="1500" w:type="dxa"/>
            <w:vAlign w:val="bottom"/>
            <w:shd w:val="clear" w:color="auto" w:fill="1D2758"/>
          </w:tcPr>
          <w:p>
            <w:pPr>
              <w:spacing w:after="0"/>
              <w:rPr>
                <w:sz w:val="17"/>
                <w:szCs w:val="17"/>
                <w:color w:val="auto"/>
              </w:rPr>
            </w:pPr>
          </w:p>
        </w:tc>
      </w:tr>
      <w:tr>
        <w:trPr>
          <w:trHeight w:val="206"/>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2024 (remaining)</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11,770</w:t>
            </w: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2025</w:t>
            </w:r>
          </w:p>
        </w:tc>
        <w:tc>
          <w:tcPr>
            <w:tcW w:w="9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42,804</w:t>
            </w:r>
          </w:p>
        </w:tc>
      </w:tr>
      <w:tr>
        <w:trPr>
          <w:trHeight w:val="207"/>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2026</w:t>
            </w:r>
          </w:p>
        </w:tc>
        <w:tc>
          <w:tcPr>
            <w:tcW w:w="9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36,460</w:t>
            </w: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2027</w:t>
            </w:r>
          </w:p>
        </w:tc>
        <w:tc>
          <w:tcPr>
            <w:tcW w:w="9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29,885</w:t>
            </w:r>
          </w:p>
        </w:tc>
      </w:tr>
      <w:tr>
        <w:trPr>
          <w:trHeight w:val="206"/>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w:t>
            </w:r>
          </w:p>
        </w:tc>
        <w:tc>
          <w:tcPr>
            <w:tcW w:w="9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14,620</w:t>
            </w:r>
          </w:p>
        </w:tc>
      </w:tr>
      <w:tr>
        <w:trPr>
          <w:trHeight w:val="200"/>
        </w:trPr>
        <w:tc>
          <w:tcPr>
            <w:tcW w:w="8760" w:type="dxa"/>
            <w:vAlign w:val="bottom"/>
          </w:tcPr>
          <w:p>
            <w:pPr>
              <w:ind w:left="120"/>
              <w:spacing w:after="0"/>
              <w:rPr>
                <w:sz w:val="20"/>
                <w:szCs w:val="20"/>
                <w:color w:val="auto"/>
              </w:rPr>
            </w:pPr>
            <w:r>
              <w:rPr>
                <w:rFonts w:ascii="Arial" w:cs="Arial" w:eastAsia="Arial" w:hAnsi="Arial"/>
                <w:sz w:val="15"/>
                <w:szCs w:val="15"/>
                <w:color w:val="auto"/>
              </w:rPr>
              <w:t>Total</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135,539</w:t>
            </w:r>
          </w:p>
        </w:tc>
      </w:tr>
      <w:tr>
        <w:trPr>
          <w:trHeight w:val="20"/>
        </w:trPr>
        <w:tc>
          <w:tcPr>
            <w:tcW w:w="8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1D2758"/>
        </w:rPr>
        <w:t>NOTE 9 - Debt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40" w:type="dxa"/>
            <w:vAlign w:val="bottom"/>
            <w:gridSpan w:val="6"/>
          </w:tcPr>
          <w:p>
            <w:pPr>
              <w:ind w:left="62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6"/>
        </w:trPr>
        <w:tc>
          <w:tcPr>
            <w:tcW w:w="3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06"/>
        </w:trPr>
        <w:tc>
          <w:tcPr>
            <w:tcW w:w="33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1940" w:type="dxa"/>
            <w:vAlign w:val="bottom"/>
            <w:shd w:val="clear" w:color="auto" w:fill="1D2758"/>
          </w:tcPr>
          <w:p>
            <w:pPr>
              <w:jc w:val="center"/>
              <w:ind w:left="223"/>
              <w:spacing w:after="0"/>
              <w:rPr>
                <w:sz w:val="20"/>
                <w:szCs w:val="20"/>
                <w:color w:val="auto"/>
              </w:rPr>
            </w:pPr>
            <w:r>
              <w:rPr>
                <w:rFonts w:ascii="Arial" w:cs="Arial" w:eastAsia="Arial" w:hAnsi="Arial"/>
                <w:sz w:val="15"/>
                <w:szCs w:val="15"/>
                <w:b w:val="1"/>
                <w:bCs w:val="1"/>
                <w:color w:val="FFFFFF"/>
              </w:rPr>
              <w:t>Interest rate</w:t>
            </w:r>
          </w:p>
        </w:tc>
        <w:tc>
          <w:tcPr>
            <w:tcW w:w="18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 of maturity</w:t>
            </w:r>
          </w:p>
        </w:tc>
        <w:tc>
          <w:tcPr>
            <w:tcW w:w="18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September 30, 2024</w:t>
            </w:r>
          </w:p>
        </w:tc>
        <w:tc>
          <w:tcPr>
            <w:tcW w:w="200" w:type="dxa"/>
            <w:vAlign w:val="bottom"/>
            <w:shd w:val="clear" w:color="auto" w:fill="1D2758"/>
          </w:tcPr>
          <w:p>
            <w:pPr>
              <w:spacing w:after="0"/>
              <w:rPr>
                <w:sz w:val="17"/>
                <w:szCs w:val="17"/>
                <w:color w:val="auto"/>
              </w:rPr>
            </w:pPr>
          </w:p>
        </w:tc>
        <w:tc>
          <w:tcPr>
            <w:tcW w:w="180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December 31, 2023</w:t>
            </w:r>
          </w:p>
        </w:tc>
      </w:tr>
      <w:tr>
        <w:trPr>
          <w:trHeight w:val="206"/>
        </w:trPr>
        <w:tc>
          <w:tcPr>
            <w:tcW w:w="3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6.125%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2025</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524,630</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522,735</w:t>
            </w:r>
          </w:p>
        </w:tc>
      </w:tr>
      <w:tr>
        <w:trPr>
          <w:trHeight w:val="205"/>
        </w:trPr>
        <w:tc>
          <w:tcPr>
            <w:tcW w:w="3320" w:type="dxa"/>
            <w:vAlign w:val="bottom"/>
          </w:tcPr>
          <w:p>
            <w:pPr>
              <w:ind w:left="20"/>
              <w:spacing w:after="0"/>
              <w:rPr>
                <w:sz w:val="20"/>
                <w:szCs w:val="20"/>
                <w:color w:val="auto"/>
              </w:rPr>
            </w:pPr>
            <w:r>
              <w:rPr>
                <w:rFonts w:ascii="Arial" w:cs="Arial" w:eastAsia="Arial" w:hAnsi="Arial"/>
                <w:sz w:val="15"/>
                <w:szCs w:val="15"/>
                <w:color w:val="auto"/>
              </w:rPr>
              <w:t>ABL Facility</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tcPr>
          <w:p>
            <w:pPr>
              <w:jc w:val="center"/>
              <w:spacing w:after="0"/>
              <w:rPr>
                <w:sz w:val="20"/>
                <w:szCs w:val="20"/>
                <w:color w:val="auto"/>
              </w:rPr>
            </w:pPr>
            <w:r>
              <w:rPr>
                <w:rFonts w:ascii="Arial" w:cs="Arial" w:eastAsia="Arial" w:hAnsi="Arial"/>
                <w:sz w:val="15"/>
                <w:szCs w:val="15"/>
                <w:color w:val="auto"/>
              </w:rPr>
              <w:t>2027</w:t>
            </w: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1,489,297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1,929,259</w:t>
            </w:r>
          </w:p>
        </w:tc>
      </w:tr>
      <w:tr>
        <w:trPr>
          <w:trHeight w:val="207"/>
        </w:trPr>
        <w:tc>
          <w:tcPr>
            <w:tcW w:w="3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4.625%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2028</w:t>
            </w:r>
          </w:p>
        </w:tc>
        <w:tc>
          <w:tcPr>
            <w:tcW w:w="180" w:type="dxa"/>
            <w:vAlign w:val="bottom"/>
            <w:shd w:val="clear" w:color="auto" w:fill="DBDBDB"/>
          </w:tcPr>
          <w:p>
            <w:pPr>
              <w:spacing w:after="0"/>
              <w:rPr>
                <w:sz w:val="18"/>
                <w:szCs w:val="18"/>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495,306</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494,500</w:t>
            </w:r>
          </w:p>
        </w:tc>
      </w:tr>
      <w:tr>
        <w:trPr>
          <w:trHeight w:val="205"/>
        </w:trPr>
        <w:tc>
          <w:tcPr>
            <w:tcW w:w="3320" w:type="dxa"/>
            <w:vAlign w:val="bottom"/>
          </w:tcPr>
          <w:p>
            <w:pPr>
              <w:ind w:left="20"/>
              <w:spacing w:after="0"/>
              <w:rPr>
                <w:sz w:val="20"/>
                <w:szCs w:val="20"/>
                <w:color w:val="auto"/>
              </w:rPr>
            </w:pPr>
            <w:r>
              <w:rPr>
                <w:rFonts w:ascii="Arial" w:cs="Arial" w:eastAsia="Arial" w:hAnsi="Arial"/>
                <w:sz w:val="15"/>
                <w:szCs w:val="15"/>
                <w:color w:val="auto"/>
              </w:rPr>
              <w:t>2029 Secured Notes</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6.625%</w:t>
            </w:r>
          </w:p>
        </w:tc>
        <w:tc>
          <w:tcPr>
            <w:tcW w:w="1880" w:type="dxa"/>
            <w:vAlign w:val="bottom"/>
          </w:tcPr>
          <w:p>
            <w:pPr>
              <w:jc w:val="center"/>
              <w:spacing w:after="0"/>
              <w:rPr>
                <w:sz w:val="20"/>
                <w:szCs w:val="20"/>
                <w:color w:val="auto"/>
              </w:rPr>
            </w:pPr>
            <w:r>
              <w:rPr>
                <w:rFonts w:ascii="Arial" w:cs="Arial" w:eastAsia="Arial" w:hAnsi="Arial"/>
                <w:sz w:val="15"/>
                <w:szCs w:val="15"/>
                <w:color w:val="auto"/>
              </w:rPr>
              <w:t>2029</w:t>
            </w: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493,328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3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2031 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7.375%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2031</w:t>
            </w:r>
          </w:p>
        </w:tc>
        <w:tc>
          <w:tcPr>
            <w:tcW w:w="180" w:type="dxa"/>
            <w:vAlign w:val="bottom"/>
            <w:shd w:val="clear" w:color="auto" w:fill="DBDBDB"/>
          </w:tcPr>
          <w:p>
            <w:pPr>
              <w:spacing w:after="0"/>
              <w:rPr>
                <w:sz w:val="18"/>
                <w:szCs w:val="18"/>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494,170</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493,709</w:t>
            </w:r>
          </w:p>
        </w:tc>
      </w:tr>
      <w:tr>
        <w:trPr>
          <w:trHeight w:val="205"/>
        </w:trPr>
        <w:tc>
          <w:tcPr>
            <w:tcW w:w="33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Finance Leases</w:t>
            </w:r>
          </w:p>
        </w:tc>
        <w:tc>
          <w:tcPr>
            <w:tcW w:w="1940" w:type="dxa"/>
            <w:vAlign w:val="bottom"/>
            <w:tcBorders>
              <w:bottom w:val="single" w:sz="8" w:color="DBDBDB"/>
            </w:tcBorders>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tcBorders>
              <w:bottom w:val="single" w:sz="8" w:color="DBDBDB"/>
            </w:tcBorders>
          </w:tcPr>
          <w:p>
            <w:pPr>
              <w:jc w:val="center"/>
              <w:spacing w:after="0"/>
              <w:rPr>
                <w:sz w:val="20"/>
                <w:szCs w:val="20"/>
                <w:color w:val="auto"/>
              </w:rPr>
            </w:pPr>
            <w:r>
              <w:rPr>
                <w:rFonts w:ascii="Arial" w:cs="Arial" w:eastAsia="Arial" w:hAnsi="Arial"/>
                <w:sz w:val="15"/>
                <w:szCs w:val="15"/>
                <w:color w:val="auto"/>
                <w:w w:val="98"/>
              </w:rPr>
              <w:t>Varies</w:t>
            </w: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134,159</w:t>
            </w: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117,099</w:t>
            </w:r>
          </w:p>
        </w:tc>
      </w:tr>
      <w:tr>
        <w:trPr>
          <w:trHeight w:val="200"/>
        </w:trPr>
        <w:tc>
          <w:tcPr>
            <w:tcW w:w="3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debt</w:t>
            </w:r>
          </w:p>
        </w:tc>
        <w:tc>
          <w:tcPr>
            <w:tcW w:w="194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3,630,890</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3,557,302</w:t>
            </w:r>
          </w:p>
        </w:tc>
      </w:tr>
      <w:tr>
        <w:trPr>
          <w:trHeight w:val="205"/>
        </w:trPr>
        <w:tc>
          <w:tcPr>
            <w:tcW w:w="33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current portion of long-term debt</w:t>
            </w:r>
          </w:p>
        </w:tc>
        <w:tc>
          <w:tcPr>
            <w:tcW w:w="1940" w:type="dxa"/>
            <w:vAlign w:val="bottom"/>
            <w:tcBorders>
              <w:bottom w:val="single" w:sz="8" w:color="DBDBDB"/>
            </w:tcBorders>
          </w:tcPr>
          <w:p>
            <w:pPr>
              <w:spacing w:after="0"/>
              <w:rPr>
                <w:sz w:val="17"/>
                <w:szCs w:val="17"/>
                <w:color w:val="auto"/>
              </w:rPr>
            </w:pPr>
          </w:p>
        </w:tc>
        <w:tc>
          <w:tcPr>
            <w:tcW w:w="18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22,933</w:t>
            </w: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18,786</w:t>
            </w:r>
          </w:p>
        </w:tc>
      </w:tr>
      <w:tr>
        <w:trPr>
          <w:trHeight w:val="224"/>
        </w:trPr>
        <w:tc>
          <w:tcPr>
            <w:tcW w:w="33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 long-term debt</w:t>
            </w:r>
          </w:p>
        </w:tc>
        <w:tc>
          <w:tcPr>
            <w:tcW w:w="1940" w:type="dxa"/>
            <w:vAlign w:val="bottom"/>
            <w:tcBorders>
              <w:bottom w:val="single" w:sz="8" w:color="DBDBDB"/>
            </w:tcBorders>
            <w:shd w:val="clear" w:color="auto" w:fill="DBDBDB"/>
          </w:tcPr>
          <w:p>
            <w:pPr>
              <w:spacing w:after="0"/>
              <w:rPr>
                <w:sz w:val="19"/>
                <w:szCs w:val="19"/>
                <w:color w:val="auto"/>
              </w:rPr>
            </w:pPr>
          </w:p>
        </w:tc>
        <w:tc>
          <w:tcPr>
            <w:tcW w:w="18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3,607,957</w:t>
            </w: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3,538,516</w:t>
            </w:r>
          </w:p>
        </w:tc>
      </w:tr>
      <w:tr>
        <w:trPr>
          <w:trHeight w:val="20"/>
        </w:trPr>
        <w:tc>
          <w:tcPr>
            <w:tcW w:w="3320" w:type="dxa"/>
            <w:vAlign w:val="bottom"/>
            <w:tcBorders>
              <w:top w:val="single" w:sz="8" w:color="DBDBDB"/>
            </w:tcBorders>
          </w:tcPr>
          <w:p>
            <w:pPr>
              <w:spacing w:after="0" w:line="20" w:lineRule="exact"/>
              <w:rPr>
                <w:sz w:val="1"/>
                <w:szCs w:val="1"/>
                <w:color w:val="auto"/>
              </w:rPr>
            </w:pPr>
          </w:p>
        </w:tc>
        <w:tc>
          <w:tcPr>
            <w:tcW w:w="1940" w:type="dxa"/>
            <w:vAlign w:val="bottom"/>
            <w:tcBorders>
              <w:top w:val="single" w:sz="8" w:color="DBDBDB"/>
            </w:tcBorders>
          </w:tcPr>
          <w:p>
            <w:pPr>
              <w:spacing w:after="0" w:line="20" w:lineRule="exact"/>
              <w:rPr>
                <w:sz w:val="1"/>
                <w:szCs w:val="1"/>
                <w:color w:val="auto"/>
              </w:rPr>
            </w:pPr>
          </w:p>
        </w:tc>
        <w:tc>
          <w:tcPr>
            <w:tcW w:w="18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8760" w:type="dxa"/>
            <w:vAlign w:val="bottom"/>
          </w:tcPr>
          <w:p>
            <w:pPr>
              <w:ind w:left="620"/>
              <w:spacing w:after="0"/>
              <w:rPr>
                <w:sz w:val="20"/>
                <w:szCs w:val="20"/>
                <w:color w:val="auto"/>
              </w:rPr>
            </w:pPr>
            <w:r>
              <w:rPr>
                <w:rFonts w:ascii="Arial" w:cs="Arial" w:eastAsia="Arial" w:hAnsi="Arial"/>
                <w:sz w:val="15"/>
                <w:szCs w:val="15"/>
                <w:color w:val="auto"/>
              </w:rPr>
              <w:t>Maturities of debt, including finance leases, during the periods subsequent to September 30, 2024 are as follows:</w:t>
            </w: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6"/>
        </w:trPr>
        <w:tc>
          <w:tcPr>
            <w:tcW w:w="8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60" w:type="dxa"/>
            <w:vAlign w:val="bottom"/>
          </w:tcPr>
          <w:p>
            <w:pPr>
              <w:spacing w:after="0"/>
              <w:rPr>
                <w:sz w:val="5"/>
                <w:szCs w:val="5"/>
                <w:color w:val="auto"/>
              </w:rPr>
            </w:pPr>
          </w:p>
        </w:tc>
      </w:tr>
      <w:tr>
        <w:trPr>
          <w:trHeight w:val="206"/>
        </w:trPr>
        <w:tc>
          <w:tcPr>
            <w:tcW w:w="8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20" w:type="dxa"/>
            <w:vAlign w:val="bottom"/>
            <w:shd w:val="clear" w:color="auto" w:fill="1D2758"/>
          </w:tcPr>
          <w:p>
            <w:pPr>
              <w:spacing w:after="0"/>
              <w:rPr>
                <w:sz w:val="17"/>
                <w:szCs w:val="17"/>
                <w:color w:val="auto"/>
              </w:rPr>
            </w:pPr>
          </w:p>
        </w:tc>
        <w:tc>
          <w:tcPr>
            <w:tcW w:w="1560" w:type="dxa"/>
            <w:vAlign w:val="bottom"/>
            <w:shd w:val="clear" w:color="auto" w:fill="1D2758"/>
          </w:tcPr>
          <w:p>
            <w:pPr>
              <w:spacing w:after="0"/>
              <w:rPr>
                <w:sz w:val="17"/>
                <w:szCs w:val="17"/>
                <w:color w:val="auto"/>
              </w:rPr>
            </w:pPr>
          </w:p>
        </w:tc>
      </w:tr>
      <w:tr>
        <w:trPr>
          <w:trHeight w:val="206"/>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2024 (remaining)</w:t>
            </w:r>
          </w:p>
        </w:tc>
        <w:tc>
          <w:tcPr>
            <w:tcW w:w="920" w:type="dxa"/>
            <w:vAlign w:val="bottom"/>
            <w:shd w:val="clear" w:color="auto" w:fill="DBDBDB"/>
          </w:tcPr>
          <w:p>
            <w:pPr>
              <w:jc w:val="right"/>
              <w:ind w:right="723"/>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7,523</w:t>
            </w: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2025</w:t>
            </w:r>
          </w:p>
        </w:tc>
        <w:tc>
          <w:tcPr>
            <w:tcW w:w="9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555,083</w:t>
            </w:r>
          </w:p>
        </w:tc>
      </w:tr>
      <w:tr>
        <w:trPr>
          <w:trHeight w:val="207"/>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2026</w:t>
            </w:r>
          </w:p>
        </w:tc>
        <w:tc>
          <w:tcPr>
            <w:tcW w:w="92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28,331</w:t>
            </w: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2027</w:t>
            </w:r>
          </w:p>
        </w:tc>
        <w:tc>
          <w:tcPr>
            <w:tcW w:w="9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1,535,368</w:t>
            </w:r>
          </w:p>
        </w:tc>
      </w:tr>
      <w:tr>
        <w:trPr>
          <w:trHeight w:val="207"/>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w:t>
            </w:r>
          </w:p>
        </w:tc>
        <w:tc>
          <w:tcPr>
            <w:tcW w:w="92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527,564</w:t>
            </w:r>
          </w:p>
        </w:tc>
      </w:tr>
      <w:tr>
        <w:trPr>
          <w:trHeight w:val="205"/>
        </w:trPr>
        <w:tc>
          <w:tcPr>
            <w:tcW w:w="87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9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1,038,450</w:t>
            </w:r>
          </w:p>
        </w:tc>
      </w:tr>
      <w:tr>
        <w:trPr>
          <w:trHeight w:val="224"/>
        </w:trPr>
        <w:tc>
          <w:tcPr>
            <w:tcW w:w="87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w:t>
            </w:r>
          </w:p>
        </w:tc>
        <w:tc>
          <w:tcPr>
            <w:tcW w:w="920" w:type="dxa"/>
            <w:vAlign w:val="bottom"/>
            <w:tcBorders>
              <w:bottom w:val="single" w:sz="8" w:color="auto"/>
            </w:tcBorders>
            <w:shd w:val="clear" w:color="auto" w:fill="DBDBDB"/>
          </w:tcPr>
          <w:p>
            <w:pPr>
              <w:jc w:val="right"/>
              <w:ind w:right="723"/>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3,692,319</w:t>
            </w:r>
          </w:p>
        </w:tc>
      </w:tr>
      <w:tr>
        <w:trPr>
          <w:trHeight w:val="20"/>
        </w:trPr>
        <w:tc>
          <w:tcPr>
            <w:tcW w:w="876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On July 1, 2020, certain subsidiaries of the Company, including WSI, entered into an asset-based credit agreement. As amended on June 30, 2022, the agreement provides for revolving credit facilities in the aggregate principal amount of up to $3.7 billion, consisting of: (i) a senior secured asset-based US dollar revolving credit facility in the aggregate principal amount of $3.3 billion (the “US Facility”), (ii) a $400.0 million senior secured asset-based multicurrency revolving credit facility (the "Multicurrency Facility," and together with the US Facility, the "ABL Facility"), available to be drawn in US Dollars, Canadian Dollars, British Pounds Sterling or Euros, and (iii) an accordion feature that permits the Company to increase the lenders' commitments in an aggregate amount not to exceed the greater of $750.0 million and the amount of suppressed availability (as defined in the ABL Facility), plus any voluntary prepayments that are accompanied by permanent commitment reductions under the ABL Facility, subject to the satisfaction of customary conditions including lender approval. The ABL Facility is scheduled to mature on June 30, 2027.</w:t>
      </w:r>
    </w:p>
    <w:p>
      <w:pPr>
        <w:spacing w:after="0" w:line="20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applicable margin for Canadian Bankers' Acceptance Rate, Term Secured Overnight Financing Rate ("SOFR"), British Pounds Sterling and Euro loans is 1.50%. The facility includes a credit spread adjustment of 0.10% in addition to the applicable margin. The applicable margin for base rate and Canadian Prime Rate loans is 0.50%. The applicable margins are subject to one step down of 0.25% or one step up of 0.25% based on the Company's leverage ratio and excess availability from the prior quarter. The ABL Facility requires the payment of a commitment fee on the unused available borrowings of 0.20% annually. As of September 30, 2024, the weighted average interest rate for borrowings under the ABL Facility, as adjusted for the effects of the interest rate swap agreements, was 5.40%. Refer to Note 12 for a detailed discussion of interest rate management.</w:t>
      </w:r>
    </w:p>
    <w:p>
      <w:pPr>
        <w:spacing w:after="0" w:line="22"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On February 26, 2024, WSI entered into an amendment to the ABL Facility (the "Fifth Amendment") to, among other things, change the rate under the ABL Facility for borrowings denominated in Canadian Dollars from a Canadian Dollar Offered Rate ("CDOR")-based rate to a Canadian Overnight Repo Rate Average ("CORRA")-based rate, subject to certain adjustments specified in the ABL Facility, and to update certain other provisions regarding successor interest rates to CDOR.</w:t>
      </w:r>
    </w:p>
    <w:p>
      <w:pPr>
        <w:spacing w:after="0" w:line="19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connection with the Company's proposed acquisition of McGrath, on February 27, 2024, WSI and certain other subsidiaries of the Company entered into an amendment to the ABL Facility (the "Sixth Amendment") to, among other things, (i) permit the incurrences of indebtedness by WSI and certain other subsidiaries of the Company to finance the McGrath acquisition; (ii) increase the maximum revolving credit facility amount; and (iii) modify the borrowing base, certain thresholds, basket sizes and default and notice triggers to account for the increased size of the business and new asset types of WSI and its subsidiaries following the proposed McGrath acquisition. Following the termination of the Merger Agreement on September 17, 2024, the Sixth Amendment was null and void.</w:t>
      </w:r>
    </w:p>
    <w:p>
      <w:pPr>
        <w:spacing w:after="0" w:line="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borrowing base ("Line Cap"). At September 30, 2024, the Line Cap was $3.2 billion and the Company had $1.7 billion of available borrowing capacity under the ABL Facility, including $1.5 billion under the US Facility and $199.2 million under the Multicurrency Facility. Borrowing capacity under the ABL Facility is made available for up to $220.0 million letters of credit and $220.0 million swingline loans. At September 30, 2024, the available capacity was $199.2 million of letters of credit and $203.8 million of swingline loans. At September 30, 2024, letters of credit and bank guarantees carried fees of 1.625%. The Company had issued $20.8 million of standby letters of credit under the ABL Facility at September 30, 2024.</w:t>
      </w:r>
    </w:p>
    <w:p>
      <w:pPr>
        <w:spacing w:after="0" w:line="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had approximately $1.5 billion of outstanding borrowings under the ABL Facility at September 30, 2024. Debt issuance costs of $21.0 million and $26.8 million were presented as direct reductions of the corresponding liabilities at September 30, 2024 and December 31, 2023, respectively.</w:t>
      </w:r>
    </w:p>
    <w:p>
      <w:pPr>
        <w:spacing w:after="0" w:line="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ABL Facility and related guarantees are secured by a first priority security interest in substantially all of the assets of WSI and the Company’s other subsidiaries that are borrowers or guarantors under the ABL Facility (collectively the “ABL Loan Parties”), subject to customary exclusions.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Senior Secured Notes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2025 Secured Notes mature on June 15, 2025. At September 30, 2024, the 2025 Secured Notes were classified as long-term on the Condensed Consolidated Balance Sheet because the Company has the intent and believes it has the ability to refinance this obligation on a long-term basis as demonstrated by the forecasted available capacity under the ABL Facility, among other refinancing alternatives to be considered opportunistically.</w:t>
      </w:r>
    </w:p>
    <w:p>
      <w:pPr>
        <w:jc w:val="both"/>
        <w:ind w:firstLine="619"/>
        <w:spacing w:after="0" w:line="271" w:lineRule="auto"/>
        <w:rPr>
          <w:sz w:val="20"/>
          <w:szCs w:val="20"/>
          <w:color w:val="auto"/>
        </w:rPr>
      </w:pPr>
      <w:r>
        <w:rPr>
          <w:rFonts w:ascii="Arial" w:cs="Arial" w:eastAsia="Arial" w:hAnsi="Arial"/>
          <w:sz w:val="15"/>
          <w:szCs w:val="15"/>
          <w:color w:val="auto"/>
        </w:rPr>
        <w:t>On June 28, 2024, WSI completed a private offering of $500.0 million in aggregate principal amount of 6.625% senior secured notes due 2029 (the "2029 Secured Notes") to qualified institutional buyers pursuant to Rule 144A. Proceeds were used to repay approximately $495.0 million of outstanding indebtedness under the ABL Facility and certain fees and expenses. The 2029 Secured Notes mature on June 15, 2029 and bear interest at a rate of 6.625% per annum. Interest is payable semi-annually on June 15 and December 15 of each year, beginning December 15, 2024. Unamortized deferred financing costs pertaining to the 2029 Secured Notes were $6.7 million as of September 30, 2024.</w:t>
      </w:r>
    </w:p>
    <w:p>
      <w:pPr>
        <w:spacing w:after="0" w:line="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2025 Secured Notes, 2028 Secured Notes, 2029 Secured Notes and 2031 Secured Notes (collectively, “the Secured Notes”) are unconditionally guaranteed by certain subsidiaries of the Company (collectively, “the Note Guarantors”). WillScot is not a guarantor of the Secured Notes. The Note Guarantors are guarantors or borrowers under the ABL Facility. To the extent lenders under the ABL Facility release the guarantee of any Note Guarantor, such Note Guarantor will also be released from obligations under the Secured Notes. The Secured Notes and related guarantees are secured by a second priority security interest in substantially the same assets of WSI and the Note Guarantors securing the ABL Facility. Upon the repayment of the 2025 Secured Notes and the 2028 Secured Notes, if the lien associated with the ABL Facility represents the only lien outstanding on the collateral under the 2029 Secured Notes and the 2031 Secured Notes (other than certain permitted), the collateral securing the 2029 Secured Notes and the 2031 Secured Notes will be released and the 2029 Secured Notes and the 2031 Secured Notes will become unsecured subject to satisfaction of customary conditions.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6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maintains finance leases primarily related to transportation-related equipment. At September 30, 2024 and December 31, 2023, obligations under finance leases were $134.2 million and $117.1 million, respectively. Refer to Note 5 for further information.</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was in compliance with all debt covenants and restrictions associated with its debt instruments as of September 30, 2024.</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1D2758"/>
        </w:rPr>
        <w:t>NOTE 10 – Equity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6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connection with the stock compensation vesting and stock option exercises described in Note 14, the Company issued 704,809 shares of Common Stock during the nine months ended September 30, 2024.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In September 2024, the Board of Directors approved a reset of the share repurchase program authorizing the Company to repurchase up to $1.0 billion of its outstanding shares of Common Stock. The stock repurchase program does not obligate the Company to purchase any particular number of shares, and the timing and exact amount of any repurchases will depend on various factors, including market pricing, business, legal, accounting, and other considerations.</w:t>
      </w:r>
    </w:p>
    <w:p>
      <w:pPr>
        <w:jc w:val="both"/>
        <w:ind w:firstLine="619"/>
        <w:spacing w:after="0" w:line="312" w:lineRule="auto"/>
        <w:rPr>
          <w:sz w:val="20"/>
          <w:szCs w:val="20"/>
          <w:color w:val="auto"/>
        </w:rPr>
      </w:pPr>
      <w:r>
        <w:rPr>
          <w:rFonts w:ascii="Arial" w:cs="Arial" w:eastAsia="Arial" w:hAnsi="Arial"/>
          <w:sz w:val="15"/>
          <w:szCs w:val="15"/>
          <w:color w:val="auto"/>
        </w:rPr>
        <w:t>During the nine months ended September 30, 2024, the Company repurchased 3,623,298 shares of Common Stock for $140.4 million, excluding excise tax. As of September 30, 2024, $951.9 million of the authorization for future repurchases of Common Stock remained available.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income (loss) ("AOCI"), net of tax, for the nine months ended September 30, 2024 and 2023 were 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shd w:val="clear" w:color="auto" w:fill="1D2758"/>
          </w:tcPr>
          <w:p>
            <w:pPr>
              <w:spacing w:after="0"/>
              <w:rPr>
                <w:sz w:val="17"/>
                <w:szCs w:val="17"/>
                <w:color w:val="auto"/>
              </w:rPr>
            </w:pPr>
          </w:p>
        </w:tc>
        <w:tc>
          <w:tcPr>
            <w:tcW w:w="5600" w:type="dxa"/>
            <w:vAlign w:val="bottom"/>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4220" w:type="dxa"/>
            <w:vAlign w:val="bottom"/>
            <w:gridSpan w:val="10"/>
            <w:shd w:val="clear" w:color="auto" w:fill="1D2758"/>
          </w:tcPr>
          <w:p>
            <w:pPr>
              <w:jc w:val="center"/>
              <w:ind w:left="963"/>
              <w:spacing w:after="0"/>
              <w:rPr>
                <w:sz w:val="20"/>
                <w:szCs w:val="20"/>
                <w:color w:val="auto"/>
              </w:rPr>
            </w:pPr>
            <w:r>
              <w:rPr>
                <w:rFonts w:ascii="Arial" w:cs="Arial" w:eastAsia="Arial" w:hAnsi="Arial"/>
                <w:sz w:val="15"/>
                <w:szCs w:val="15"/>
                <w:b w:val="1"/>
                <w:bCs w:val="1"/>
                <w:color w:val="FFFFFF"/>
              </w:rPr>
              <w:t>Nine Months Ended September 30, 2024</w:t>
            </w:r>
          </w:p>
        </w:tc>
        <w:tc>
          <w:tcPr>
            <w:tcW w:w="12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1D2758"/>
          </w:tcPr>
          <w:p>
            <w:pPr>
              <w:spacing w:after="0"/>
              <w:rPr>
                <w:sz w:val="13"/>
                <w:szCs w:val="13"/>
                <w:color w:val="auto"/>
              </w:rPr>
            </w:pPr>
          </w:p>
        </w:tc>
        <w:tc>
          <w:tcPr>
            <w:tcW w:w="5600" w:type="dxa"/>
            <w:vAlign w:val="bottom"/>
            <w:shd w:val="clear" w:color="auto" w:fill="1D2758"/>
          </w:tcPr>
          <w:p>
            <w:pPr>
              <w:spacing w:after="0"/>
              <w:rPr>
                <w:sz w:val="13"/>
                <w:szCs w:val="13"/>
                <w:color w:val="auto"/>
              </w:rPr>
            </w:pPr>
          </w:p>
        </w:tc>
        <w:tc>
          <w:tcPr>
            <w:tcW w:w="2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700" w:type="dxa"/>
            <w:vAlign w:val="bottom"/>
            <w:gridSpan w:val="3"/>
            <w:vMerge w:val="restart"/>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Foreign currency</w:t>
            </w:r>
          </w:p>
        </w:tc>
        <w:tc>
          <w:tcPr>
            <w:tcW w:w="2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700" w:type="dxa"/>
            <w:vAlign w:val="bottom"/>
            <w:gridSpan w:val="2"/>
            <w:shd w:val="clear" w:color="auto" w:fill="1D2758"/>
          </w:tcPr>
          <w:p>
            <w:pPr>
              <w:jc w:val="center"/>
              <w:ind w:right="160"/>
              <w:spacing w:after="0" w:line="155" w:lineRule="exact"/>
              <w:rPr>
                <w:sz w:val="20"/>
                <w:szCs w:val="20"/>
                <w:color w:val="auto"/>
              </w:rPr>
            </w:pPr>
            <w:r>
              <w:rPr>
                <w:rFonts w:ascii="Arial" w:cs="Arial" w:eastAsia="Arial" w:hAnsi="Arial"/>
                <w:sz w:val="15"/>
                <w:szCs w:val="15"/>
                <w:b w:val="1"/>
                <w:bCs w:val="1"/>
                <w:color w:val="FFFFFF"/>
              </w:rPr>
              <w:t>Unrealized gains</w:t>
            </w:r>
          </w:p>
        </w:tc>
        <w:tc>
          <w:tcPr>
            <w:tcW w:w="80" w:type="dxa"/>
            <w:vAlign w:val="bottom"/>
            <w:shd w:val="clear" w:color="auto" w:fill="1D2758"/>
          </w:tcPr>
          <w:p>
            <w:pPr>
              <w:spacing w:after="0"/>
              <w:rPr>
                <w:sz w:val="13"/>
                <w:szCs w:val="13"/>
                <w:color w:val="auto"/>
              </w:rPr>
            </w:pPr>
          </w:p>
        </w:tc>
        <w:tc>
          <w:tcPr>
            <w:tcW w:w="20" w:type="dxa"/>
            <w:vAlign w:val="bottom"/>
            <w:shd w:val="clear" w:color="auto" w:fill="1D2758"/>
          </w:tcPr>
          <w:p>
            <w:pPr>
              <w:spacing w:after="0"/>
              <w:rPr>
                <w:sz w:val="13"/>
                <w:szCs w:val="13"/>
                <w:color w:val="auto"/>
              </w:rPr>
            </w:pPr>
          </w:p>
        </w:tc>
        <w:tc>
          <w:tcPr>
            <w:tcW w:w="560" w:type="dxa"/>
            <w:vAlign w:val="bottom"/>
            <w:shd w:val="clear" w:color="auto" w:fill="1D2758"/>
          </w:tcPr>
          <w:p>
            <w:pPr>
              <w:spacing w:after="0"/>
              <w:rPr>
                <w:sz w:val="13"/>
                <w:szCs w:val="13"/>
                <w:color w:val="auto"/>
              </w:rPr>
            </w:pPr>
          </w:p>
        </w:tc>
        <w:tc>
          <w:tcPr>
            <w:tcW w:w="122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2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700" w:type="dxa"/>
            <w:vAlign w:val="bottom"/>
            <w:gridSpan w:val="3"/>
            <w:vMerge w:val="continue"/>
            <w:shd w:val="clear" w:color="auto" w:fill="1D2758"/>
          </w:tcPr>
          <w:p>
            <w:pPr>
              <w:spacing w:after="0"/>
              <w:rPr>
                <w:sz w:val="13"/>
                <w:szCs w:val="13"/>
                <w:color w:val="auto"/>
              </w:rPr>
            </w:pPr>
          </w:p>
        </w:tc>
        <w:tc>
          <w:tcPr>
            <w:tcW w:w="2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700" w:type="dxa"/>
            <w:vAlign w:val="bottom"/>
            <w:gridSpan w:val="2"/>
            <w:shd w:val="clear" w:color="auto" w:fill="1D2758"/>
          </w:tcPr>
          <w:p>
            <w:pPr>
              <w:jc w:val="center"/>
              <w:ind w:right="160"/>
              <w:spacing w:after="0" w:line="155" w:lineRule="exact"/>
              <w:rPr>
                <w:sz w:val="20"/>
                <w:szCs w:val="20"/>
                <w:color w:val="auto"/>
              </w:rPr>
            </w:pPr>
            <w:r>
              <w:rPr>
                <w:rFonts w:ascii="Arial" w:cs="Arial" w:eastAsia="Arial" w:hAnsi="Arial"/>
                <w:sz w:val="15"/>
                <w:szCs w:val="15"/>
                <w:b w:val="1"/>
                <w:bCs w:val="1"/>
                <w:color w:val="FFFFFF"/>
              </w:rPr>
              <w:t>(losses) on hedging</w:t>
            </w:r>
          </w:p>
        </w:tc>
        <w:tc>
          <w:tcPr>
            <w:tcW w:w="80" w:type="dxa"/>
            <w:vAlign w:val="bottom"/>
            <w:shd w:val="clear" w:color="auto" w:fill="1D2758"/>
          </w:tcPr>
          <w:p>
            <w:pPr>
              <w:spacing w:after="0"/>
              <w:rPr>
                <w:sz w:val="13"/>
                <w:szCs w:val="13"/>
                <w:color w:val="auto"/>
              </w:rPr>
            </w:pPr>
          </w:p>
        </w:tc>
        <w:tc>
          <w:tcPr>
            <w:tcW w:w="20" w:type="dxa"/>
            <w:vAlign w:val="bottom"/>
            <w:shd w:val="clear" w:color="auto" w:fill="1D2758"/>
          </w:tcPr>
          <w:p>
            <w:pPr>
              <w:spacing w:after="0"/>
              <w:rPr>
                <w:sz w:val="13"/>
                <w:szCs w:val="13"/>
                <w:color w:val="auto"/>
              </w:rPr>
            </w:pPr>
          </w:p>
        </w:tc>
        <w:tc>
          <w:tcPr>
            <w:tcW w:w="560" w:type="dxa"/>
            <w:vAlign w:val="bottom"/>
            <w:shd w:val="clear" w:color="auto" w:fill="1D2758"/>
          </w:tcPr>
          <w:p>
            <w:pPr>
              <w:spacing w:after="0"/>
              <w:rPr>
                <w:sz w:val="13"/>
                <w:szCs w:val="13"/>
                <w:color w:val="auto"/>
              </w:rPr>
            </w:pPr>
          </w:p>
        </w:tc>
        <w:tc>
          <w:tcPr>
            <w:tcW w:w="122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20" w:type="dxa"/>
            <w:vAlign w:val="bottom"/>
            <w:gridSpan w:val="2"/>
            <w:vMerge w:val="continue"/>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700" w:type="dxa"/>
            <w:vAlign w:val="bottom"/>
            <w:gridSpan w:val="3"/>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2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160"/>
              <w:spacing w:after="0"/>
              <w:rPr>
                <w:sz w:val="20"/>
                <w:szCs w:val="20"/>
                <w:color w:val="auto"/>
              </w:rPr>
            </w:pPr>
            <w:r>
              <w:rPr>
                <w:rFonts w:ascii="Arial" w:cs="Arial" w:eastAsia="Arial" w:hAnsi="Arial"/>
                <w:sz w:val="15"/>
                <w:szCs w:val="15"/>
                <w:b w:val="1"/>
                <w:bCs w:val="1"/>
                <w:color w:val="FFFFFF"/>
              </w:rPr>
              <w:t>activities</w:t>
            </w:r>
          </w:p>
        </w:tc>
        <w:tc>
          <w:tcPr>
            <w:tcW w:w="80" w:type="dxa"/>
            <w:vAlign w:val="bottom"/>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2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180" w:type="dxa"/>
            <w:vAlign w:val="bottom"/>
            <w:gridSpan w:val="2"/>
            <w:shd w:val="clear" w:color="auto" w:fill="DBDBDB"/>
          </w:tcPr>
          <w:p>
            <w:pPr>
              <w:jc w:val="right"/>
              <w:ind w:right="80"/>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(56,031)</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gridSpan w:val="2"/>
            <w:shd w:val="clear" w:color="auto" w:fill="DBDBDB"/>
          </w:tcPr>
          <w:p>
            <w:pPr>
              <w:jc w:val="right"/>
              <w:ind w:right="60"/>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3,263</w:t>
            </w:r>
          </w:p>
        </w:tc>
        <w:tc>
          <w:tcPr>
            <w:tcW w:w="20" w:type="dxa"/>
            <w:vAlign w:val="bottom"/>
            <w:shd w:val="clear" w:color="auto" w:fill="DBDBDB"/>
          </w:tcPr>
          <w:p>
            <w:pPr>
              <w:spacing w:after="0"/>
              <w:rPr>
                <w:sz w:val="17"/>
                <w:szCs w:val="17"/>
                <w:color w:val="auto"/>
              </w:rPr>
            </w:pPr>
          </w:p>
        </w:tc>
        <w:tc>
          <w:tcPr>
            <w:tcW w:w="660" w:type="dxa"/>
            <w:vAlign w:val="bottom"/>
            <w:gridSpan w:val="3"/>
            <w:shd w:val="clear" w:color="auto" w:fill="DBDBDB"/>
          </w:tcPr>
          <w:p>
            <w:pPr>
              <w:jc w:val="right"/>
              <w:ind w:right="38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5"/>
                <w:szCs w:val="15"/>
                <w:color w:val="auto"/>
              </w:rPr>
              <w:t>Other comprehensive (loss) income before reclassifications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(5,548)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ind w:left="1160"/>
              <w:spacing w:after="0"/>
              <w:rPr>
                <w:sz w:val="20"/>
                <w:szCs w:val="20"/>
                <w:color w:val="auto"/>
              </w:rPr>
            </w:pPr>
            <w:r>
              <w:rPr>
                <w:rFonts w:ascii="Arial" w:cs="Arial" w:eastAsia="Arial" w:hAnsi="Arial"/>
                <w:sz w:val="15"/>
                <w:szCs w:val="15"/>
                <w:color w:val="auto"/>
              </w:rPr>
              <w:t>18,807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13,259</w:t>
            </w:r>
          </w:p>
        </w:tc>
        <w:tc>
          <w:tcPr>
            <w:tcW w:w="0" w:type="dxa"/>
            <w:vAlign w:val="bottom"/>
          </w:tcPr>
          <w:p>
            <w:pPr>
              <w:spacing w:after="0"/>
              <w:rPr>
                <w:sz w:val="1"/>
                <w:szCs w:val="1"/>
                <w:color w:val="auto"/>
              </w:rPr>
            </w:pPr>
          </w:p>
        </w:tc>
      </w:tr>
      <w:tr>
        <w:trPr>
          <w:trHeight w:val="207"/>
        </w:trPr>
        <w:tc>
          <w:tcPr>
            <w:tcW w:w="20" w:type="dxa"/>
            <w:vAlign w:val="bottom"/>
            <w:shd w:val="clear" w:color="auto" w:fill="DBDBDB"/>
          </w:tcPr>
          <w:p>
            <w:pPr>
              <w:spacing w:after="0"/>
              <w:rPr>
                <w:sz w:val="18"/>
                <w:szCs w:val="18"/>
                <w:color w:val="auto"/>
              </w:rPr>
            </w:pPr>
          </w:p>
        </w:tc>
        <w:tc>
          <w:tcPr>
            <w:tcW w:w="5600" w:type="dxa"/>
            <w:vAlign w:val="bottom"/>
            <w:shd w:val="clear" w:color="auto" w:fill="DBDBDB"/>
          </w:tcPr>
          <w:p>
            <w:pPr>
              <w:ind w:left="200"/>
              <w:spacing w:after="0"/>
              <w:rPr>
                <w:sz w:val="20"/>
                <w:szCs w:val="20"/>
                <w:color w:val="auto"/>
              </w:rPr>
            </w:pPr>
            <w:r>
              <w:rPr>
                <w:rFonts w:ascii="Arial" w:cs="Arial" w:eastAsia="Arial" w:hAnsi="Arial"/>
                <w:sz w:val="15"/>
                <w:szCs w:val="15"/>
                <w:color w:val="auto"/>
              </w:rPr>
              <w:t>Reclassifications from AOCI to income</w:t>
            </w:r>
          </w:p>
        </w:tc>
        <w:tc>
          <w:tcPr>
            <w:tcW w:w="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gridSpan w:val="3"/>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(5,267)</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(5,267)</w:t>
            </w:r>
          </w:p>
        </w:tc>
        <w:tc>
          <w:tcPr>
            <w:tcW w:w="0" w:type="dxa"/>
            <w:vAlign w:val="bottom"/>
          </w:tcPr>
          <w:p>
            <w:pPr>
              <w:spacing w:after="0"/>
              <w:rPr>
                <w:sz w:val="1"/>
                <w:szCs w:val="1"/>
                <w:color w:val="auto"/>
              </w:rPr>
            </w:pPr>
          </w:p>
        </w:tc>
      </w:tr>
      <w:tr>
        <w:trPr>
          <w:trHeight w:val="198"/>
        </w:trPr>
        <w:tc>
          <w:tcPr>
            <w:tcW w:w="5620" w:type="dxa"/>
            <w:vAlign w:val="bottom"/>
            <w:gridSpan w:val="2"/>
          </w:tcPr>
          <w:p>
            <w:pPr>
              <w:ind w:left="20"/>
              <w:spacing w:after="0"/>
              <w:rPr>
                <w:sz w:val="20"/>
                <w:szCs w:val="20"/>
                <w:color w:val="auto"/>
              </w:rPr>
            </w:pPr>
            <w:r>
              <w:rPr>
                <w:rFonts w:ascii="Arial" w:cs="Arial" w:eastAsia="Arial" w:hAnsi="Arial"/>
                <w:sz w:val="15"/>
                <w:szCs w:val="15"/>
                <w:color w:val="auto"/>
              </w:rPr>
              <w:t>Balance at March 31, 2024</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(61,579)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ind w:left="1160"/>
              <w:spacing w:after="0"/>
              <w:rPr>
                <w:sz w:val="20"/>
                <w:szCs w:val="20"/>
                <w:color w:val="auto"/>
              </w:rPr>
            </w:pPr>
            <w:r>
              <w:rPr>
                <w:rFonts w:ascii="Arial" w:cs="Arial" w:eastAsia="Arial" w:hAnsi="Arial"/>
                <w:sz w:val="15"/>
                <w:szCs w:val="15"/>
                <w:color w:val="auto"/>
              </w:rPr>
              <w:t>16,803</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(44,776)</w:t>
            </w:r>
          </w:p>
        </w:tc>
        <w:tc>
          <w:tcPr>
            <w:tcW w:w="0" w:type="dxa"/>
            <w:vAlign w:val="bottom"/>
          </w:tcPr>
          <w:p>
            <w:pPr>
              <w:spacing w:after="0"/>
              <w:rPr>
                <w:sz w:val="1"/>
                <w:szCs w:val="1"/>
                <w:color w:val="auto"/>
              </w:rPr>
            </w:pPr>
          </w:p>
        </w:tc>
      </w:tr>
      <w:tr>
        <w:trPr>
          <w:trHeight w:val="207"/>
        </w:trPr>
        <w:tc>
          <w:tcPr>
            <w:tcW w:w="20" w:type="dxa"/>
            <w:vAlign w:val="bottom"/>
            <w:shd w:val="clear" w:color="auto" w:fill="DBDBDB"/>
          </w:tcPr>
          <w:p>
            <w:pPr>
              <w:spacing w:after="0"/>
              <w:rPr>
                <w:sz w:val="18"/>
                <w:szCs w:val="18"/>
                <w:color w:val="auto"/>
              </w:rPr>
            </w:pPr>
          </w:p>
        </w:tc>
        <w:tc>
          <w:tcPr>
            <w:tcW w:w="5600" w:type="dxa"/>
            <w:vAlign w:val="bottom"/>
            <w:shd w:val="clear" w:color="auto" w:fill="DBDBDB"/>
          </w:tcPr>
          <w:p>
            <w:pPr>
              <w:ind w:left="200"/>
              <w:spacing w:after="0"/>
              <w:rPr>
                <w:sz w:val="20"/>
                <w:szCs w:val="20"/>
                <w:color w:val="auto"/>
              </w:rPr>
            </w:pPr>
            <w:r>
              <w:rPr>
                <w:rFonts w:ascii="Arial" w:cs="Arial" w:eastAsia="Arial" w:hAnsi="Arial"/>
                <w:sz w:val="15"/>
                <w:szCs w:val="15"/>
                <w:color w:val="auto"/>
              </w:rPr>
              <w:t>Other comprehensive (loss) income before reclassifications</w:t>
            </w:r>
          </w:p>
        </w:tc>
        <w:tc>
          <w:tcPr>
            <w:tcW w:w="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(4,154)</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7,247</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5"/>
                <w:szCs w:val="15"/>
                <w:color w:val="auto"/>
              </w:rPr>
              <w:t>Reclassifications from AOCI to income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(5,623)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(5,623)</w:t>
            </w:r>
          </w:p>
        </w:tc>
        <w:tc>
          <w:tcPr>
            <w:tcW w:w="0" w:type="dxa"/>
            <w:vAlign w:val="bottom"/>
          </w:tcPr>
          <w:p>
            <w:pPr>
              <w:spacing w:after="0"/>
              <w:rPr>
                <w:sz w:val="1"/>
                <w:szCs w:val="1"/>
                <w:color w:val="auto"/>
              </w:rPr>
            </w:pPr>
          </w:p>
        </w:tc>
      </w:tr>
      <w:tr>
        <w:trPr>
          <w:trHeight w:val="200"/>
        </w:trPr>
        <w:tc>
          <w:tcPr>
            <w:tcW w:w="56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5"/>
                <w:szCs w:val="15"/>
                <w:color w:val="auto"/>
              </w:rPr>
              <w:t>Balance at June 30, 2024</w:t>
            </w:r>
          </w:p>
        </w:tc>
        <w:tc>
          <w:tcPr>
            <w:tcW w:w="20" w:type="dxa"/>
            <w:vAlign w:val="bottom"/>
            <w:tcBorders>
              <w:top w:val="single" w:sz="8" w:color="auto"/>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(65,733)</w:t>
            </w:r>
          </w:p>
        </w:tc>
        <w:tc>
          <w:tcPr>
            <w:tcW w:w="20" w:type="dxa"/>
            <w:vAlign w:val="bottom"/>
            <w:tcBorders>
              <w:top w:val="single" w:sz="8" w:color="DBDBDB"/>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0" w:type="dxa"/>
            <w:vAlign w:val="bottom"/>
            <w:tcBorders>
              <w:top w:val="single" w:sz="8" w:color="auto"/>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680" w:type="dxa"/>
            <w:vAlign w:val="bottom"/>
            <w:tcBorders>
              <w:top w:val="single" w:sz="8" w:color="auto"/>
            </w:tcBorders>
            <w:shd w:val="clear" w:color="auto" w:fill="DBDBDB"/>
          </w:tcPr>
          <w:p>
            <w:pPr>
              <w:ind w:left="1160"/>
              <w:spacing w:after="0"/>
              <w:rPr>
                <w:sz w:val="20"/>
                <w:szCs w:val="20"/>
                <w:color w:val="auto"/>
              </w:rPr>
            </w:pPr>
            <w:r>
              <w:rPr>
                <w:rFonts w:ascii="Arial" w:cs="Arial" w:eastAsia="Arial" w:hAnsi="Arial"/>
                <w:sz w:val="15"/>
                <w:szCs w:val="15"/>
                <w:color w:val="auto"/>
              </w:rPr>
              <w:t>18,427</w:t>
            </w:r>
          </w:p>
        </w:tc>
        <w:tc>
          <w:tcPr>
            <w:tcW w:w="2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0" w:type="dxa"/>
            <w:vAlign w:val="bottom"/>
            <w:tcBorders>
              <w:top w:val="single" w:sz="8" w:color="DBDBDB"/>
            </w:tcBorders>
            <w:shd w:val="clear" w:color="auto" w:fill="DBDBDB"/>
          </w:tcPr>
          <w:p>
            <w:pPr>
              <w:spacing w:after="0"/>
              <w:rPr>
                <w:sz w:val="17"/>
                <w:szCs w:val="17"/>
                <w:color w:val="auto"/>
              </w:rPr>
            </w:pPr>
          </w:p>
        </w:tc>
        <w:tc>
          <w:tcPr>
            <w:tcW w:w="560" w:type="dxa"/>
            <w:vAlign w:val="bottom"/>
            <w:tcBorders>
              <w:top w:val="single" w:sz="8" w:color="auto"/>
            </w:tcBorders>
            <w:shd w:val="clear" w:color="auto" w:fill="DBDBDB"/>
          </w:tcPr>
          <w:p>
            <w:pPr>
              <w:spacing w:after="0"/>
              <w:rPr>
                <w:sz w:val="17"/>
                <w:szCs w:val="17"/>
                <w:color w:val="auto"/>
              </w:rPr>
            </w:pP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(47,306)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5"/>
                <w:szCs w:val="15"/>
                <w:color w:val="auto"/>
              </w:rPr>
              <w:t>Other comprehensive income (loss) before reclassifications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1,952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(18,973)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(17,021)</w:t>
            </w:r>
          </w:p>
        </w:tc>
        <w:tc>
          <w:tcPr>
            <w:tcW w:w="0" w:type="dxa"/>
            <w:vAlign w:val="bottom"/>
          </w:tcPr>
          <w:p>
            <w:pPr>
              <w:spacing w:after="0"/>
              <w:rPr>
                <w:sz w:val="1"/>
                <w:szCs w:val="1"/>
                <w:color w:val="auto"/>
              </w:rPr>
            </w:pPr>
          </w:p>
        </w:tc>
      </w:tr>
      <w:tr>
        <w:trPr>
          <w:trHeight w:val="207"/>
        </w:trPr>
        <w:tc>
          <w:tcPr>
            <w:tcW w:w="20" w:type="dxa"/>
            <w:vAlign w:val="bottom"/>
            <w:shd w:val="clear" w:color="auto" w:fill="DBDBDB"/>
          </w:tcPr>
          <w:p>
            <w:pPr>
              <w:spacing w:after="0"/>
              <w:rPr>
                <w:sz w:val="18"/>
                <w:szCs w:val="18"/>
                <w:color w:val="auto"/>
              </w:rPr>
            </w:pPr>
          </w:p>
        </w:tc>
        <w:tc>
          <w:tcPr>
            <w:tcW w:w="5600" w:type="dxa"/>
            <w:vAlign w:val="bottom"/>
            <w:shd w:val="clear" w:color="auto" w:fill="DBDBDB"/>
          </w:tcPr>
          <w:p>
            <w:pPr>
              <w:ind w:left="200"/>
              <w:spacing w:after="0"/>
              <w:rPr>
                <w:sz w:val="20"/>
                <w:szCs w:val="20"/>
                <w:color w:val="auto"/>
              </w:rPr>
            </w:pPr>
            <w:r>
              <w:rPr>
                <w:rFonts w:ascii="Arial" w:cs="Arial" w:eastAsia="Arial" w:hAnsi="Arial"/>
                <w:sz w:val="15"/>
                <w:szCs w:val="15"/>
                <w:color w:val="auto"/>
              </w:rPr>
              <w:t>Reclassifications from AOCI to income</w:t>
            </w:r>
          </w:p>
        </w:tc>
        <w:tc>
          <w:tcPr>
            <w:tcW w:w="20" w:type="dxa"/>
            <w:vAlign w:val="bottom"/>
            <w:tcBorders>
              <w:bottom w:val="single" w:sz="8" w:color="auto"/>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(5,597)</w:t>
            </w:r>
          </w:p>
        </w:tc>
        <w:tc>
          <w:tcPr>
            <w:tcW w:w="20" w:type="dxa"/>
            <w:vAlign w:val="bottom"/>
            <w:tcBorders>
              <w:bottom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(5,597)</w:t>
            </w:r>
          </w:p>
        </w:tc>
        <w:tc>
          <w:tcPr>
            <w:tcW w:w="0" w:type="dxa"/>
            <w:vAlign w:val="bottom"/>
          </w:tcPr>
          <w:p>
            <w:pPr>
              <w:spacing w:after="0"/>
              <w:rPr>
                <w:sz w:val="1"/>
                <w:szCs w:val="1"/>
                <w:color w:val="auto"/>
              </w:rPr>
            </w:pPr>
          </w:p>
        </w:tc>
      </w:tr>
      <w:tr>
        <w:trPr>
          <w:trHeight w:val="198"/>
        </w:trPr>
        <w:tc>
          <w:tcPr>
            <w:tcW w:w="5620" w:type="dxa"/>
            <w:vAlign w:val="bottom"/>
            <w:gridSpan w:val="2"/>
          </w:tcPr>
          <w:p>
            <w:pPr>
              <w:ind w:left="20"/>
              <w:spacing w:after="0"/>
              <w:rPr>
                <w:sz w:val="20"/>
                <w:szCs w:val="20"/>
                <w:color w:val="auto"/>
              </w:rPr>
            </w:pPr>
            <w:r>
              <w:rPr>
                <w:rFonts w:ascii="Arial" w:cs="Arial" w:eastAsia="Arial" w:hAnsi="Arial"/>
                <w:sz w:val="15"/>
                <w:szCs w:val="15"/>
                <w:color w:val="auto"/>
              </w:rPr>
              <w:t>Balance at September 30, 2024</w:t>
            </w: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(6,143)</w:t>
            </w:r>
          </w:p>
        </w:tc>
        <w:tc>
          <w:tcPr>
            <w:tcW w:w="2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82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580" w:type="dxa"/>
            <w:vAlign w:val="bottom"/>
            <w:gridSpan w:val="2"/>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4220" w:type="dxa"/>
            <w:vAlign w:val="bottom"/>
            <w:gridSpan w:val="10"/>
            <w:shd w:val="clear" w:color="auto" w:fill="1D2758"/>
          </w:tcPr>
          <w:p>
            <w:pPr>
              <w:jc w:val="center"/>
              <w:ind w:left="963"/>
              <w:spacing w:after="0"/>
              <w:rPr>
                <w:sz w:val="20"/>
                <w:szCs w:val="20"/>
                <w:color w:val="auto"/>
              </w:rPr>
            </w:pPr>
            <w:r>
              <w:rPr>
                <w:rFonts w:ascii="Arial" w:cs="Arial" w:eastAsia="Arial" w:hAnsi="Arial"/>
                <w:sz w:val="15"/>
                <w:szCs w:val="15"/>
                <w:b w:val="1"/>
                <w:bCs w:val="1"/>
                <w:color w:val="FFFFFF"/>
              </w:rPr>
              <w:t>Nine Months Ended September 30, 2023</w:t>
            </w:r>
          </w:p>
        </w:tc>
        <w:tc>
          <w:tcPr>
            <w:tcW w:w="12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700" w:type="dxa"/>
            <w:vAlign w:val="bottom"/>
            <w:gridSpan w:val="3"/>
            <w:shd w:val="clear" w:color="auto" w:fill="1D2758"/>
          </w:tcPr>
          <w:p>
            <w:pPr>
              <w:jc w:val="center"/>
              <w:ind w:right="240"/>
              <w:spacing w:after="0" w:line="155" w:lineRule="exact"/>
              <w:rPr>
                <w:sz w:val="20"/>
                <w:szCs w:val="20"/>
                <w:color w:val="auto"/>
              </w:rPr>
            </w:pPr>
            <w:r>
              <w:rPr>
                <w:rFonts w:ascii="Arial" w:cs="Arial" w:eastAsia="Arial" w:hAnsi="Arial"/>
                <w:sz w:val="15"/>
                <w:szCs w:val="15"/>
                <w:b w:val="1"/>
                <w:bCs w:val="1"/>
                <w:color w:val="FFFFFF"/>
              </w:rPr>
              <w:t>Foreign currency</w:t>
            </w:r>
          </w:p>
        </w:tc>
        <w:tc>
          <w:tcPr>
            <w:tcW w:w="2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700" w:type="dxa"/>
            <w:vAlign w:val="bottom"/>
            <w:gridSpan w:val="2"/>
            <w:shd w:val="clear" w:color="auto" w:fill="1D2758"/>
          </w:tcPr>
          <w:p>
            <w:pPr>
              <w:jc w:val="center"/>
              <w:ind w:right="160"/>
              <w:spacing w:after="0" w:line="155" w:lineRule="exact"/>
              <w:rPr>
                <w:sz w:val="20"/>
                <w:szCs w:val="20"/>
                <w:color w:val="auto"/>
              </w:rPr>
            </w:pPr>
            <w:r>
              <w:rPr>
                <w:rFonts w:ascii="Arial" w:cs="Arial" w:eastAsia="Arial" w:hAnsi="Arial"/>
                <w:sz w:val="15"/>
                <w:szCs w:val="15"/>
                <w:b w:val="1"/>
                <w:bCs w:val="1"/>
                <w:color w:val="FFFFFF"/>
              </w:rPr>
              <w:t>Unrealized gains on</w:t>
            </w:r>
          </w:p>
        </w:tc>
        <w:tc>
          <w:tcPr>
            <w:tcW w:w="80" w:type="dxa"/>
            <w:vAlign w:val="bottom"/>
            <w:shd w:val="clear" w:color="auto" w:fill="1D2758"/>
          </w:tcPr>
          <w:p>
            <w:pPr>
              <w:spacing w:after="0"/>
              <w:rPr>
                <w:sz w:val="13"/>
                <w:szCs w:val="13"/>
                <w:color w:val="auto"/>
              </w:rPr>
            </w:pPr>
          </w:p>
        </w:tc>
        <w:tc>
          <w:tcPr>
            <w:tcW w:w="20" w:type="dxa"/>
            <w:vAlign w:val="bottom"/>
            <w:shd w:val="clear" w:color="auto" w:fill="1D2758"/>
          </w:tcPr>
          <w:p>
            <w:pPr>
              <w:spacing w:after="0"/>
              <w:rPr>
                <w:sz w:val="13"/>
                <w:szCs w:val="13"/>
                <w:color w:val="auto"/>
              </w:rPr>
            </w:pPr>
          </w:p>
        </w:tc>
        <w:tc>
          <w:tcPr>
            <w:tcW w:w="560" w:type="dxa"/>
            <w:vAlign w:val="bottom"/>
            <w:shd w:val="clear" w:color="auto" w:fill="1D2758"/>
          </w:tcPr>
          <w:p>
            <w:pPr>
              <w:spacing w:after="0"/>
              <w:rPr>
                <w:sz w:val="13"/>
                <w:szCs w:val="13"/>
                <w:color w:val="auto"/>
              </w:rPr>
            </w:pPr>
          </w:p>
        </w:tc>
        <w:tc>
          <w:tcPr>
            <w:tcW w:w="122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vMerge w:val="continue"/>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700" w:type="dxa"/>
            <w:vAlign w:val="bottom"/>
            <w:gridSpan w:val="3"/>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translation</w:t>
            </w:r>
          </w:p>
        </w:tc>
        <w:tc>
          <w:tcPr>
            <w:tcW w:w="2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160"/>
              <w:spacing w:after="0"/>
              <w:rPr>
                <w:sz w:val="20"/>
                <w:szCs w:val="20"/>
                <w:color w:val="auto"/>
              </w:rPr>
            </w:pPr>
            <w:r>
              <w:rPr>
                <w:rFonts w:ascii="Arial" w:cs="Arial" w:eastAsia="Arial" w:hAnsi="Arial"/>
                <w:sz w:val="15"/>
                <w:szCs w:val="15"/>
                <w:b w:val="1"/>
                <w:bCs w:val="1"/>
                <w:color w:val="FFFFFF"/>
              </w:rPr>
              <w:t>hedging activities</w:t>
            </w:r>
          </w:p>
        </w:tc>
        <w:tc>
          <w:tcPr>
            <w:tcW w:w="80" w:type="dxa"/>
            <w:vAlign w:val="bottom"/>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2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180" w:type="dxa"/>
            <w:vAlign w:val="bottom"/>
            <w:gridSpan w:val="2"/>
            <w:shd w:val="clear" w:color="auto" w:fill="DBDBDB"/>
          </w:tcPr>
          <w:p>
            <w:pPr>
              <w:jc w:val="right"/>
              <w:ind w:right="60"/>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gridSpan w:val="2"/>
            <w:shd w:val="clear" w:color="auto" w:fill="DBDBDB"/>
          </w:tcPr>
          <w:p>
            <w:pPr>
              <w:jc w:val="right"/>
              <w:ind w:right="40"/>
              <w:spacing w:after="0"/>
              <w:rPr>
                <w:sz w:val="20"/>
                <w:szCs w:val="20"/>
                <w:color w:val="auto"/>
              </w:rPr>
            </w:pPr>
            <w:r>
              <w:rPr>
                <w:rFonts w:ascii="Arial" w:cs="Arial" w:eastAsia="Arial" w:hAnsi="Arial"/>
                <w:sz w:val="15"/>
                <w:szCs w:val="15"/>
                <w:color w:val="auto"/>
              </w:rPr>
              <w:t>$</w:t>
            </w:r>
          </w:p>
        </w:tc>
        <w:tc>
          <w:tcPr>
            <w:tcW w:w="1700" w:type="dxa"/>
            <w:vAlign w:val="bottom"/>
            <w:gridSpan w:val="2"/>
            <w:shd w:val="clear" w:color="auto" w:fill="DBDBDB"/>
          </w:tcPr>
          <w:p>
            <w:pPr>
              <w:jc w:val="right"/>
              <w:ind w:right="80"/>
              <w:spacing w:after="0"/>
              <w:rPr>
                <w:sz w:val="20"/>
                <w:szCs w:val="20"/>
                <w:color w:val="auto"/>
              </w:rPr>
            </w:pPr>
            <w:r>
              <w:rPr>
                <w:rFonts w:ascii="Arial" w:cs="Arial" w:eastAsia="Arial" w:hAnsi="Arial"/>
                <w:sz w:val="15"/>
                <w:szCs w:val="15"/>
                <w:color w:val="auto"/>
              </w:rPr>
              <w:t>—</w:t>
            </w:r>
          </w:p>
        </w:tc>
        <w:tc>
          <w:tcPr>
            <w:tcW w:w="660" w:type="dxa"/>
            <w:vAlign w:val="bottom"/>
            <w:gridSpan w:val="3"/>
            <w:shd w:val="clear" w:color="auto" w:fill="DBDBDB"/>
          </w:tcPr>
          <w:p>
            <w:pPr>
              <w:jc w:val="right"/>
              <w:ind w:right="4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220"/>
              <w:spacing w:after="0"/>
              <w:rPr>
                <w:sz w:val="20"/>
                <w:szCs w:val="20"/>
                <w:color w:val="auto"/>
              </w:rPr>
            </w:pPr>
            <w:r>
              <w:rPr>
                <w:rFonts w:ascii="Arial" w:cs="Arial" w:eastAsia="Arial" w:hAnsi="Arial"/>
                <w:sz w:val="15"/>
                <w:szCs w:val="15"/>
                <w:color w:val="auto"/>
              </w:rPr>
              <w:t>Other comprehensive income before reclassifications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7,934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8,793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gridSpan w:val="3"/>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80" w:type="dxa"/>
            <w:vAlign w:val="bottom"/>
            <w:shd w:val="clear" w:color="auto" w:fill="DBDBDB"/>
          </w:tcPr>
          <w:p>
            <w:pPr>
              <w:ind w:left="1160"/>
              <w:spacing w:after="0"/>
              <w:rPr>
                <w:sz w:val="20"/>
                <w:szCs w:val="20"/>
                <w:color w:val="auto"/>
              </w:rPr>
            </w:pPr>
            <w:r>
              <w:rPr>
                <w:rFonts w:ascii="Arial" w:cs="Arial" w:eastAsia="Arial" w:hAnsi="Arial"/>
                <w:sz w:val="15"/>
                <w:szCs w:val="15"/>
                <w:color w:val="auto"/>
              </w:rPr>
              <w:t>(1,526)</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Arial" w:cs="Arial" w:eastAsia="Arial" w:hAnsi="Arial"/>
                <w:sz w:val="15"/>
                <w:szCs w:val="15"/>
                <w:color w:val="auto"/>
              </w:rPr>
              <w:t>Balance at March 31, 2023</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(62,188)</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(62,855)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 before reclassifications</w:t>
            </w:r>
          </w:p>
        </w:tc>
        <w:tc>
          <w:tcPr>
            <w:tcW w:w="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5,915</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15,761</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21,676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220"/>
              <w:spacing w:after="0"/>
              <w:rPr>
                <w:sz w:val="20"/>
                <w:szCs w:val="20"/>
                <w:color w:val="auto"/>
              </w:rPr>
            </w:pPr>
            <w:r>
              <w:rPr>
                <w:rFonts w:ascii="Arial" w:cs="Arial" w:eastAsia="Arial" w:hAnsi="Arial"/>
                <w:sz w:val="15"/>
                <w:szCs w:val="15"/>
                <w:color w:val="auto"/>
              </w:rPr>
              <w:t>Reclassifications from AOCI to income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ind w:left="1160"/>
              <w:spacing w:after="0"/>
              <w:rPr>
                <w:sz w:val="20"/>
                <w:szCs w:val="20"/>
                <w:color w:val="auto"/>
              </w:rPr>
            </w:pPr>
            <w:r>
              <w:rPr>
                <w:rFonts w:ascii="Arial" w:cs="Arial" w:eastAsia="Arial" w:hAnsi="Arial"/>
                <w:sz w:val="15"/>
                <w:szCs w:val="15"/>
                <w:color w:val="auto"/>
              </w:rPr>
              <w:t>(2,930)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2023</w:t>
            </w:r>
          </w:p>
        </w:tc>
        <w:tc>
          <w:tcPr>
            <w:tcW w:w="2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(56,273)</w:t>
            </w:r>
          </w:p>
        </w:tc>
        <w:tc>
          <w:tcPr>
            <w:tcW w:w="2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12,164</w:t>
            </w:r>
          </w:p>
        </w:tc>
        <w:tc>
          <w:tcPr>
            <w:tcW w:w="20" w:type="dxa"/>
            <w:vAlign w:val="bottom"/>
            <w:tcBorders>
              <w:top w:val="single" w:sz="8" w:color="DBDBDB"/>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0" w:type="dxa"/>
            <w:vAlign w:val="bottom"/>
            <w:tcBorders>
              <w:top w:val="single" w:sz="8" w:color="auto"/>
            </w:tcBorders>
            <w:shd w:val="clear" w:color="auto" w:fill="DBDBDB"/>
          </w:tcPr>
          <w:p>
            <w:pPr>
              <w:spacing w:after="0"/>
              <w:rPr>
                <w:sz w:val="17"/>
                <w:szCs w:val="17"/>
                <w:color w:val="auto"/>
              </w:rPr>
            </w:pPr>
          </w:p>
        </w:tc>
        <w:tc>
          <w:tcPr>
            <w:tcW w:w="560" w:type="dxa"/>
            <w:vAlign w:val="bottom"/>
            <w:tcBorders>
              <w:top w:val="single" w:sz="8" w:color="auto"/>
            </w:tcBorders>
            <w:shd w:val="clear" w:color="auto" w:fill="DBDBDB"/>
          </w:tcPr>
          <w:p>
            <w:pPr>
              <w:spacing w:after="0"/>
              <w:rPr>
                <w:sz w:val="17"/>
                <w:szCs w:val="17"/>
                <w:color w:val="auto"/>
              </w:rPr>
            </w:pP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(44,109)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220"/>
              <w:spacing w:after="0"/>
              <w:rPr>
                <w:sz w:val="20"/>
                <w:szCs w:val="20"/>
                <w:color w:val="auto"/>
              </w:rPr>
            </w:pPr>
            <w:r>
              <w:rPr>
                <w:rFonts w:ascii="Arial" w:cs="Arial" w:eastAsia="Arial" w:hAnsi="Arial"/>
                <w:sz w:val="15"/>
                <w:szCs w:val="15"/>
                <w:color w:val="auto"/>
              </w:rPr>
              <w:t>Other comprehensive (loss) income before reclassifications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(6,732)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10,240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3,508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2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62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ind w:left="1160"/>
              <w:spacing w:after="0"/>
              <w:rPr>
                <w:sz w:val="20"/>
                <w:szCs w:val="20"/>
                <w:color w:val="auto"/>
              </w:rPr>
            </w:pPr>
            <w:r>
              <w:rPr>
                <w:rFonts w:ascii="Arial" w:cs="Arial" w:eastAsia="Arial" w:hAnsi="Arial"/>
                <w:sz w:val="15"/>
                <w:szCs w:val="15"/>
                <w:color w:val="auto"/>
              </w:rPr>
              <w:t>(3,472)</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Arial" w:cs="Arial" w:eastAsia="Arial" w:hAnsi="Arial"/>
                <w:sz w:val="15"/>
                <w:szCs w:val="15"/>
                <w:color w:val="auto"/>
              </w:rPr>
              <w:t>Balance at September 30, 2023</w:t>
            </w: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(63,005)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18,932</w:t>
            </w:r>
          </w:p>
        </w:tc>
        <w:tc>
          <w:tcPr>
            <w:tcW w:w="20" w:type="dxa"/>
            <w:vAlign w:val="bottom"/>
          </w:tcPr>
          <w:p>
            <w:pPr>
              <w:spacing w:after="0"/>
              <w:rPr>
                <w:sz w:val="17"/>
                <w:szCs w:val="17"/>
                <w:color w:val="auto"/>
              </w:rPr>
            </w:pPr>
          </w:p>
        </w:tc>
        <w:tc>
          <w:tcPr>
            <w:tcW w:w="660" w:type="dxa"/>
            <w:vAlign w:val="bottom"/>
            <w:gridSpan w:val="3"/>
          </w:tcPr>
          <w:p>
            <w:pPr>
              <w:jc w:val="right"/>
              <w:ind w:right="40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(44,073)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For the three months ended September 30, 2024 and 2023, gains of $5.6 million and $3.5 million, respectively, were reclassified from AOCI into the condensed consolidated statements of operations within interest expense related to the interest rate swaps. For the nine months ended September 30, 2024 and 2023, gains of $16.5 million and $7.9 million, respectively, were reclassified from AOCI into the condensed consolidated statements of operations within interest expense related to the interest rate swaps. The interest rate swaps are discussed in Note 12. Associated with these reclassifications, the Company recorded tax expense of $1.5 million and $0.9 million for the three months ended September 30, 2024 and 2023, respectively, and tax expense of $4.5 million and $2.1 million for the nine months ended September 30, 2024 and 2023,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1D2758"/>
        </w:rPr>
        <w:t>NOTE 11 – Income Taxes</w:t>
      </w:r>
    </w:p>
    <w:p>
      <w:pPr>
        <w:spacing w:after="0" w:line="12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recorded $20.6 million and $17.4 million of income tax benefit from continuing operations for the three and nine months ended September 30, 2024, respectively, and $32.8 million and $94.9 million of income tax expense from continuing operations for the three and nine months ended September 30, 2023, respectively. The Company’s effective tax rate for the three and nine months ended September 30, 2024 was 22.6% and 22.2%, respectively. The Company's effective tax rate for the three and nine months ended September 30, 2023 was 26.4% and 27.1%, respectively.</w:t>
      </w:r>
    </w:p>
    <w:p>
      <w:pPr>
        <w:spacing w:after="0" w:line="20"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effective tax rate for the three and nine months ended September 30, 2024 differed from the US federal statutory rate of 21% primarily due to state and provincial taxes, partially offset by discrete excess tax benefits related to equity compensation. The effective tax rate for the three and nine months ended September 30, 2023 differed from the US federal statutory rate of 21% primarily due to state and provincial taxes and an add-back for non-deductible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1D2758"/>
        </w:rPr>
        <w:t>NOTE 12 - Derivatives</w:t>
      </w:r>
    </w:p>
    <w:p>
      <w:pPr>
        <w:spacing w:after="0" w:line="127"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In January 2023, the Company entered into two interest rate swap agreements with financial counterparties relating to $750.0 million in aggregate notional amount of variable-rate debt under the ABL Facility. Under the terms of the agreements, the Company receives a floating rate equal to one-month term SOFR and makes payments based on a weighted average fixed interest rate of 3.44% on the notional amount.</w:t>
      </w:r>
    </w:p>
    <w:p>
      <w:pPr>
        <w:jc w:val="both"/>
        <w:ind w:firstLine="619"/>
        <w:spacing w:after="0" w:line="281" w:lineRule="auto"/>
        <w:rPr>
          <w:sz w:val="20"/>
          <w:szCs w:val="20"/>
          <w:color w:val="auto"/>
        </w:rPr>
      </w:pPr>
      <w:r>
        <w:rPr>
          <w:rFonts w:ascii="Arial" w:cs="Arial" w:eastAsia="Arial" w:hAnsi="Arial"/>
          <w:sz w:val="15"/>
          <w:szCs w:val="15"/>
          <w:color w:val="auto"/>
        </w:rPr>
        <w:t>In January 2024, the Company entered into two interest rate swap agreements with financial counterparties relating to $500.0 million in aggregate notional amount of variable-rate debt under the ABL Facility. Under the terms of the agreements, the Company receives a floating rate equal to one-month term SOFR and makes payments based on a weighted average fixed interest rate of 3.70% on the notional amount.</w:t>
      </w:r>
    </w:p>
    <w:p>
      <w:pPr>
        <w:jc w:val="both"/>
        <w:ind w:firstLine="619"/>
        <w:spacing w:after="0" w:line="281" w:lineRule="auto"/>
        <w:rPr>
          <w:sz w:val="20"/>
          <w:szCs w:val="20"/>
          <w:color w:val="auto"/>
        </w:rPr>
      </w:pPr>
      <w:r>
        <w:rPr>
          <w:rFonts w:ascii="Arial" w:cs="Arial" w:eastAsia="Arial" w:hAnsi="Arial"/>
          <w:sz w:val="15"/>
          <w:szCs w:val="15"/>
          <w:color w:val="auto"/>
        </w:rPr>
        <w:t>The swap agreements were designated and qualified as hedges of the Company's exposure to changes in interest payment cash flows created by fluctuations in variable interest rates on the ABL Facility. The swap agreements terminate on June 30, 2027. The floating rate that the Company receives under the terms of these swap agreements was 4.86% at September 30, 2024.</w:t>
      </w: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340" w:type="dxa"/>
            <w:vAlign w:val="bottom"/>
            <w:shd w:val="clear" w:color="auto" w:fill="1D2758"/>
          </w:tcPr>
          <w:p>
            <w:pPr>
              <w:ind w:left="1900"/>
              <w:spacing w:after="0"/>
              <w:rPr>
                <w:sz w:val="20"/>
                <w:szCs w:val="20"/>
                <w:color w:val="auto"/>
              </w:rPr>
            </w:pPr>
            <w:r>
              <w:rPr>
                <w:rFonts w:ascii="Arial" w:cs="Arial" w:eastAsia="Arial" w:hAnsi="Arial"/>
                <w:sz w:val="15"/>
                <w:szCs w:val="15"/>
                <w:b w:val="1"/>
                <w:bCs w:val="1"/>
                <w:color w:val="FFFFFF"/>
              </w:rPr>
              <w:t>Balance Sheet Location</w:t>
            </w:r>
          </w:p>
        </w:tc>
        <w:tc>
          <w:tcPr>
            <w:tcW w:w="880" w:type="dxa"/>
            <w:vAlign w:val="bottom"/>
            <w:shd w:val="clear" w:color="auto" w:fill="1D2758"/>
          </w:tcPr>
          <w:p>
            <w:pPr>
              <w:spacing w:after="0"/>
              <w:rPr>
                <w:sz w:val="20"/>
                <w:szCs w:val="20"/>
                <w:color w:val="auto"/>
              </w:rPr>
            </w:pPr>
          </w:p>
        </w:tc>
        <w:tc>
          <w:tcPr>
            <w:tcW w:w="186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September 30, 2024</w:t>
            </w:r>
          </w:p>
        </w:tc>
        <w:tc>
          <w:tcPr>
            <w:tcW w:w="240" w:type="dxa"/>
            <w:vAlign w:val="bottom"/>
            <w:shd w:val="clear" w:color="auto" w:fill="1D2758"/>
          </w:tcPr>
          <w:p>
            <w:pPr>
              <w:spacing w:after="0"/>
              <w:rPr>
                <w:sz w:val="20"/>
                <w:szCs w:val="20"/>
                <w:color w:val="auto"/>
              </w:rPr>
            </w:pPr>
          </w:p>
        </w:tc>
        <w:tc>
          <w:tcPr>
            <w:tcW w:w="1840" w:type="dxa"/>
            <w:vAlign w:val="bottom"/>
            <w:shd w:val="clear" w:color="auto" w:fill="1D2758"/>
          </w:tcPr>
          <w:p>
            <w:pPr>
              <w:ind w:left="120"/>
              <w:spacing w:after="0"/>
              <w:rPr>
                <w:sz w:val="20"/>
                <w:szCs w:val="20"/>
                <w:color w:val="auto"/>
              </w:rPr>
            </w:pPr>
            <w:r>
              <w:rPr>
                <w:rFonts w:ascii="Arial" w:cs="Arial" w:eastAsia="Arial" w:hAnsi="Arial"/>
                <w:sz w:val="15"/>
                <w:szCs w:val="15"/>
                <w:b w:val="1"/>
                <w:bCs w:val="1"/>
                <w:color w:val="FFFFFF"/>
              </w:rPr>
              <w:t>December 31, 2023</w:t>
            </w:r>
          </w:p>
        </w:tc>
      </w:tr>
      <w:tr>
        <w:trPr>
          <w:trHeight w:val="206"/>
        </w:trPr>
        <w:tc>
          <w:tcPr>
            <w:tcW w:w="2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43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8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840" w:type="dxa"/>
            <w:vAlign w:val="bottom"/>
            <w:shd w:val="clear" w:color="auto" w:fill="DBDBDB"/>
          </w:tcPr>
          <w:p>
            <w:pPr>
              <w:spacing w:after="0"/>
              <w:rPr>
                <w:sz w:val="17"/>
                <w:szCs w:val="17"/>
                <w:color w:val="auto"/>
              </w:rPr>
            </w:pPr>
          </w:p>
        </w:tc>
      </w:tr>
      <w:tr>
        <w:trPr>
          <w:trHeight w:val="205"/>
        </w:trPr>
        <w:tc>
          <w:tcPr>
            <w:tcW w:w="2080" w:type="dxa"/>
            <w:vAlign w:val="bottom"/>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tcPr>
          <w:p>
            <w:pPr>
              <w:ind w:left="560"/>
              <w:spacing w:after="0"/>
              <w:rPr>
                <w:sz w:val="20"/>
                <w:szCs w:val="20"/>
                <w:color w:val="auto"/>
              </w:rPr>
            </w:pPr>
            <w:r>
              <w:rPr>
                <w:rFonts w:ascii="Arial" w:cs="Arial" w:eastAsia="Arial" w:hAnsi="Arial"/>
                <w:sz w:val="15"/>
                <w:szCs w:val="15"/>
                <w:color w:val="auto"/>
              </w:rPr>
              <w:t>Prepaid expenses and other current assets</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tcPr>
          <w:p>
            <w:pPr>
              <w:jc w:val="right"/>
              <w:spacing w:after="0"/>
              <w:rPr>
                <w:sz w:val="20"/>
                <w:szCs w:val="20"/>
                <w:color w:val="auto"/>
              </w:rPr>
            </w:pPr>
            <w:r>
              <w:rPr>
                <w:rFonts w:ascii="Arial" w:cs="Arial" w:eastAsia="Arial" w:hAnsi="Arial"/>
                <w:sz w:val="15"/>
                <w:szCs w:val="15"/>
                <w:color w:val="auto"/>
              </w:rPr>
              <w:t>3,414</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9,145</w:t>
            </w:r>
          </w:p>
        </w:tc>
      </w:tr>
      <w:tr>
        <w:trPr>
          <w:trHeight w:val="207"/>
        </w:trPr>
        <w:tc>
          <w:tcPr>
            <w:tcW w:w="2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shd w:val="clear" w:color="auto" w:fill="DBDBDB"/>
          </w:tcPr>
          <w:p>
            <w:pPr>
              <w:ind w:left="560"/>
              <w:spacing w:after="0"/>
              <w:rPr>
                <w:sz w:val="20"/>
                <w:szCs w:val="20"/>
                <w:color w:val="auto"/>
              </w:rPr>
            </w:pPr>
            <w:r>
              <w:rPr>
                <w:rFonts w:ascii="Arial" w:cs="Arial" w:eastAsia="Arial" w:hAnsi="Arial"/>
                <w:sz w:val="15"/>
                <w:szCs w:val="15"/>
                <w:color w:val="auto"/>
              </w:rPr>
              <w:t>Other non-current liabilities</w:t>
            </w:r>
          </w:p>
        </w:tc>
        <w:tc>
          <w:tcPr>
            <w:tcW w:w="8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(11,248)</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(4,595)</w:t>
            </w:r>
          </w:p>
        </w:tc>
      </w:tr>
    </w:tbl>
    <w:p>
      <w:pPr>
        <w:spacing w:after="0" w:line="117"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fair value of the interest rate swaps was based on dealer quotes of market forward rates, which are Level 2 inputs on the fair value hierarchy (see Note 13), and reflected the amount that the Company would receive or pay as of September 30, 2024 for contracts involving the same attributes and maturity dates.</w:t>
      </w:r>
    </w:p>
    <w:p>
      <w:pPr>
        <w:spacing w:after="0" w:line="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following table discloses the impact of the interest rate swaps, excluding the impact of income taxes, on other comprehensive income (“OCI”), AOCI and the Company’s condensed consolidated statements of operations for the nine months ended September 30, 2024 and 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4020" w:type="dxa"/>
            <w:vAlign w:val="bottom"/>
            <w:gridSpan w:val="3"/>
            <w:shd w:val="clear" w:color="auto" w:fill="1D2758"/>
          </w:tcPr>
          <w:p>
            <w:pPr>
              <w:ind w:left="640"/>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7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7"/>
                <w:szCs w:val="17"/>
                <w:color w:val="auto"/>
              </w:rPr>
            </w:pPr>
          </w:p>
        </w:tc>
        <w:tc>
          <w:tcPr>
            <w:tcW w:w="1900" w:type="dxa"/>
            <w:vAlign w:val="bottom"/>
            <w:shd w:val="clear" w:color="auto" w:fill="1D2758"/>
          </w:tcPr>
          <w:p>
            <w:pPr>
              <w:ind w:left="640"/>
              <w:spacing w:after="0"/>
              <w:rPr>
                <w:sz w:val="20"/>
                <w:szCs w:val="20"/>
                <w:color w:val="auto"/>
              </w:rPr>
            </w:pPr>
            <w:r>
              <w:rPr>
                <w:rFonts w:ascii="Arial" w:cs="Arial" w:eastAsia="Arial" w:hAnsi="Arial"/>
                <w:sz w:val="15"/>
                <w:szCs w:val="15"/>
                <w:b w:val="1"/>
                <w:bCs w:val="1"/>
                <w:color w:val="FFFFFF"/>
              </w:rPr>
              <w:t>2024</w:t>
            </w:r>
          </w:p>
        </w:tc>
        <w:tc>
          <w:tcPr>
            <w:tcW w:w="260" w:type="dxa"/>
            <w:vAlign w:val="bottom"/>
            <w:shd w:val="clear" w:color="auto" w:fill="1D2758"/>
          </w:tcPr>
          <w:p>
            <w:pPr>
              <w:spacing w:after="0"/>
              <w:rPr>
                <w:sz w:val="17"/>
                <w:szCs w:val="17"/>
                <w:color w:val="auto"/>
              </w:rPr>
            </w:pPr>
          </w:p>
        </w:tc>
        <w:tc>
          <w:tcPr>
            <w:tcW w:w="1860" w:type="dxa"/>
            <w:vAlign w:val="bottom"/>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2023</w:t>
            </w:r>
          </w:p>
        </w:tc>
      </w:tr>
      <w:tr>
        <w:trPr>
          <w:trHeight w:val="206"/>
        </w:trPr>
        <w:tc>
          <w:tcPr>
            <w:tcW w:w="7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recognized in OCI</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3,947</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33,153</w:t>
            </w:r>
          </w:p>
        </w:tc>
      </w:tr>
      <w:tr>
        <w:trPr>
          <w:trHeight w:val="205"/>
        </w:trPr>
        <w:tc>
          <w:tcPr>
            <w:tcW w:w="7000" w:type="dxa"/>
            <w:vAlign w:val="bottom"/>
          </w:tcPr>
          <w:p>
            <w:pPr>
              <w:ind w:left="20"/>
              <w:spacing w:after="0"/>
              <w:rPr>
                <w:sz w:val="20"/>
                <w:szCs w:val="20"/>
                <w:color w:val="auto"/>
              </w:rPr>
            </w:pPr>
            <w:r>
              <w:rPr>
                <w:rFonts w:ascii="Arial" w:cs="Arial" w:eastAsia="Arial" w:hAnsi="Arial"/>
                <w:sz w:val="15"/>
                <w:szCs w:val="15"/>
                <w:color w:val="auto"/>
              </w:rPr>
              <w:t>Location of gain recognized in income</w:t>
            </w:r>
          </w:p>
        </w:tc>
        <w:tc>
          <w:tcPr>
            <w:tcW w:w="220" w:type="dxa"/>
            <w:vAlign w:val="bottom"/>
          </w:tcPr>
          <w:p>
            <w:pPr>
              <w:spacing w:after="0"/>
              <w:rPr>
                <w:sz w:val="17"/>
                <w:szCs w:val="17"/>
                <w:color w:val="auto"/>
              </w:rPr>
            </w:pPr>
          </w:p>
        </w:tc>
        <w:tc>
          <w:tcPr>
            <w:tcW w:w="1900" w:type="dxa"/>
            <w:vAlign w:val="bottom"/>
          </w:tcPr>
          <w:p>
            <w:pPr>
              <w:ind w:left="100"/>
              <w:spacing w:after="0"/>
              <w:rPr>
                <w:sz w:val="20"/>
                <w:szCs w:val="20"/>
                <w:color w:val="auto"/>
              </w:rPr>
            </w:pPr>
            <w:r>
              <w:rPr>
                <w:rFonts w:ascii="Arial" w:cs="Arial" w:eastAsia="Arial" w:hAnsi="Arial"/>
                <w:sz w:val="15"/>
                <w:szCs w:val="15"/>
                <w:color w:val="auto"/>
              </w:rPr>
              <w:t>Interest expense, net</w:t>
            </w:r>
          </w:p>
        </w:tc>
        <w:tc>
          <w:tcPr>
            <w:tcW w:w="260" w:type="dxa"/>
            <w:vAlign w:val="bottom"/>
          </w:tcPr>
          <w:p>
            <w:pPr>
              <w:spacing w:after="0"/>
              <w:rPr>
                <w:sz w:val="17"/>
                <w:szCs w:val="17"/>
                <w:color w:val="auto"/>
              </w:rPr>
            </w:pPr>
          </w:p>
        </w:tc>
        <w:tc>
          <w:tcPr>
            <w:tcW w:w="1860" w:type="dxa"/>
            <w:vAlign w:val="bottom"/>
          </w:tcPr>
          <w:p>
            <w:pPr>
              <w:jc w:val="center"/>
              <w:ind w:right="143"/>
              <w:spacing w:after="0"/>
              <w:rPr>
                <w:sz w:val="20"/>
                <w:szCs w:val="20"/>
                <w:color w:val="auto"/>
              </w:rPr>
            </w:pPr>
            <w:r>
              <w:rPr>
                <w:rFonts w:ascii="Arial" w:cs="Arial" w:eastAsia="Arial" w:hAnsi="Arial"/>
                <w:sz w:val="15"/>
                <w:szCs w:val="15"/>
                <w:color w:val="auto"/>
              </w:rPr>
              <w:t>Interest expense, net</w:t>
            </w:r>
          </w:p>
        </w:tc>
      </w:tr>
      <w:tr>
        <w:trPr>
          <w:trHeight w:val="207"/>
        </w:trPr>
        <w:tc>
          <w:tcPr>
            <w:tcW w:w="7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reclassified from AOCI into income</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(16,487)</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(7,928)</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13 - Fair Value Measures</w:t>
      </w:r>
    </w:p>
    <w:p>
      <w:pPr>
        <w:spacing w:after="0" w:line="11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 The Company utilizes the following accounting guidance for the three levels of inputs that may be used to measure fair value:</w:t>
      </w:r>
    </w:p>
    <w:p>
      <w:pPr>
        <w:spacing w:after="0" w:line="49"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34"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34"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15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has assessed that the fair values of cash and short-term deposits, marketable securities, trade receivables, trade payables, and other current liabilities approximate their carrying amounts. The Company's nonfinancial assets, which are measured at fair value on a nonrecurring basis, include rental equipment, property, plant and equipment, goodwill, intangible assets and certain other assets. Based on the borrowing rates currently available for bank loans with similar terms and average maturities, the fair values of finance leases at September 30, 2024 and December 31, 2023 approximate their respective book values. The carrying value of the ABL Facility, excluding debt issuance costs, approximates fair value as the interest rates are variable and reflective of current market rates.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0" w:name="page21"/>
    <w:bookmarkEnd w:id="20"/>
    <w:p>
      <w:pPr>
        <w:jc w:val="both"/>
        <w:ind w:firstLine="619"/>
        <w:spacing w:after="0" w:line="282" w:lineRule="auto"/>
        <w:rPr>
          <w:sz w:val="20"/>
          <w:szCs w:val="20"/>
          <w:color w:val="auto"/>
        </w:rPr>
      </w:pPr>
      <w:r>
        <w:rPr>
          <w:rFonts w:ascii="Arial" w:cs="Arial" w:eastAsia="Arial" w:hAnsi="Arial"/>
          <w:sz w:val="15"/>
          <w:szCs w:val="15"/>
          <w:color w:val="auto"/>
        </w:rPr>
        <w:t>The fair values of the 2025 Secured Notes, the 2028 Secured Notes, the 2029 Secured Notes, and the 2031 Secured Notes are based on their last trading price at the end of each period obtained from a third party. The following table shows the carrying amounts and fair values of these financial liabilities measured using Level 2 inputs: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3500" w:type="dxa"/>
            <w:vAlign w:val="bottom"/>
            <w:gridSpan w:val="3"/>
            <w:shd w:val="clear" w:color="auto" w:fill="1D2758"/>
          </w:tcPr>
          <w:p>
            <w:pPr>
              <w:jc w:val="right"/>
              <w:ind w:right="1043"/>
              <w:spacing w:after="0"/>
              <w:rPr>
                <w:sz w:val="20"/>
                <w:szCs w:val="20"/>
                <w:color w:val="auto"/>
              </w:rPr>
            </w:pPr>
            <w:r>
              <w:rPr>
                <w:rFonts w:ascii="Arial" w:cs="Arial" w:eastAsia="Arial" w:hAnsi="Arial"/>
                <w:sz w:val="15"/>
                <w:szCs w:val="15"/>
                <w:b w:val="1"/>
                <w:bCs w:val="1"/>
                <w:color w:val="FFFFFF"/>
              </w:rPr>
              <w:t>September 30, 2024</w:t>
            </w:r>
          </w:p>
        </w:tc>
        <w:tc>
          <w:tcPr>
            <w:tcW w:w="220" w:type="dxa"/>
            <w:vAlign w:val="bottom"/>
            <w:shd w:val="clear" w:color="auto" w:fill="1D2758"/>
          </w:tcPr>
          <w:p>
            <w:pPr>
              <w:spacing w:after="0"/>
              <w:rPr>
                <w:sz w:val="17"/>
                <w:szCs w:val="17"/>
                <w:color w:val="auto"/>
              </w:rPr>
            </w:pPr>
          </w:p>
        </w:tc>
        <w:tc>
          <w:tcPr>
            <w:tcW w:w="3540" w:type="dxa"/>
            <w:vAlign w:val="bottom"/>
            <w:gridSpan w:val="3"/>
            <w:shd w:val="clear" w:color="auto" w:fill="1D2758"/>
          </w:tcPr>
          <w:p>
            <w:pPr>
              <w:jc w:val="right"/>
              <w:ind w:right="1083"/>
              <w:spacing w:after="0"/>
              <w:rPr>
                <w:sz w:val="20"/>
                <w:szCs w:val="20"/>
                <w:color w:val="auto"/>
              </w:rPr>
            </w:pPr>
            <w:r>
              <w:rPr>
                <w:rFonts w:ascii="Arial" w:cs="Arial" w:eastAsia="Arial" w:hAnsi="Arial"/>
                <w:sz w:val="15"/>
                <w:szCs w:val="15"/>
                <w:b w:val="1"/>
                <w:bCs w:val="1"/>
                <w:color w:val="FFFFFF"/>
              </w:rPr>
              <w:t>December 31, 2023</w:t>
            </w:r>
          </w:p>
        </w:tc>
      </w:tr>
      <w:tr>
        <w:trPr>
          <w:trHeight w:val="214"/>
        </w:trPr>
        <w:tc>
          <w:tcPr>
            <w:tcW w:w="37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0" w:type="dxa"/>
            <w:vAlign w:val="bottom"/>
            <w:shd w:val="clear" w:color="auto" w:fill="1D2758"/>
          </w:tcPr>
          <w:p>
            <w:pPr>
              <w:spacing w:after="0"/>
              <w:rPr>
                <w:sz w:val="18"/>
                <w:szCs w:val="18"/>
                <w:color w:val="auto"/>
              </w:rPr>
            </w:pPr>
          </w:p>
        </w:tc>
        <w:tc>
          <w:tcPr>
            <w:tcW w:w="1640" w:type="dxa"/>
            <w:vAlign w:val="bottom"/>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Carrying Amount</w:t>
            </w:r>
          </w:p>
        </w:tc>
        <w:tc>
          <w:tcPr>
            <w:tcW w:w="360" w:type="dxa"/>
            <w:vAlign w:val="bottom"/>
            <w:shd w:val="clear" w:color="auto" w:fill="1D2758"/>
          </w:tcPr>
          <w:p>
            <w:pPr>
              <w:spacing w:after="0"/>
              <w:rPr>
                <w:sz w:val="18"/>
                <w:szCs w:val="18"/>
                <w:color w:val="auto"/>
              </w:rPr>
            </w:pPr>
          </w:p>
        </w:tc>
        <w:tc>
          <w:tcPr>
            <w:tcW w:w="150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Fair Value</w:t>
            </w:r>
          </w:p>
        </w:tc>
        <w:tc>
          <w:tcPr>
            <w:tcW w:w="220" w:type="dxa"/>
            <w:vAlign w:val="bottom"/>
            <w:shd w:val="clear" w:color="auto" w:fill="1D2758"/>
          </w:tcPr>
          <w:p>
            <w:pPr>
              <w:spacing w:after="0"/>
              <w:rPr>
                <w:sz w:val="18"/>
                <w:szCs w:val="18"/>
                <w:color w:val="auto"/>
              </w:rPr>
            </w:pPr>
          </w:p>
        </w:tc>
        <w:tc>
          <w:tcPr>
            <w:tcW w:w="164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Carrying Amount</w:t>
            </w:r>
          </w:p>
        </w:tc>
        <w:tc>
          <w:tcPr>
            <w:tcW w:w="380" w:type="dxa"/>
            <w:vAlign w:val="bottom"/>
            <w:shd w:val="clear" w:color="auto" w:fill="1D2758"/>
          </w:tcPr>
          <w:p>
            <w:pPr>
              <w:spacing w:after="0"/>
              <w:rPr>
                <w:sz w:val="18"/>
                <w:szCs w:val="18"/>
                <w:color w:val="auto"/>
              </w:rPr>
            </w:pPr>
          </w:p>
        </w:tc>
        <w:tc>
          <w:tcPr>
            <w:tcW w:w="152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Fair Value</w:t>
            </w:r>
          </w:p>
        </w:tc>
      </w:tr>
      <w:tr>
        <w:trPr>
          <w:trHeight w:val="83"/>
        </w:trPr>
        <w:tc>
          <w:tcPr>
            <w:tcW w:w="3780" w:type="dxa"/>
            <w:vAlign w:val="bottom"/>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640" w:type="dxa"/>
            <w:vAlign w:val="bottom"/>
            <w:shd w:val="clear" w:color="auto" w:fill="1D2758"/>
          </w:tcPr>
          <w:p>
            <w:pPr>
              <w:spacing w:after="0"/>
              <w:rPr>
                <w:sz w:val="7"/>
                <w:szCs w:val="7"/>
                <w:color w:val="auto"/>
              </w:rPr>
            </w:pPr>
          </w:p>
        </w:tc>
        <w:tc>
          <w:tcPr>
            <w:tcW w:w="360" w:type="dxa"/>
            <w:vAlign w:val="bottom"/>
            <w:shd w:val="clear" w:color="auto" w:fill="1D2758"/>
          </w:tcPr>
          <w:p>
            <w:pPr>
              <w:spacing w:after="0"/>
              <w:rPr>
                <w:sz w:val="7"/>
                <w:szCs w:val="7"/>
                <w:color w:val="auto"/>
              </w:rPr>
            </w:pPr>
          </w:p>
        </w:tc>
        <w:tc>
          <w:tcPr>
            <w:tcW w:w="1500" w:type="dxa"/>
            <w:vAlign w:val="bottom"/>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640" w:type="dxa"/>
            <w:vAlign w:val="bottom"/>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1520" w:type="dxa"/>
            <w:vAlign w:val="bottom"/>
            <w:shd w:val="clear" w:color="auto" w:fill="1D2758"/>
          </w:tcPr>
          <w:p>
            <w:pPr>
              <w:spacing w:after="0"/>
              <w:rPr>
                <w:sz w:val="7"/>
                <w:szCs w:val="7"/>
                <w:color w:val="auto"/>
              </w:rPr>
            </w:pP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524,630</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526,826</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522,735</w:t>
            </w:r>
          </w:p>
        </w:tc>
        <w:tc>
          <w:tcPr>
            <w:tcW w:w="3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527,021</w:t>
            </w: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2028 Secured Notes</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495,306</w:t>
            </w:r>
          </w:p>
        </w:tc>
        <w:tc>
          <w:tcPr>
            <w:tcW w:w="3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486,495</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494,500</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474,285</w:t>
            </w:r>
          </w:p>
        </w:tc>
      </w:tr>
      <w:tr>
        <w:trPr>
          <w:trHeight w:val="207"/>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 Secured Notes</w:t>
            </w:r>
          </w:p>
        </w:tc>
        <w:tc>
          <w:tcPr>
            <w:tcW w:w="20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493,328</w:t>
            </w:r>
          </w:p>
        </w:tc>
        <w:tc>
          <w:tcPr>
            <w:tcW w:w="36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515,390</w:t>
            </w:r>
          </w:p>
        </w:tc>
        <w:tc>
          <w:tcPr>
            <w:tcW w:w="22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2031 Secured Notes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494,170</w:t>
            </w: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528,695</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493,709</w:t>
            </w:r>
          </w:p>
        </w:tc>
        <w:tc>
          <w:tcPr>
            <w:tcW w:w="3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528,075</w:t>
            </w:r>
          </w:p>
        </w:tc>
      </w:tr>
      <w:tr>
        <w:trPr>
          <w:trHeight w:val="225"/>
        </w:trPr>
        <w:tc>
          <w:tcPr>
            <w:tcW w:w="3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2,007,434</w:t>
            </w:r>
          </w:p>
        </w:tc>
        <w:tc>
          <w:tcPr>
            <w:tcW w:w="36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2,057,406</w:t>
            </w:r>
          </w:p>
        </w:tc>
        <w:tc>
          <w:tcPr>
            <w:tcW w:w="2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1,510,944</w:t>
            </w:r>
          </w:p>
        </w:tc>
        <w:tc>
          <w:tcPr>
            <w:tcW w:w="38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1,529,381</w:t>
            </w: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As of September 30, 2024, the carrying values of the 2025 Secured Notes, the 2028 Secured Notes, the 2029 Secured Notes, and the 2031 Secured Notes included $1.9 million, $4.7 million, $6.7 million, and $5.8 million, respectively, of unamortized debt issuance costs, which were presented as a direct reduction of the corresponding liability. As of December 31, 2023, the carrying values of the 2025 Secured Notes, the 2028 Secured Notes, and the 2031 Secured Notes included $3.8 million, $5.5 million, and $6.3 million, respectively, of unamortized debt issuance costs, which were presented as a direct reduction of the corresponding liability.</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assets and liabilities in the condensed consolidated balance sheets are disclosed in Note 12.</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1D2758"/>
        </w:rPr>
        <w:t>NOTE 14 - Stock-Based Compensation</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Stock-based compensation expense includes grants of stock options, time-based restricted stock units ("Time-Based RSUs") and performance-based restricted stock units ("Performance-Based RSUs," together with Time-Based RSUs, the "RSUs"). In addition, stock-based payments to non-executive directors include grants of restricted stock awards ("RSAs"). Time-Based RSUs and RSAs are valued based on the intrinsic value of the difference between the exercise price, if any, of the award and the fair market value of WillScot's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RSA activity for the nine months ended September 30, 2024 and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64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640" w:type="dxa"/>
            <w:vAlign w:val="bottom"/>
            <w:gridSpan w:val="2"/>
            <w:vMerge w:val="continue"/>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vMerge w:val="continue"/>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BDBDB"/>
          </w:tcPr>
          <w:p>
            <w:pPr>
              <w:jc w:val="center"/>
              <w:ind w:left="983"/>
              <w:spacing w:after="0"/>
              <w:rPr>
                <w:sz w:val="20"/>
                <w:szCs w:val="20"/>
                <w:color w:val="auto"/>
              </w:rPr>
            </w:pPr>
            <w:r>
              <w:rPr>
                <w:rFonts w:ascii="Arial" w:cs="Arial" w:eastAsia="Arial" w:hAnsi="Arial"/>
                <w:sz w:val="15"/>
                <w:szCs w:val="15"/>
                <w:color w:val="auto"/>
              </w:rPr>
              <w:t>28,946</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44.44</w:t>
            </w:r>
          </w:p>
        </w:tc>
        <w:tc>
          <w:tcPr>
            <w:tcW w:w="100" w:type="dxa"/>
            <w:vAlign w:val="bottom"/>
            <w:shd w:val="clear" w:color="auto" w:fill="DBDBDB"/>
          </w:tcPr>
          <w:p>
            <w:pPr>
              <w:spacing w:after="0"/>
              <w:rPr>
                <w:sz w:val="17"/>
                <w:szCs w:val="17"/>
                <w:color w:val="auto"/>
              </w:rPr>
            </w:pPr>
          </w:p>
        </w:tc>
        <w:tc>
          <w:tcPr>
            <w:tcW w:w="1680" w:type="dxa"/>
            <w:vAlign w:val="bottom"/>
            <w:shd w:val="clear" w:color="auto" w:fill="DBDBDB"/>
          </w:tcPr>
          <w:p>
            <w:pPr>
              <w:jc w:val="center"/>
              <w:ind w:left="983"/>
              <w:spacing w:after="0"/>
              <w:rPr>
                <w:sz w:val="20"/>
                <w:szCs w:val="20"/>
                <w:color w:val="auto"/>
              </w:rPr>
            </w:pPr>
            <w:r>
              <w:rPr>
                <w:rFonts w:ascii="Arial" w:cs="Arial" w:eastAsia="Arial" w:hAnsi="Arial"/>
                <w:sz w:val="15"/>
                <w:szCs w:val="15"/>
                <w:color w:val="auto"/>
              </w:rPr>
              <w:t>35,244</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center"/>
              <w:ind w:left="983"/>
              <w:spacing w:after="0"/>
              <w:rPr>
                <w:sz w:val="20"/>
                <w:szCs w:val="20"/>
                <w:color w:val="auto"/>
              </w:rPr>
            </w:pPr>
            <w:r>
              <w:rPr>
                <w:rFonts w:ascii="Arial" w:cs="Arial" w:eastAsia="Arial" w:hAnsi="Arial"/>
                <w:sz w:val="15"/>
                <w:szCs w:val="15"/>
                <w:color w:val="auto"/>
              </w:rPr>
              <w:t>32,332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38.20</w:t>
            </w:r>
          </w:p>
        </w:tc>
        <w:tc>
          <w:tcPr>
            <w:tcW w:w="100" w:type="dxa"/>
            <w:vAlign w:val="bottom"/>
          </w:tcPr>
          <w:p>
            <w:pPr>
              <w:spacing w:after="0"/>
              <w:rPr>
                <w:sz w:val="17"/>
                <w:szCs w:val="17"/>
                <w:color w:val="auto"/>
              </w:rPr>
            </w:pPr>
          </w:p>
        </w:tc>
        <w:tc>
          <w:tcPr>
            <w:tcW w:w="1680" w:type="dxa"/>
            <w:vAlign w:val="bottom"/>
          </w:tcPr>
          <w:p>
            <w:pPr>
              <w:jc w:val="center"/>
              <w:ind w:left="983"/>
              <w:spacing w:after="0"/>
              <w:rPr>
                <w:sz w:val="20"/>
                <w:szCs w:val="20"/>
                <w:color w:val="auto"/>
              </w:rPr>
            </w:pPr>
            <w:r>
              <w:rPr>
                <w:rFonts w:ascii="Arial" w:cs="Arial" w:eastAsia="Arial" w:hAnsi="Arial"/>
                <w:sz w:val="15"/>
                <w:szCs w:val="15"/>
                <w:color w:val="auto"/>
              </w:rPr>
              <w:t>28,946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44.44</w:t>
            </w:r>
          </w:p>
        </w:tc>
        <w:tc>
          <w:tcPr>
            <w:tcW w:w="0" w:type="dxa"/>
            <w:vAlign w:val="bottom"/>
          </w:tcPr>
          <w:p>
            <w:pPr>
              <w:spacing w:after="0"/>
              <w:rPr>
                <w:sz w:val="1"/>
                <w:szCs w:val="1"/>
                <w:color w:val="auto"/>
              </w:rPr>
            </w:pPr>
          </w:p>
        </w:tc>
      </w:tr>
      <w:tr>
        <w:trPr>
          <w:trHeight w:val="207"/>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shd w:val="clear" w:color="auto" w:fill="DBDBDB"/>
          </w:tcPr>
          <w:p>
            <w:pPr>
              <w:jc w:val="center"/>
              <w:ind w:left="963"/>
              <w:spacing w:after="0"/>
              <w:rPr>
                <w:sz w:val="20"/>
                <w:szCs w:val="20"/>
                <w:color w:val="auto"/>
              </w:rPr>
            </w:pPr>
            <w:r>
              <w:rPr>
                <w:rFonts w:ascii="Arial" w:cs="Arial" w:eastAsia="Arial" w:hAnsi="Arial"/>
                <w:sz w:val="15"/>
                <w:szCs w:val="15"/>
                <w:color w:val="auto"/>
              </w:rPr>
              <w:t>(28,946)</w:t>
            </w:r>
          </w:p>
        </w:tc>
        <w:tc>
          <w:tcPr>
            <w:tcW w:w="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44.44</w:t>
            </w:r>
          </w:p>
        </w:tc>
        <w:tc>
          <w:tcPr>
            <w:tcW w:w="100" w:type="dxa"/>
            <w:vAlign w:val="bottom"/>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jc w:val="center"/>
              <w:ind w:left="963"/>
              <w:spacing w:after="0"/>
              <w:rPr>
                <w:sz w:val="20"/>
                <w:szCs w:val="20"/>
                <w:color w:val="auto"/>
              </w:rPr>
            </w:pPr>
            <w:r>
              <w:rPr>
                <w:rFonts w:ascii="Arial" w:cs="Arial" w:eastAsia="Arial" w:hAnsi="Arial"/>
                <w:sz w:val="15"/>
                <w:szCs w:val="15"/>
                <w:color w:val="auto"/>
              </w:rPr>
              <w:t>(35,244)</w:t>
            </w:r>
          </w:p>
        </w:tc>
        <w:tc>
          <w:tcPr>
            <w:tcW w:w="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tcPr>
          <w:p>
            <w:pPr>
              <w:jc w:val="center"/>
              <w:ind w:left="983"/>
              <w:spacing w:after="0"/>
              <w:rPr>
                <w:sz w:val="20"/>
                <w:szCs w:val="20"/>
                <w:color w:val="auto"/>
              </w:rPr>
            </w:pPr>
            <w:r>
              <w:rPr>
                <w:rFonts w:ascii="Arial" w:cs="Arial" w:eastAsia="Arial" w:hAnsi="Arial"/>
                <w:sz w:val="15"/>
                <w:szCs w:val="15"/>
                <w:color w:val="auto"/>
              </w:rPr>
              <w:t>32,332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38.20</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ind w:left="983"/>
              <w:spacing w:after="0"/>
              <w:rPr>
                <w:sz w:val="20"/>
                <w:szCs w:val="20"/>
                <w:color w:val="auto"/>
              </w:rPr>
            </w:pPr>
            <w:r>
              <w:rPr>
                <w:rFonts w:ascii="Arial" w:cs="Arial" w:eastAsia="Arial" w:hAnsi="Arial"/>
                <w:sz w:val="15"/>
                <w:szCs w:val="15"/>
                <w:color w:val="auto"/>
              </w:rPr>
              <w:t>28,946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44.44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RSAs recognized in SG&amp;A on the condensed consolidated statements of operations was $0.3 million for both the three months ended September 30, 2024 and 2023. Compensation expense for RSAs recognized in SG&amp;A on the condensed consolidated statements of operations was $1.0 million for both the nine months ended September 30, 2024 and 2023. At September 30, 2024, unrecognized compensation cost related to RSAs totaled $0.8 million and was expected to be recognized over the remaining weighted average vesting period of 0.7 years.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Time-Based RSUs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700" w:type="dxa"/>
            <w:vAlign w:val="bottom"/>
            <w:gridSpan w:val="9"/>
          </w:tcPr>
          <w:p>
            <w:pPr>
              <w:jc w:val="right"/>
              <w:spacing w:after="0"/>
              <w:rPr>
                <w:sz w:val="20"/>
                <w:szCs w:val="20"/>
                <w:color w:val="auto"/>
              </w:rPr>
            </w:pPr>
            <w:r>
              <w:rPr>
                <w:rFonts w:ascii="Arial" w:cs="Arial" w:eastAsia="Arial" w:hAnsi="Arial"/>
                <w:sz w:val="15"/>
                <w:szCs w:val="15"/>
                <w:color w:val="auto"/>
              </w:rPr>
              <w:t>The following table summarizes the Company's Time-Based RSU activity for the nine months ended September 30, 2024 and 2023:</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2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64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640" w:type="dxa"/>
            <w:vAlign w:val="bottom"/>
            <w:gridSpan w:val="2"/>
            <w:vMerge w:val="continue"/>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vMerge w:val="continue"/>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618,836</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36.07</w:t>
            </w:r>
          </w:p>
        </w:tc>
        <w:tc>
          <w:tcPr>
            <w:tcW w:w="100" w:type="dxa"/>
            <w:vAlign w:val="bottom"/>
            <w:shd w:val="clear" w:color="auto" w:fill="DDDDDD"/>
          </w:tcPr>
          <w:p>
            <w:pPr>
              <w:spacing w:after="0"/>
              <w:rPr>
                <w:sz w:val="17"/>
                <w:szCs w:val="17"/>
                <w:color w:val="auto"/>
              </w:rPr>
            </w:pP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789,779</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26.16</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273,524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48.68</w:t>
            </w:r>
          </w:p>
        </w:tc>
        <w:tc>
          <w:tcPr>
            <w:tcW w:w="1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213,388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50.74</w:t>
            </w:r>
          </w:p>
        </w:tc>
        <w:tc>
          <w:tcPr>
            <w:tcW w:w="0" w:type="dxa"/>
            <w:vAlign w:val="bottom"/>
          </w:tcPr>
          <w:p>
            <w:pPr>
              <w:spacing w:after="0"/>
              <w:rPr>
                <w:sz w:val="1"/>
                <w:szCs w:val="1"/>
                <w:color w:val="auto"/>
              </w:rPr>
            </w:pPr>
          </w:p>
        </w:tc>
      </w:tr>
      <w:tr>
        <w:trPr>
          <w:trHeight w:val="207"/>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(35,254)</w:t>
            </w:r>
          </w:p>
        </w:tc>
        <w:tc>
          <w:tcPr>
            <w:tcW w:w="8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45.91</w:t>
            </w:r>
          </w:p>
        </w:tc>
        <w:tc>
          <w:tcPr>
            <w:tcW w:w="100" w:type="dxa"/>
            <w:vAlign w:val="bottom"/>
            <w:shd w:val="clear" w:color="auto" w:fill="DDDDDD"/>
          </w:tcPr>
          <w:p>
            <w:pPr>
              <w:spacing w:after="0"/>
              <w:rPr>
                <w:sz w:val="18"/>
                <w:szCs w:val="18"/>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(52,435)</w:t>
            </w:r>
          </w:p>
        </w:tc>
        <w:tc>
          <w:tcPr>
            <w:tcW w:w="8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36.29</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(264,907)</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30.36</w:t>
            </w:r>
          </w:p>
        </w:tc>
        <w:tc>
          <w:tcPr>
            <w:tcW w:w="10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(322,482)</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21.38</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592,199</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43.87</w:t>
            </w:r>
          </w:p>
        </w:tc>
        <w:tc>
          <w:tcPr>
            <w:tcW w:w="100" w:type="dxa"/>
            <w:vAlign w:val="bottom"/>
            <w:tcBorders>
              <w:bottom w:val="single" w:sz="8" w:color="DDDDDD"/>
            </w:tcBorders>
            <w:shd w:val="clear" w:color="auto" w:fill="DDDDDD"/>
          </w:tcPr>
          <w:p>
            <w:pPr>
              <w:spacing w:after="0"/>
              <w:rPr>
                <w:sz w:val="19"/>
                <w:szCs w:val="19"/>
                <w:color w:val="auto"/>
              </w:rPr>
            </w:pP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628,250</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36.12</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Time-Based RSUs recognized in SG&amp;A on the condensed consolidated statements of operations was $2.8 million and $2.2 million for the three months ended September 30, 2024 and 2023, respectively. Compensation expense for Time-Based RSUs recognized in SG&amp;A on the condensed consolidated statements of operations was $7.8 million and $6.1 million for the nine months ended September 30, 2024 and 2023, respectively. At September 30, 2024, unrecognized compensation cost related to Time-Based RSUs totaled $18.0 million and was expected to be recognized over the remaining weighted average vesting period of 2.4 years.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RSUs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following table summarizes the Company's Performance-Based RSU award activity for the nine months ended September 30, 2024 and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62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9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620" w:type="dxa"/>
            <w:vAlign w:val="bottom"/>
            <w:gridSpan w:val="2"/>
            <w:vMerge w:val="continue"/>
            <w:shd w:val="clear" w:color="auto" w:fill="1D2758"/>
          </w:tcPr>
          <w:p>
            <w:pPr>
              <w:spacing w:after="0"/>
              <w:rPr>
                <w:sz w:val="13"/>
                <w:szCs w:val="13"/>
                <w:color w:val="auto"/>
              </w:rPr>
            </w:pPr>
          </w:p>
        </w:tc>
        <w:tc>
          <w:tcPr>
            <w:tcW w:w="178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780" w:type="dxa"/>
            <w:vAlign w:val="bottom"/>
            <w:gridSpan w:val="3"/>
            <w:shd w:val="clear" w:color="auto" w:fill="1D2758"/>
          </w:tcPr>
          <w:p>
            <w:pPr>
              <w:jc w:val="right"/>
              <w:ind w:right="140"/>
              <w:spacing w:after="0"/>
              <w:rPr>
                <w:sz w:val="20"/>
                <w:szCs w:val="20"/>
                <w:color w:val="auto"/>
              </w:rPr>
            </w:pPr>
            <w:r>
              <w:rPr>
                <w:rFonts w:ascii="Arial" w:cs="Arial" w:eastAsia="Arial" w:hAnsi="Arial"/>
                <w:sz w:val="15"/>
                <w:szCs w:val="15"/>
                <w:b w:val="1"/>
                <w:bCs w:val="1"/>
                <w:color w:val="FFFFFF"/>
              </w:rPr>
              <w:t>Grant Date Fair Value</w:t>
            </w:r>
          </w:p>
        </w:tc>
        <w:tc>
          <w:tcPr>
            <w:tcW w:w="1780" w:type="dxa"/>
            <w:vAlign w:val="bottom"/>
            <w:gridSpan w:val="2"/>
            <w:vMerge w:val="continue"/>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1,939,691</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42.95</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1,894,250</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33.67</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295,833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66.60</w:t>
            </w:r>
          </w:p>
        </w:tc>
        <w:tc>
          <w:tcPr>
            <w:tcW w:w="8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376,826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69.52</w:t>
            </w:r>
          </w:p>
        </w:tc>
        <w:tc>
          <w:tcPr>
            <w:tcW w:w="0" w:type="dxa"/>
            <w:vAlign w:val="bottom"/>
          </w:tcPr>
          <w:p>
            <w:pPr>
              <w:spacing w:after="0"/>
              <w:rPr>
                <w:sz w:val="1"/>
                <w:szCs w:val="1"/>
                <w:color w:val="auto"/>
              </w:rPr>
            </w:pPr>
          </w:p>
        </w:tc>
      </w:tr>
      <w:tr>
        <w:trPr>
          <w:trHeight w:val="207"/>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(26,325)</w:t>
            </w:r>
          </w:p>
        </w:tc>
        <w:tc>
          <w:tcPr>
            <w:tcW w:w="8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56.58</w:t>
            </w:r>
          </w:p>
        </w:tc>
        <w:tc>
          <w:tcPr>
            <w:tcW w:w="80" w:type="dxa"/>
            <w:vAlign w:val="bottom"/>
            <w:shd w:val="clear" w:color="auto" w:fill="DDDDDD"/>
          </w:tcPr>
          <w:p>
            <w:pPr>
              <w:spacing w:after="0"/>
              <w:rPr>
                <w:sz w:val="18"/>
                <w:szCs w:val="18"/>
                <w:color w:val="auto"/>
              </w:rPr>
            </w:pP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(27,500)</w:t>
            </w:r>
          </w:p>
        </w:tc>
        <w:tc>
          <w:tcPr>
            <w:tcW w:w="8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48.38</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(377,197)</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39.08</w:t>
            </w: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(293,934)</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16.34</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1,832,002</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47.37</w:t>
            </w:r>
          </w:p>
        </w:tc>
        <w:tc>
          <w:tcPr>
            <w:tcW w:w="80" w:type="dxa"/>
            <w:vAlign w:val="bottom"/>
            <w:tcBorders>
              <w:bottom w:val="single" w:sz="8" w:color="DDDDDD"/>
            </w:tcBorders>
            <w:shd w:val="clear" w:color="auto" w:fill="DDDDDD"/>
          </w:tcPr>
          <w:p>
            <w:pPr>
              <w:spacing w:after="0"/>
              <w:rPr>
                <w:sz w:val="19"/>
                <w:szCs w:val="19"/>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1,949,642</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42.96</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Performance-Based RSUs recognized in SG&amp;A on the condensed consolidated statements of operations was $6.4 million and $6.2 million for the three months ended September 30, 2024 and 2023, respectively. Compensation expense for Performance-Based RSUs recognized in SG&amp;A on the condensed consolidated statements of operations was $19.5 million and $18.8 million for the nine months ended September 30, 2024 and 2023, respectively. At September 30, 2024, unrecognized compensation cost related to Performance-Based RSUs totaled $32.8 million and was expected to be recognized over the remaining weighted average vesting period of 1.3 years.</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Certain Performance-Based RSUs cliff vest based on achievement of the relative total stockholder return ("TSR") of the Company's Common Stock as compared to the TSR of the constituents in the S&amp;P 400 index at the grant date over the performance period of three years.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2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For 555,790 Performance-Based RSUs granted in 2021, the awards cliff vest based on achievement of specified share prices of the Company's Common Stock at annual measurement dates over performance periods of 4.5 years to 4.8 years. The target number of RSUs may be adjusted from 0 to 1,333,334 based on the stock price attainment levels defined by the Company's Compensation Committee. The target payout for the 555,790 Performance-Based RSUs is tied to a stock price of $47.50, with a payout ranging from 0 RSUs (for a stock price less than $42.50) to 1,333,334 RSUs (for a stock price of $60.00 or greater).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Stock Options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nine months ended September 30,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6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80" w:type="dxa"/>
            <w:vAlign w:val="bottom"/>
            <w:gridSpan w:val="2"/>
            <w:vMerge w:val="restart"/>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Converted</w:t>
            </w:r>
          </w:p>
        </w:tc>
        <w:tc>
          <w:tcPr>
            <w:tcW w:w="140" w:type="dxa"/>
            <w:vAlign w:val="bottom"/>
            <w:shd w:val="clear" w:color="auto" w:fill="1D2758"/>
          </w:tcPr>
          <w:p>
            <w:pPr>
              <w:spacing w:after="0"/>
              <w:rPr>
                <w:sz w:val="14"/>
                <w:szCs w:val="14"/>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13"/>
                <w:szCs w:val="13"/>
                <w:color w:val="auto"/>
              </w:rPr>
            </w:pPr>
          </w:p>
        </w:tc>
        <w:tc>
          <w:tcPr>
            <w:tcW w:w="164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Mobile Mini Options</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829,246</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12.86</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(7,093)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17.04</w:t>
            </w:r>
          </w:p>
        </w:tc>
        <w:tc>
          <w:tcPr>
            <w:tcW w:w="0" w:type="dxa"/>
            <w:vAlign w:val="bottom"/>
          </w:tcPr>
          <w:p>
            <w:pPr>
              <w:spacing w:after="0"/>
              <w:rPr>
                <w:sz w:val="1"/>
                <w:szCs w:val="1"/>
                <w:color w:val="auto"/>
              </w:rPr>
            </w:pPr>
          </w:p>
        </w:tc>
      </w:tr>
      <w:tr>
        <w:trPr>
          <w:trHeight w:val="224"/>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auto"/>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70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822,153</w:t>
            </w:r>
          </w:p>
        </w:tc>
        <w:tc>
          <w:tcPr>
            <w:tcW w:w="80" w:type="dxa"/>
            <w:vAlign w:val="bottom"/>
            <w:tcBorders>
              <w:top w:val="single" w:sz="8" w:color="auto"/>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12.82</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tcBorders>
              <w:bottom w:val="single" w:sz="8" w:color="DDDDDD"/>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September 30, 2024</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822,153</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12.82</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nine months ended September 30, 2023:</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6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80" w:type="dxa"/>
            <w:vAlign w:val="bottom"/>
            <w:gridSpan w:val="2"/>
            <w:vMerge w:val="restart"/>
            <w:shd w:val="clear" w:color="auto" w:fill="1D2758"/>
          </w:tcPr>
          <w:p>
            <w:pPr>
              <w:jc w:val="right"/>
              <w:ind w:right="100"/>
              <w:spacing w:after="0"/>
              <w:rPr>
                <w:sz w:val="20"/>
                <w:szCs w:val="20"/>
                <w:color w:val="auto"/>
              </w:rPr>
            </w:pPr>
            <w:r>
              <w:rPr>
                <w:rFonts w:ascii="Arial" w:cs="Arial" w:eastAsia="Arial" w:hAnsi="Arial"/>
                <w:sz w:val="15"/>
                <w:szCs w:val="15"/>
                <w:b w:val="1"/>
                <w:bCs w:val="1"/>
                <w:color w:val="FFFFFF"/>
              </w:rPr>
              <w:t>Converted Mobile Mini</w:t>
            </w:r>
          </w:p>
        </w:tc>
        <w:tc>
          <w:tcPr>
            <w:tcW w:w="140" w:type="dxa"/>
            <w:vAlign w:val="bottom"/>
            <w:shd w:val="clear" w:color="auto" w:fill="1D2758"/>
          </w:tcPr>
          <w:p>
            <w:pPr>
              <w:spacing w:after="0"/>
              <w:rPr>
                <w:sz w:val="14"/>
                <w:szCs w:val="14"/>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13"/>
                <w:szCs w:val="13"/>
                <w:color w:val="auto"/>
              </w:rPr>
            </w:pPr>
          </w:p>
        </w:tc>
        <w:tc>
          <w:tcPr>
            <w:tcW w:w="164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ind w:left="560"/>
              <w:spacing w:after="0"/>
              <w:rPr>
                <w:sz w:val="20"/>
                <w:szCs w:val="20"/>
                <w:color w:val="auto"/>
              </w:rPr>
            </w:pPr>
            <w:r>
              <w:rPr>
                <w:rFonts w:ascii="Arial" w:cs="Arial" w:eastAsia="Arial" w:hAnsi="Arial"/>
                <w:sz w:val="15"/>
                <w:szCs w:val="15"/>
                <w:b w:val="1"/>
                <w:bCs w:val="1"/>
                <w:color w:val="FFFFFF"/>
              </w:rPr>
              <w:t>Options</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864,276</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12.91</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(32,623)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13.87</w:t>
            </w:r>
          </w:p>
        </w:tc>
        <w:tc>
          <w:tcPr>
            <w:tcW w:w="0" w:type="dxa"/>
            <w:vAlign w:val="bottom"/>
          </w:tcPr>
          <w:p>
            <w:pPr>
              <w:spacing w:after="0"/>
              <w:rPr>
                <w:sz w:val="1"/>
                <w:szCs w:val="1"/>
                <w:color w:val="auto"/>
              </w:rPr>
            </w:pPr>
          </w:p>
        </w:tc>
      </w:tr>
      <w:tr>
        <w:trPr>
          <w:trHeight w:val="224"/>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70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831,653</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tcBorders>
              <w:bottom w:val="single" w:sz="8" w:color="DDDDDD"/>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September 30, 2023</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831,653</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15 - Commitments and Contingencies</w:t>
      </w:r>
    </w:p>
    <w:p>
      <w:pPr>
        <w:spacing w:after="0" w:line="12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September 30, 2024,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1D2758"/>
        </w:rPr>
        <w:t>NOTE 16 - (Loss) Earnings Per Share</w:t>
      </w:r>
    </w:p>
    <w:p>
      <w:pPr>
        <w:spacing w:after="0" w:line="12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reconciles the weighted average shares outstanding for the basic earnings per share calculation to the weighted average shares outstanding for the diluted earnings per share calculation: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2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ind w:left="60"/>
              <w:spacing w:after="0"/>
              <w:rPr>
                <w:sz w:val="20"/>
                <w:szCs w:val="20"/>
                <w:color w:val="auto"/>
              </w:rPr>
            </w:pPr>
            <w:r>
              <w:rPr>
                <w:rFonts w:ascii="Arial" w:cs="Arial" w:eastAsia="Arial" w:hAnsi="Arial"/>
                <w:sz w:val="15"/>
                <w:szCs w:val="15"/>
                <w:b w:val="1"/>
                <w:bCs w:val="1"/>
                <w:color w:val="FFFFFF"/>
              </w:rPr>
              <w:t>Three Months Ended September 30,</w:t>
            </w:r>
          </w:p>
        </w:tc>
        <w:tc>
          <w:tcPr>
            <w:tcW w:w="180" w:type="dxa"/>
            <w:vAlign w:val="bottom"/>
            <w:shd w:val="clear" w:color="auto" w:fill="1D2758"/>
          </w:tcPr>
          <w:p>
            <w:pPr>
              <w:spacing w:after="0"/>
              <w:rPr>
                <w:sz w:val="17"/>
                <w:szCs w:val="17"/>
                <w:color w:val="auto"/>
              </w:rPr>
            </w:pPr>
          </w:p>
        </w:tc>
        <w:tc>
          <w:tcPr>
            <w:tcW w:w="2900" w:type="dxa"/>
            <w:vAlign w:val="bottom"/>
            <w:gridSpan w:val="4"/>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50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16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16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2023</w:t>
            </w:r>
          </w:p>
        </w:tc>
      </w:tr>
      <w:tr>
        <w:trPr>
          <w:trHeight w:val="206"/>
        </w:trPr>
        <w:tc>
          <w:tcPr>
            <w:tcW w:w="5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r>
      <w:tr>
        <w:trPr>
          <w:trHeight w:val="205"/>
        </w:trPr>
        <w:tc>
          <w:tcPr>
            <w:tcW w:w="5020" w:type="dxa"/>
            <w:vAlign w:val="bottom"/>
          </w:tcPr>
          <w:p>
            <w:pPr>
              <w:ind w:left="20"/>
              <w:spacing w:after="0"/>
              <w:rPr>
                <w:sz w:val="20"/>
                <w:szCs w:val="20"/>
                <w:color w:val="auto"/>
              </w:rPr>
            </w:pPr>
            <w:r>
              <w:rPr>
                <w:rFonts w:ascii="Arial" w:cs="Arial" w:eastAsia="Arial" w:hAnsi="Arial"/>
                <w:sz w:val="15"/>
                <w:szCs w:val="15"/>
                <w:color w:val="auto"/>
              </w:rPr>
              <w:t>(Loss) income from continuing operations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(70,475)</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91,516</w:t>
            </w: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(61,086)</w:t>
            </w:r>
          </w:p>
        </w:tc>
        <w:tc>
          <w:tcPr>
            <w:tcW w:w="8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255,516</w:t>
            </w:r>
          </w:p>
        </w:tc>
      </w:tr>
      <w:tr>
        <w:trPr>
          <w:trHeight w:val="206"/>
        </w:trPr>
        <w:tc>
          <w:tcPr>
            <w:tcW w:w="5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6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134,613</w:t>
            </w:r>
          </w:p>
        </w:tc>
      </w:tr>
      <w:tr>
        <w:trPr>
          <w:trHeight w:val="200"/>
        </w:trPr>
        <w:tc>
          <w:tcPr>
            <w:tcW w:w="5020" w:type="dxa"/>
            <w:vAlign w:val="bottom"/>
          </w:tcPr>
          <w:p>
            <w:pPr>
              <w:ind w:left="220"/>
              <w:spacing w:after="0"/>
              <w:rPr>
                <w:sz w:val="20"/>
                <w:szCs w:val="20"/>
                <w:color w:val="auto"/>
              </w:rPr>
            </w:pPr>
            <w:r>
              <w:rPr>
                <w:rFonts w:ascii="Arial" w:cs="Arial" w:eastAsia="Arial" w:hAnsi="Arial"/>
                <w:sz w:val="15"/>
                <w:szCs w:val="15"/>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(70,475)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91,516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(61,086)</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390,129</w:t>
            </w:r>
          </w:p>
        </w:tc>
      </w:tr>
      <w:tr>
        <w:trPr>
          <w:trHeight w:val="20"/>
        </w:trPr>
        <w:tc>
          <w:tcPr>
            <w:tcW w:w="502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50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r>
      <w:tr>
        <w:trPr>
          <w:trHeight w:val="205"/>
        </w:trPr>
        <w:tc>
          <w:tcPr>
            <w:tcW w:w="502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188,281</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196,199</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189,362</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201,043</w:t>
            </w:r>
          </w:p>
        </w:tc>
      </w:tr>
      <w:tr>
        <w:trPr>
          <w:trHeight w:val="205"/>
        </w:trPr>
        <w:tc>
          <w:tcPr>
            <w:tcW w:w="5020" w:type="dxa"/>
            <w:vAlign w:val="bottom"/>
          </w:tcPr>
          <w:p>
            <w:pPr>
              <w:ind w:left="220"/>
              <w:spacing w:after="0"/>
              <w:rPr>
                <w:sz w:val="20"/>
                <w:szCs w:val="20"/>
                <w:color w:val="auto"/>
              </w:rPr>
            </w:pPr>
            <w:r>
              <w:rPr>
                <w:rFonts w:ascii="Arial" w:cs="Arial" w:eastAsia="Arial" w:hAnsi="Arial"/>
                <w:sz w:val="15"/>
                <w:szCs w:val="15"/>
                <w:color w:val="auto"/>
              </w:rPr>
              <w:t>Dilutive effect of shares outstanding</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0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RSAs</w:t>
            </w:r>
          </w:p>
        </w:tc>
        <w:tc>
          <w:tcPr>
            <w:tcW w:w="160" w:type="dxa"/>
            <w:vAlign w:val="bottom"/>
            <w:shd w:val="clear" w:color="auto" w:fill="DBDBDB"/>
          </w:tcPr>
          <w:p>
            <w:pPr>
              <w:spacing w:after="0"/>
              <w:rPr>
                <w:sz w:val="18"/>
                <w:szCs w:val="18"/>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w:t>
            </w:r>
          </w:p>
        </w:tc>
      </w:tr>
      <w:tr>
        <w:trPr>
          <w:trHeight w:val="205"/>
        </w:trPr>
        <w:tc>
          <w:tcPr>
            <w:tcW w:w="5020" w:type="dxa"/>
            <w:vAlign w:val="bottom"/>
          </w:tcPr>
          <w:p>
            <w:pPr>
              <w:ind w:left="320"/>
              <w:spacing w:after="0"/>
              <w:rPr>
                <w:sz w:val="20"/>
                <w:szCs w:val="20"/>
                <w:color w:val="auto"/>
              </w:rPr>
            </w:pPr>
            <w:r>
              <w:rPr>
                <w:rFonts w:ascii="Arial" w:cs="Arial" w:eastAsia="Arial" w:hAnsi="Arial"/>
                <w:sz w:val="15"/>
                <w:szCs w:val="15"/>
                <w:color w:val="auto"/>
              </w:rPr>
              <w:t>Time-based RSUs</w:t>
            </w:r>
          </w:p>
        </w:tc>
        <w:tc>
          <w:tcPr>
            <w:tcW w:w="16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283</w:t>
            </w:r>
          </w:p>
        </w:tc>
      </w:tr>
      <w:tr>
        <w:trPr>
          <w:trHeight w:val="207"/>
        </w:trPr>
        <w:tc>
          <w:tcPr>
            <w:tcW w:w="50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Performance-based RSUs</w:t>
            </w:r>
          </w:p>
        </w:tc>
        <w:tc>
          <w:tcPr>
            <w:tcW w:w="160" w:type="dxa"/>
            <w:vAlign w:val="bottom"/>
            <w:shd w:val="clear" w:color="auto" w:fill="DBDBDB"/>
          </w:tcPr>
          <w:p>
            <w:pPr>
              <w:spacing w:after="0"/>
              <w:rPr>
                <w:sz w:val="18"/>
                <w:szCs w:val="18"/>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1,864</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2,138</w:t>
            </w:r>
          </w:p>
        </w:tc>
      </w:tr>
      <w:tr>
        <w:trPr>
          <w:trHeight w:val="205"/>
        </w:trPr>
        <w:tc>
          <w:tcPr>
            <w:tcW w:w="5020" w:type="dxa"/>
            <w:vAlign w:val="bottom"/>
          </w:tcPr>
          <w:p>
            <w:pPr>
              <w:ind w:left="320"/>
              <w:spacing w:after="0"/>
              <w:rPr>
                <w:sz w:val="20"/>
                <w:szCs w:val="20"/>
                <w:color w:val="auto"/>
              </w:rPr>
            </w:pPr>
            <w:r>
              <w:rPr>
                <w:rFonts w:ascii="Arial" w:cs="Arial" w:eastAsia="Arial" w:hAnsi="Arial"/>
                <w:sz w:val="15"/>
                <w:szCs w:val="15"/>
                <w:color w:val="auto"/>
              </w:rPr>
              <w:t>Stock Options</w:t>
            </w:r>
          </w:p>
        </w:tc>
        <w:tc>
          <w:tcPr>
            <w:tcW w:w="16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981</w:t>
            </w:r>
          </w:p>
        </w:tc>
      </w:tr>
      <w:tr>
        <w:trPr>
          <w:trHeight w:val="225"/>
        </w:trPr>
        <w:tc>
          <w:tcPr>
            <w:tcW w:w="50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diluted</w:t>
            </w: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188,281</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320" w:type="dxa"/>
            <w:vAlign w:val="bottom"/>
            <w:tcBorders>
              <w:top w:val="single" w:sz="8" w:color="auto"/>
              <w:bottom w:val="single" w:sz="8" w:color="auto"/>
            </w:tcBorders>
            <w:shd w:val="clear" w:color="auto" w:fill="DBDBDB"/>
          </w:tcPr>
          <w:p>
            <w:pPr>
              <w:spacing w:after="0"/>
              <w:rPr>
                <w:sz w:val="19"/>
                <w:szCs w:val="19"/>
                <w:color w:val="auto"/>
              </w:rPr>
            </w:pPr>
          </w:p>
        </w:tc>
        <w:tc>
          <w:tcPr>
            <w:tcW w:w="116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199,258</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189,362</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204,461</w:t>
            </w:r>
          </w:p>
        </w:tc>
      </w:tr>
      <w:tr>
        <w:trPr>
          <w:trHeight w:val="20"/>
        </w:trPr>
        <w:tc>
          <w:tcPr>
            <w:tcW w:w="50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following common shares that the Company may be obligated to issue were excluded from the computation of diluted EPS because their effect would have been anti-dilutive: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40" w:type="dxa"/>
            <w:vAlign w:val="bottom"/>
            <w:shd w:val="clear" w:color="auto" w:fill="1D2758"/>
          </w:tcPr>
          <w:p>
            <w:pPr>
              <w:spacing w:after="0"/>
              <w:rPr>
                <w:sz w:val="17"/>
                <w:szCs w:val="17"/>
                <w:color w:val="auto"/>
              </w:rPr>
            </w:pPr>
          </w:p>
        </w:tc>
        <w:tc>
          <w:tcPr>
            <w:tcW w:w="3140" w:type="dxa"/>
            <w:vAlign w:val="bottom"/>
            <w:gridSpan w:val="4"/>
            <w:shd w:val="clear" w:color="auto" w:fill="1D2758"/>
          </w:tcPr>
          <w:p>
            <w:pPr>
              <w:ind w:left="220"/>
              <w:spacing w:after="0"/>
              <w:rPr>
                <w:sz w:val="20"/>
                <w:szCs w:val="20"/>
                <w:color w:val="auto"/>
              </w:rPr>
            </w:pPr>
            <w:r>
              <w:rPr>
                <w:rFonts w:ascii="Arial" w:cs="Arial" w:eastAsia="Arial" w:hAnsi="Arial"/>
                <w:sz w:val="15"/>
                <w:szCs w:val="15"/>
                <w:b w:val="1"/>
                <w:bCs w:val="1"/>
                <w:color w:val="FFFFFF"/>
              </w:rPr>
              <w:t>Three Months Ended September 30,</w:t>
            </w:r>
          </w:p>
        </w:tc>
        <w:tc>
          <w:tcPr>
            <w:tcW w:w="3060" w:type="dxa"/>
            <w:vAlign w:val="bottom"/>
            <w:gridSpan w:val="3"/>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50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4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14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150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14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2023</w:t>
            </w:r>
          </w:p>
        </w:tc>
      </w:tr>
      <w:tr>
        <w:trPr>
          <w:trHeight w:val="206"/>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RSAs</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w:t>
            </w:r>
          </w:p>
        </w:tc>
        <w:tc>
          <w:tcPr>
            <w:tcW w:w="8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040" w:type="dxa"/>
            <w:vAlign w:val="bottom"/>
          </w:tcPr>
          <w:p>
            <w:pPr>
              <w:ind w:left="20"/>
              <w:spacing w:after="0"/>
              <w:rPr>
                <w:sz w:val="20"/>
                <w:szCs w:val="20"/>
                <w:color w:val="auto"/>
              </w:rPr>
            </w:pPr>
            <w:r>
              <w:rPr>
                <w:rFonts w:ascii="Arial" w:cs="Arial" w:eastAsia="Arial" w:hAnsi="Arial"/>
                <w:sz w:val="15"/>
                <w:szCs w:val="15"/>
                <w:color w:val="auto"/>
              </w:rPr>
              <w:t>Time-based RSUs</w:t>
            </w:r>
          </w:p>
        </w:tc>
        <w:tc>
          <w:tcPr>
            <w:tcW w:w="1480" w:type="dxa"/>
            <w:vAlign w:val="bottom"/>
          </w:tcPr>
          <w:p>
            <w:pPr>
              <w:jc w:val="right"/>
              <w:spacing w:after="0"/>
              <w:rPr>
                <w:sz w:val="20"/>
                <w:szCs w:val="20"/>
                <w:color w:val="auto"/>
              </w:rPr>
            </w:pPr>
            <w:r>
              <w:rPr>
                <w:rFonts w:ascii="Arial" w:cs="Arial" w:eastAsia="Arial" w:hAnsi="Arial"/>
                <w:sz w:val="15"/>
                <w:szCs w:val="15"/>
                <w:color w:val="auto"/>
              </w:rPr>
              <w:t>592</w:t>
            </w:r>
          </w:p>
        </w:tc>
        <w:tc>
          <w:tcPr>
            <w:tcW w:w="10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592</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141</w:t>
            </w:r>
          </w:p>
        </w:tc>
      </w:tr>
      <w:tr>
        <w:trPr>
          <w:trHeight w:val="207"/>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Performance-based RSUs</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1,832</w:t>
            </w:r>
          </w:p>
        </w:tc>
        <w:tc>
          <w:tcPr>
            <w:tcW w:w="10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368</w:t>
            </w:r>
          </w:p>
        </w:tc>
        <w:tc>
          <w:tcPr>
            <w:tcW w:w="80" w:type="dxa"/>
            <w:vAlign w:val="bottom"/>
            <w:shd w:val="clear" w:color="auto" w:fill="DBDBDB"/>
          </w:tcPr>
          <w:p>
            <w:pPr>
              <w:spacing w:after="0"/>
              <w:rPr>
                <w:sz w:val="18"/>
                <w:szCs w:val="18"/>
                <w:color w:val="auto"/>
              </w:rPr>
            </w:pP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1,832</w:t>
            </w:r>
          </w:p>
        </w:tc>
        <w:tc>
          <w:tcPr>
            <w:tcW w:w="8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247</w:t>
            </w:r>
          </w:p>
        </w:tc>
      </w:tr>
      <w:tr>
        <w:trPr>
          <w:trHeight w:val="205"/>
        </w:trPr>
        <w:tc>
          <w:tcPr>
            <w:tcW w:w="5040" w:type="dxa"/>
            <w:vAlign w:val="bottom"/>
          </w:tcPr>
          <w:p>
            <w:pPr>
              <w:ind w:left="20"/>
              <w:spacing w:after="0"/>
              <w:rPr>
                <w:sz w:val="20"/>
                <w:szCs w:val="20"/>
                <w:color w:val="auto"/>
              </w:rPr>
            </w:pPr>
            <w:r>
              <w:rPr>
                <w:rFonts w:ascii="Arial" w:cs="Arial" w:eastAsia="Arial" w:hAnsi="Arial"/>
                <w:sz w:val="15"/>
                <w:szCs w:val="15"/>
                <w:color w:val="auto"/>
              </w:rPr>
              <w:t>Stock Options</w:t>
            </w:r>
          </w:p>
        </w:tc>
        <w:tc>
          <w:tcPr>
            <w:tcW w:w="1480" w:type="dxa"/>
            <w:vAlign w:val="bottom"/>
          </w:tcPr>
          <w:p>
            <w:pPr>
              <w:jc w:val="right"/>
              <w:spacing w:after="0"/>
              <w:rPr>
                <w:sz w:val="20"/>
                <w:szCs w:val="20"/>
                <w:color w:val="auto"/>
              </w:rPr>
            </w:pPr>
            <w:r>
              <w:rPr>
                <w:rFonts w:ascii="Arial" w:cs="Arial" w:eastAsia="Arial" w:hAnsi="Arial"/>
                <w:sz w:val="15"/>
                <w:szCs w:val="15"/>
                <w:color w:val="auto"/>
              </w:rPr>
              <w:t>1,356</w:t>
            </w:r>
          </w:p>
        </w:tc>
        <w:tc>
          <w:tcPr>
            <w:tcW w:w="10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1,356</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5040" w:type="dxa"/>
            <w:vAlign w:val="bottom"/>
            <w:tcBorders>
              <w:top w:val="single" w:sz="8" w:color="DBDBDB"/>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 anti-dilutive shares</w:t>
            </w: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3,813</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368</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50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3,813</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388</w:t>
            </w:r>
          </w:p>
        </w:tc>
      </w:tr>
      <w:tr>
        <w:trPr>
          <w:trHeight w:val="20"/>
        </w:trPr>
        <w:tc>
          <w:tcPr>
            <w:tcW w:w="504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17 - Restructuring</w:t>
      </w:r>
    </w:p>
    <w:p>
      <w:pPr>
        <w:spacing w:after="0" w:line="11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June 2024, the Company implemented a cost-reduction plan to be completed by the end of 2024. During the three and nine months ended September 30, 2024, restructuring costs incurred under this plan included employee termination costs of $2.3 million and $8.5 million, respectively. The following is a summary of the activity in the Company’s restructuring accrual for the three and nine months ended September 30, 2024: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60" w:type="dxa"/>
            <w:vAlign w:val="bottom"/>
            <w:shd w:val="clear" w:color="auto" w:fill="1D2758"/>
          </w:tcPr>
          <w:p>
            <w:pPr>
              <w:spacing w:after="0"/>
              <w:rPr>
                <w:sz w:val="17"/>
                <w:szCs w:val="17"/>
                <w:color w:val="auto"/>
              </w:rPr>
            </w:pPr>
          </w:p>
        </w:tc>
        <w:tc>
          <w:tcPr>
            <w:tcW w:w="2780" w:type="dxa"/>
            <w:vAlign w:val="bottom"/>
            <w:gridSpan w:val="3"/>
            <w:shd w:val="clear" w:color="auto" w:fill="1D2758"/>
          </w:tcPr>
          <w:p>
            <w:pPr>
              <w:ind w:left="20"/>
              <w:spacing w:after="0"/>
              <w:rPr>
                <w:sz w:val="20"/>
                <w:szCs w:val="20"/>
                <w:color w:val="auto"/>
              </w:rPr>
            </w:pPr>
            <w:r>
              <w:rPr>
                <w:rFonts w:ascii="Arial" w:cs="Arial" w:eastAsia="Arial" w:hAnsi="Arial"/>
                <w:sz w:val="15"/>
                <w:szCs w:val="15"/>
                <w:b w:val="1"/>
                <w:bCs w:val="1"/>
                <w:color w:val="FFFFFF"/>
              </w:rPr>
              <w:t>Three Months Ended September 30,</w:t>
            </w:r>
          </w:p>
        </w:tc>
        <w:tc>
          <w:tcPr>
            <w:tcW w:w="2700" w:type="dxa"/>
            <w:vAlign w:val="bottom"/>
            <w:gridSpan w:val="2"/>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5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40" w:type="dxa"/>
            <w:vAlign w:val="bottom"/>
            <w:shd w:val="clear" w:color="auto" w:fill="1D2758"/>
          </w:tcPr>
          <w:p>
            <w:pPr>
              <w:spacing w:after="0"/>
              <w:rPr>
                <w:sz w:val="17"/>
                <w:szCs w:val="17"/>
                <w:color w:val="auto"/>
              </w:rPr>
            </w:pPr>
          </w:p>
        </w:tc>
        <w:tc>
          <w:tcPr>
            <w:tcW w:w="2040" w:type="dxa"/>
            <w:vAlign w:val="bottom"/>
            <w:shd w:val="clear" w:color="auto" w:fill="1D2758"/>
          </w:tcPr>
          <w:p>
            <w:pPr>
              <w:jc w:val="right"/>
              <w:ind w:right="108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640" w:type="dxa"/>
            <w:vAlign w:val="bottom"/>
            <w:shd w:val="clear" w:color="auto" w:fill="1D2758"/>
          </w:tcPr>
          <w:p>
            <w:pPr>
              <w:spacing w:after="0"/>
              <w:rPr>
                <w:sz w:val="17"/>
                <w:szCs w:val="17"/>
                <w:color w:val="auto"/>
              </w:rPr>
            </w:pPr>
          </w:p>
        </w:tc>
        <w:tc>
          <w:tcPr>
            <w:tcW w:w="2060" w:type="dxa"/>
            <w:vAlign w:val="bottom"/>
            <w:shd w:val="clear" w:color="auto" w:fill="1D2758"/>
          </w:tcPr>
          <w:p>
            <w:pPr>
              <w:jc w:val="right"/>
              <w:ind w:right="1103"/>
              <w:spacing w:after="0"/>
              <w:rPr>
                <w:sz w:val="20"/>
                <w:szCs w:val="20"/>
                <w:color w:val="auto"/>
              </w:rPr>
            </w:pPr>
            <w:r>
              <w:rPr>
                <w:rFonts w:ascii="Arial" w:cs="Arial" w:eastAsia="Arial" w:hAnsi="Arial"/>
                <w:sz w:val="15"/>
                <w:szCs w:val="15"/>
                <w:b w:val="1"/>
                <w:bCs w:val="1"/>
                <w:color w:val="FFFFFF"/>
              </w:rPr>
              <w:t>2024</w:t>
            </w:r>
          </w:p>
        </w:tc>
      </w:tr>
      <w:tr>
        <w:trPr>
          <w:trHeight w:val="206"/>
        </w:trPr>
        <w:tc>
          <w:tcPr>
            <w:tcW w:w="5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Beginning balance</w:t>
            </w:r>
          </w:p>
        </w:tc>
        <w:tc>
          <w:tcPr>
            <w:tcW w:w="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2040" w:type="dxa"/>
            <w:vAlign w:val="bottom"/>
            <w:shd w:val="clear" w:color="auto" w:fill="DBDBDB"/>
          </w:tcPr>
          <w:p>
            <w:pPr>
              <w:jc w:val="center"/>
              <w:ind w:left="1463"/>
              <w:spacing w:after="0"/>
              <w:rPr>
                <w:sz w:val="20"/>
                <w:szCs w:val="20"/>
                <w:color w:val="auto"/>
              </w:rPr>
            </w:pPr>
            <w:r>
              <w:rPr>
                <w:rFonts w:ascii="Arial" w:cs="Arial" w:eastAsia="Arial" w:hAnsi="Arial"/>
                <w:sz w:val="15"/>
                <w:szCs w:val="15"/>
                <w:color w:val="auto"/>
              </w:rPr>
              <w:t>5,693</w:t>
            </w:r>
          </w:p>
        </w:tc>
        <w:tc>
          <w:tcPr>
            <w:tcW w:w="100" w:type="dxa"/>
            <w:vAlign w:val="bottom"/>
            <w:shd w:val="clear" w:color="auto" w:fill="DBDBDB"/>
          </w:tcPr>
          <w:p>
            <w:pPr>
              <w:spacing w:after="0"/>
              <w:rPr>
                <w:sz w:val="17"/>
                <w:szCs w:val="17"/>
                <w:color w:val="auto"/>
              </w:rPr>
            </w:pPr>
          </w:p>
        </w:tc>
        <w:tc>
          <w:tcPr>
            <w:tcW w:w="640" w:type="dxa"/>
            <w:vAlign w:val="bottom"/>
            <w:shd w:val="clear" w:color="auto" w:fill="DBDBDB"/>
          </w:tcPr>
          <w:p>
            <w:pPr>
              <w:jc w:val="right"/>
              <w:ind w:right="463"/>
              <w:spacing w:after="0"/>
              <w:rPr>
                <w:sz w:val="20"/>
                <w:szCs w:val="20"/>
                <w:color w:val="auto"/>
              </w:rPr>
            </w:pPr>
            <w:r>
              <w:rPr>
                <w:rFonts w:ascii="Arial" w:cs="Arial" w:eastAsia="Arial" w:hAnsi="Arial"/>
                <w:sz w:val="15"/>
                <w:szCs w:val="15"/>
                <w:color w:val="auto"/>
                <w:w w:val="95"/>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760" w:type="dxa"/>
            <w:vAlign w:val="bottom"/>
          </w:tcPr>
          <w:p>
            <w:pPr>
              <w:ind w:left="220"/>
              <w:spacing w:after="0"/>
              <w:rPr>
                <w:sz w:val="20"/>
                <w:szCs w:val="20"/>
                <w:color w:val="auto"/>
              </w:rPr>
            </w:pPr>
            <w:r>
              <w:rPr>
                <w:rFonts w:ascii="Arial" w:cs="Arial" w:eastAsia="Arial" w:hAnsi="Arial"/>
                <w:sz w:val="15"/>
                <w:szCs w:val="15"/>
                <w:color w:val="auto"/>
              </w:rPr>
              <w:t>Charges</w:t>
            </w:r>
          </w:p>
        </w:tc>
        <w:tc>
          <w:tcPr>
            <w:tcW w:w="640" w:type="dxa"/>
            <w:vAlign w:val="bottom"/>
          </w:tcPr>
          <w:p>
            <w:pPr>
              <w:spacing w:after="0"/>
              <w:rPr>
                <w:sz w:val="17"/>
                <w:szCs w:val="17"/>
                <w:color w:val="auto"/>
              </w:rPr>
            </w:pPr>
          </w:p>
        </w:tc>
        <w:tc>
          <w:tcPr>
            <w:tcW w:w="2040" w:type="dxa"/>
            <w:vAlign w:val="bottom"/>
          </w:tcPr>
          <w:p>
            <w:pPr>
              <w:jc w:val="center"/>
              <w:ind w:left="1463"/>
              <w:spacing w:after="0"/>
              <w:rPr>
                <w:sz w:val="20"/>
                <w:szCs w:val="20"/>
                <w:color w:val="auto"/>
              </w:rPr>
            </w:pPr>
            <w:r>
              <w:rPr>
                <w:rFonts w:ascii="Arial" w:cs="Arial" w:eastAsia="Arial" w:hAnsi="Arial"/>
                <w:sz w:val="15"/>
                <w:szCs w:val="15"/>
                <w:color w:val="auto"/>
              </w:rPr>
              <w:t>2,334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5"/>
                <w:szCs w:val="15"/>
                <w:color w:val="auto"/>
              </w:rPr>
              <w:t>8,540</w:t>
            </w:r>
          </w:p>
        </w:tc>
      </w:tr>
      <w:tr>
        <w:trPr>
          <w:trHeight w:val="206"/>
        </w:trPr>
        <w:tc>
          <w:tcPr>
            <w:tcW w:w="5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payments</w:t>
            </w:r>
          </w:p>
        </w:tc>
        <w:tc>
          <w:tcPr>
            <w:tcW w:w="640" w:type="dxa"/>
            <w:vAlign w:val="bottom"/>
            <w:tcBorders>
              <w:bottom w:val="single" w:sz="8" w:color="auto"/>
            </w:tcBorders>
            <w:shd w:val="clear" w:color="auto" w:fill="DBDBDB"/>
          </w:tcPr>
          <w:p>
            <w:pPr>
              <w:spacing w:after="0"/>
              <w:rPr>
                <w:sz w:val="17"/>
                <w:szCs w:val="17"/>
                <w:color w:val="auto"/>
              </w:rPr>
            </w:pPr>
          </w:p>
        </w:tc>
        <w:tc>
          <w:tcPr>
            <w:tcW w:w="2040" w:type="dxa"/>
            <w:vAlign w:val="bottom"/>
            <w:tcBorders>
              <w:bottom w:val="single" w:sz="8" w:color="auto"/>
            </w:tcBorders>
            <w:shd w:val="clear" w:color="auto" w:fill="DBDBDB"/>
          </w:tcPr>
          <w:p>
            <w:pPr>
              <w:jc w:val="center"/>
              <w:ind w:left="1443"/>
              <w:spacing w:after="0"/>
              <w:rPr>
                <w:sz w:val="20"/>
                <w:szCs w:val="20"/>
                <w:color w:val="auto"/>
              </w:rPr>
            </w:pPr>
            <w:r>
              <w:rPr>
                <w:rFonts w:ascii="Arial" w:cs="Arial" w:eastAsia="Arial" w:hAnsi="Arial"/>
                <w:sz w:val="15"/>
                <w:szCs w:val="15"/>
                <w:color w:val="auto"/>
              </w:rPr>
              <w:t>(5,185)</w:t>
            </w:r>
          </w:p>
        </w:tc>
        <w:tc>
          <w:tcPr>
            <w:tcW w:w="100" w:type="dxa"/>
            <w:vAlign w:val="bottom"/>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spacing w:after="0"/>
              <w:rPr>
                <w:sz w:val="17"/>
                <w:szCs w:val="17"/>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(5,698)</w:t>
            </w:r>
          </w:p>
        </w:tc>
      </w:tr>
      <w:tr>
        <w:trPr>
          <w:trHeight w:val="200"/>
        </w:trPr>
        <w:tc>
          <w:tcPr>
            <w:tcW w:w="5760" w:type="dxa"/>
            <w:vAlign w:val="bottom"/>
          </w:tcPr>
          <w:p>
            <w:pPr>
              <w:ind w:left="20"/>
              <w:spacing w:after="0"/>
              <w:rPr>
                <w:sz w:val="20"/>
                <w:szCs w:val="20"/>
                <w:color w:val="auto"/>
              </w:rPr>
            </w:pPr>
            <w:r>
              <w:rPr>
                <w:rFonts w:ascii="Arial" w:cs="Arial" w:eastAsia="Arial" w:hAnsi="Arial"/>
                <w:sz w:val="15"/>
                <w:szCs w:val="15"/>
                <w:color w:val="auto"/>
              </w:rPr>
              <w:t>Ending balance</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2040" w:type="dxa"/>
            <w:vAlign w:val="bottom"/>
            <w:tcBorders>
              <w:bottom w:val="single" w:sz="8" w:color="auto"/>
            </w:tcBorders>
          </w:tcPr>
          <w:p>
            <w:pPr>
              <w:jc w:val="center"/>
              <w:ind w:left="1463"/>
              <w:spacing w:after="0"/>
              <w:rPr>
                <w:sz w:val="20"/>
                <w:szCs w:val="20"/>
                <w:color w:val="auto"/>
              </w:rPr>
            </w:pPr>
            <w:r>
              <w:rPr>
                <w:rFonts w:ascii="Arial" w:cs="Arial" w:eastAsia="Arial" w:hAnsi="Arial"/>
                <w:sz w:val="15"/>
                <w:szCs w:val="15"/>
                <w:color w:val="auto"/>
              </w:rPr>
              <w:t>2,842</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w w:val="95"/>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2,842</w:t>
            </w:r>
          </w:p>
        </w:tc>
      </w:tr>
      <w:tr>
        <w:trPr>
          <w:trHeight w:val="20"/>
        </w:trPr>
        <w:tc>
          <w:tcPr>
            <w:tcW w:w="5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4" w:name="page25"/>
    <w:bookmarkEnd w:id="24"/>
    <w:p>
      <w:pPr>
        <w:ind w:left="1740" w:right="12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2.</w:t>
        <w:tab/>
        <w:t>Management’s Discussion and Analysis of Financial Condition and Results of Operations</w:t>
      </w:r>
    </w:p>
    <w:p>
      <w:pPr>
        <w:jc w:val="both"/>
        <w:ind w:firstLine="619"/>
        <w:spacing w:after="0" w:line="277"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WillScot Holdings Corporation ("WillScot")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nine months ended September 30, 2024 or prior periods.</w:t>
      </w:r>
    </w:p>
    <w:p>
      <w:pPr>
        <w:spacing w:after="0" w:line="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On January 31, 2023, the Company completed the sale of its former United Kingdom ("UK") Storage Solutions segment. This MD&amp;A presents the historical financial results of the former UK Storage Solutions segment as discontinued operations for all periods presented. On July 29, 2024, the Company amended and restated its certificate of incorporation to effect a change of the Company’s name from “WillScot Mobile Mini Holdings Corp.” to “WillScot Holdings Corporation."</w:t>
      </w:r>
    </w:p>
    <w:p>
      <w:pPr>
        <w:jc w:val="both"/>
        <w:ind w:firstLine="619"/>
        <w:spacing w:after="0" w:line="271"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United States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 of MD&amp;A.</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w:t>
      </w:r>
    </w:p>
    <w:p>
      <w:pPr>
        <w:spacing w:after="0" w:line="114"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We are a leading business services provider specializing in innovative and flexible turnkey temporary space solutions. We service diverse end markets across all sectors of the economy throughout the United States ("US"), Canada, and Mexico. As of September 30, 2024, our branch network included approximately 260 branch locations and additional drop lots to service our over 85,000 customers. We offer our customers an extensive selection of “Ready to Work” temporary space solutions with over 152,000 modular space units and over 210,000 portable storage and cold storage units in our fleet.</w:t>
      </w:r>
    </w:p>
    <w:p>
      <w:pPr>
        <w:spacing w:after="0" w:line="3"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Furthermore, given that our customers value flexibility, they consistently extend their leases or renew on a month-to-month basis such that the average effective duration of our lease portfolio, excluding seasonal portable storage leases, is approximately 38 months. We complement our core leasing business by selling both new and used units, allowing us to leverage scale, achieve purchasing benefits and redeploy capital employed in our lease fleet.</w:t>
      </w:r>
    </w:p>
    <w:p>
      <w:pPr>
        <w:spacing w:after="0" w:line="2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We track several market leading indicators to predict demand, including those related to our two largest end markets, the commercial and industrial sector and the construction sector, which collectively accounted for approximately 85% of our revenues for the nine months ended September 30, 2024.</w:t>
      </w:r>
    </w:p>
    <w:p>
      <w:pPr>
        <w:spacing w:after="0" w:line="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remain focused on our core priorities of growing leasing revenues by increasing units on rent, both organically and through our acquisition strategy, delivering “Ready to Work” turnkey solutions to our customers with value added products and services ("VAPS"), and continually improving the overall customer experience.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Termination of Agreement to Acquire McGrath RentCorp</w:t>
      </w:r>
    </w:p>
    <w:p>
      <w:pPr>
        <w:spacing w:after="0" w:line="6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On January 28, 2024, we entered into an agreement and plan of merger (the “Merger Agreement”) with McGrath RentCorp ("McGrath"). On September 17, 2024, the Company and McGrath mutually agreed to terminate the Merger Agreement. In accordance with the terms of the Merger Agreement, during the three months ended September 30, 2024, we paid McGrath a $180.0 million termination fee, which was treated as an operating expense in the quarter. During the three and nine months ended September 30, 2024, we recorded $8.8 million and $41.3 million respectively, in legal and professional fees primarily related to the McGrath transaction within selling, general and administrative expense ("SG&amp;A").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5" w:name="page26"/>
    <w:bookmarkEnd w:id="25"/>
    <w:p>
      <w:pPr>
        <w:jc w:val="both"/>
        <w:ind w:firstLine="619"/>
        <w:spacing w:after="0" w:line="271" w:lineRule="auto"/>
        <w:rPr>
          <w:sz w:val="20"/>
          <w:szCs w:val="20"/>
          <w:color w:val="auto"/>
        </w:rPr>
      </w:pPr>
      <w:r>
        <w:rPr>
          <w:rFonts w:ascii="Arial" w:cs="Arial" w:eastAsia="Arial" w:hAnsi="Arial"/>
          <w:sz w:val="15"/>
          <w:szCs w:val="15"/>
          <w:color w:val="auto"/>
        </w:rPr>
        <w:t>In connection with the proposed acquisition of McGrath, we entered into a commitment letter dated January 28, 2024, which was amended and restated on June 13, 2024 and modified by a Notice of Reduction of Bridge Commitments on June 28, 2024 (the "Commitment Letter"), pursuant to which certain financial institutions committed to make available, in accordance with the terms of the Commitment Letter, (i) a senior secured bridge credit facility and (ii) an upsize to the existing ABL Facility (as defined below). As a result of the termination of the Merger Agreement, the Commitment Letter was terminated.</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Restructuring</w:t>
      </w:r>
    </w:p>
    <w:p>
      <w:pPr>
        <w:spacing w:after="0" w:line="6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June 2024, the Company implemented a cost-reduction plan to be completed by the end of 2024. During the three and nine months ended September 30, 2024, restructuring costs incurred under this plan included employee termination costs of $2.3 million and $8.5 million,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June 28, 2024, Williams Scotsman, Inc. ("WSI") completed a private offering of $500.0 million in aggregate principal amount of 6.625% senior secured notes due 2029 (the "2029 Secured Notes") to qualified institutional buyers pursuant to Rule 144A. Proceeds were used to repay approximately $495.0 million of outstanding indebtedness under the ABL Facility and certain fees and expenses.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Mobile Mini Trade Name Impairment</w:t>
      </w:r>
    </w:p>
    <w:p>
      <w:pPr>
        <w:spacing w:after="0" w:line="7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In the second quarter of 2024, we determined that a review of the carrying value of the Mobile Mini trade name was necessary based on the Company's plan to rebrand under a single WillScot brand name and discontinue the use of the Mobile Mini trade name. As of June 30, 2024, the Mobile Mini trade name was tested for impairment using the relief from royalty valuation method. After determining the estimated fair value, we recorded an impairment charge of $132.5 million during the three months ended June 30, 2024. This non-cash charge was recorded to impairment loss on intangible asset on the consolidated statement of operations. After the impairment charge, the remaining net book value of the Mobile Mini trade name was $31.5 million, which is being amortized over a remaining useful life.</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nine months ended September 30, 2024, we acquired certain assets and assumed certain liabilities of three local storage and modular companies, which consisted primarily of approximately 600 storage units and 800 modular units, and one national provider of premium large clearspan structures for $84.5 million. As of the acquisition dates, the fair value of rental equipment acquired was $80.7 million.</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nine months ended September 30, 2024, we repurchased 3,623,298 shares of Common Stock for $140.4 million, excluding excise tax. As of September 30, 2024, $951.9 million of the authorization for future repurchases of the Common Stock remained available. Given that we believe our free cash flow is predictable (with the exception of isolated events), we believe that repurchases will be a recurring capital allocation priority.</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Swap Agreements</w:t>
      </w:r>
    </w:p>
    <w:p>
      <w:pPr>
        <w:spacing w:after="0" w:line="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January 2024, we entered into two interest rate swap agreements with financial counterparties relating to $500.0 million in aggregate notional amount of variable-rate debt under the ABL Facility. Under the terms of the agreements, we receive a floating rate equal to one-month term SOFR and make payments based on a weighted average fixed interest rate of 3.70% on the notional amount. The swap agreements were designated and qualified as hedges of our exposure to changes in interest payment cash flows created by fluctuations in variable interest rates on the ABL Facility. The swap agreements terminate on June 30, 2027.</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Segment Reporting</w:t>
      </w:r>
    </w:p>
    <w:p>
      <w:pPr>
        <w:spacing w:after="0" w:line="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January 2024, we completed the unification of our go-to market structure by integrating our modular and storage divisions under a single leadership team organized by metropolitan statistical area (MSA), which enables us to consistently deliver our portfolio of solutions to our entire customer base. In connection with this change in operating model, we realigned the composition of our operating and reportable segments. As a result, we concluded we have two operating segments (US and Other North America) that aggregate into one reportable segment.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Third Quarter Highlights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400"/>
        </w:trPr>
        <w:tc>
          <w:tcPr>
            <w:tcW w:w="6080" w:type="dxa"/>
            <w:vAlign w:val="bottom"/>
            <w:shd w:val="clear" w:color="auto" w:fill="1D2758"/>
          </w:tcPr>
          <w:p>
            <w:pPr>
              <w:spacing w:after="0"/>
              <w:rPr>
                <w:sz w:val="24"/>
                <w:szCs w:val="24"/>
                <w:color w:val="auto"/>
              </w:rPr>
            </w:pPr>
          </w:p>
        </w:tc>
        <w:tc>
          <w:tcPr>
            <w:tcW w:w="220" w:type="dxa"/>
            <w:vAlign w:val="bottom"/>
            <w:shd w:val="clear" w:color="auto" w:fill="1D2758"/>
          </w:tcPr>
          <w:p>
            <w:pPr>
              <w:spacing w:after="0"/>
              <w:rPr>
                <w:sz w:val="24"/>
                <w:szCs w:val="24"/>
                <w:color w:val="auto"/>
              </w:rPr>
            </w:pPr>
          </w:p>
        </w:tc>
        <w:tc>
          <w:tcPr>
            <w:tcW w:w="3160" w:type="dxa"/>
            <w:vAlign w:val="bottom"/>
            <w:gridSpan w:val="3"/>
            <w:shd w:val="clear" w:color="auto" w:fill="1D2758"/>
          </w:tcPr>
          <w:p>
            <w:pPr>
              <w:jc w:val="right"/>
              <w:ind w:right="343"/>
              <w:spacing w:after="0"/>
              <w:rPr>
                <w:sz w:val="20"/>
                <w:szCs w:val="20"/>
                <w:color w:val="auto"/>
              </w:rPr>
            </w:pPr>
            <w:r>
              <w:rPr>
                <w:rFonts w:ascii="Arial" w:cs="Arial" w:eastAsia="Arial" w:hAnsi="Arial"/>
                <w:sz w:val="15"/>
                <w:szCs w:val="15"/>
                <w:b w:val="1"/>
                <w:bCs w:val="1"/>
                <w:color w:val="FFFFFF"/>
              </w:rPr>
              <w:t>Three Months Ended September 30,</w:t>
            </w:r>
          </w:p>
        </w:tc>
        <w:tc>
          <w:tcPr>
            <w:tcW w:w="1780" w:type="dxa"/>
            <w:vAlign w:val="bottom"/>
            <w:gridSpan w:val="3"/>
            <w:vMerge w:val="restart"/>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2024 vs. 2023 Change</w:t>
            </w:r>
          </w:p>
        </w:tc>
        <w:tc>
          <w:tcPr>
            <w:tcW w:w="0" w:type="dxa"/>
            <w:vAlign w:val="bottom"/>
          </w:tcPr>
          <w:p>
            <w:pPr>
              <w:spacing w:after="0"/>
              <w:rPr>
                <w:sz w:val="1"/>
                <w:szCs w:val="1"/>
                <w:color w:val="auto"/>
              </w:rPr>
            </w:pPr>
          </w:p>
        </w:tc>
      </w:tr>
      <w:tr>
        <w:trPr>
          <w:trHeight w:val="258"/>
        </w:trPr>
        <w:tc>
          <w:tcPr>
            <w:tcW w:w="60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monthly rental rate)</w:t>
            </w:r>
            <w:r>
              <w:rPr>
                <w:rFonts w:ascii="Arial" w:cs="Arial" w:eastAsia="Arial" w:hAnsi="Arial"/>
                <w:sz w:val="20"/>
                <w:szCs w:val="20"/>
                <w:b w:val="1"/>
                <w:bCs w:val="1"/>
                <w:i w:val="1"/>
                <w:iCs w:val="1"/>
                <w:color w:val="FFFFFF"/>
                <w:vertAlign w:val="superscript"/>
              </w:rPr>
              <w:t>1</w:t>
            </w:r>
          </w:p>
        </w:tc>
        <w:tc>
          <w:tcPr>
            <w:tcW w:w="220" w:type="dxa"/>
            <w:vAlign w:val="bottom"/>
            <w:shd w:val="clear" w:color="auto" w:fill="1D2758"/>
          </w:tcPr>
          <w:p>
            <w:pPr>
              <w:spacing w:after="0"/>
              <w:rPr>
                <w:sz w:val="22"/>
                <w:szCs w:val="22"/>
                <w:color w:val="auto"/>
              </w:rPr>
            </w:pPr>
          </w:p>
        </w:tc>
        <w:tc>
          <w:tcPr>
            <w:tcW w:w="14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420" w:type="dxa"/>
            <w:vAlign w:val="bottom"/>
            <w:shd w:val="clear" w:color="auto" w:fill="1D2758"/>
          </w:tcPr>
          <w:p>
            <w:pPr>
              <w:spacing w:after="0"/>
              <w:rPr>
                <w:sz w:val="22"/>
                <w:szCs w:val="22"/>
                <w:color w:val="auto"/>
              </w:rPr>
            </w:pPr>
          </w:p>
        </w:tc>
        <w:tc>
          <w:tcPr>
            <w:tcW w:w="132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780" w:type="dxa"/>
            <w:vAlign w:val="bottom"/>
            <w:gridSpan w:val="3"/>
            <w:vMerge w:val="continue"/>
            <w:shd w:val="clear" w:color="auto" w:fill="1D2758"/>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601,432</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604,834</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(3,402)</w:t>
            </w:r>
          </w:p>
        </w:tc>
        <w:tc>
          <w:tcPr>
            <w:tcW w:w="2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20"/>
              <w:spacing w:after="0"/>
              <w:rPr>
                <w:sz w:val="20"/>
                <w:szCs w:val="20"/>
                <w:color w:val="auto"/>
              </w:rPr>
            </w:pPr>
            <w:r>
              <w:rPr>
                <w:rFonts w:ascii="Arial" w:cs="Arial" w:eastAsia="Arial" w:hAnsi="Arial"/>
                <w:sz w:val="15"/>
                <w:szCs w:val="15"/>
                <w:color w:val="auto"/>
              </w:rPr>
              <w:t>(Loss) income from continuing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23"/>
              <w:spacing w:after="0"/>
              <w:rPr>
                <w:sz w:val="20"/>
                <w:szCs w:val="20"/>
                <w:color w:val="auto"/>
              </w:rPr>
            </w:pPr>
            <w:r>
              <w:rPr>
                <w:rFonts w:ascii="Arial" w:cs="Arial" w:eastAsia="Arial" w:hAnsi="Arial"/>
                <w:sz w:val="15"/>
                <w:szCs w:val="15"/>
                <w:color w:val="auto"/>
              </w:rPr>
              <w:t>(70,475)</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03"/>
              <w:spacing w:after="0"/>
              <w:rPr>
                <w:sz w:val="20"/>
                <w:szCs w:val="20"/>
                <w:color w:val="auto"/>
              </w:rPr>
            </w:pPr>
            <w:r>
              <w:rPr>
                <w:rFonts w:ascii="Arial" w:cs="Arial" w:eastAsia="Arial" w:hAnsi="Arial"/>
                <w:sz w:val="15"/>
                <w:szCs w:val="15"/>
                <w:color w:val="auto"/>
              </w:rPr>
              <w:t>91,516</w:t>
            </w: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(161,991)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266,863</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265,480</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1,383</w:t>
            </w:r>
          </w:p>
        </w:tc>
        <w:tc>
          <w:tcPr>
            <w:tcW w:w="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3"/>
              <w:spacing w:after="0"/>
              <w:rPr>
                <w:sz w:val="20"/>
                <w:szCs w:val="20"/>
                <w:color w:val="auto"/>
              </w:rPr>
            </w:pPr>
            <w:r>
              <w:rPr>
                <w:rFonts w:ascii="Arial" w:cs="Arial" w:eastAsia="Arial" w:hAnsi="Arial"/>
                <w:sz w:val="15"/>
                <w:szCs w:val="15"/>
                <w:color w:val="auto"/>
              </w:rPr>
              <w:t>69,398</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03"/>
              <w:spacing w:after="0"/>
              <w:rPr>
                <w:sz w:val="20"/>
                <w:szCs w:val="20"/>
                <w:color w:val="auto"/>
              </w:rPr>
            </w:pPr>
            <w:r>
              <w:rPr>
                <w:rFonts w:ascii="Arial" w:cs="Arial" w:eastAsia="Arial" w:hAnsi="Arial"/>
                <w:sz w:val="15"/>
                <w:szCs w:val="15"/>
                <w:color w:val="auto"/>
              </w:rPr>
              <w:t>63,388</w:t>
            </w: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6,010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CAPEX</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58,560</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43,230</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15,330</w:t>
            </w:r>
          </w:p>
        </w:tc>
        <w:tc>
          <w:tcPr>
            <w:tcW w:w="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220" w:type="dxa"/>
            <w:vAlign w:val="bottom"/>
          </w:tcPr>
          <w:p>
            <w:pPr>
              <w:spacing w:after="0"/>
              <w:rPr>
                <w:sz w:val="17"/>
                <w:szCs w:val="17"/>
                <w:color w:val="auto"/>
              </w:rPr>
            </w:pPr>
          </w:p>
        </w:tc>
        <w:tc>
          <w:tcPr>
            <w:tcW w:w="1420" w:type="dxa"/>
            <w:vAlign w:val="bottom"/>
          </w:tcPr>
          <w:p>
            <w:pPr>
              <w:jc w:val="right"/>
              <w:ind w:right="163"/>
              <w:spacing w:after="0"/>
              <w:rPr>
                <w:sz w:val="20"/>
                <w:szCs w:val="20"/>
                <w:color w:val="auto"/>
              </w:rPr>
            </w:pPr>
            <w:r>
              <w:rPr>
                <w:rFonts w:ascii="Arial" w:cs="Arial" w:eastAsia="Arial" w:hAnsi="Arial"/>
                <w:sz w:val="15"/>
                <w:szCs w:val="15"/>
                <w:color w:val="auto"/>
              </w:rPr>
              <w:t>94,899</w:t>
            </w:r>
          </w:p>
        </w:tc>
        <w:tc>
          <w:tcPr>
            <w:tcW w:w="420" w:type="dxa"/>
            <w:vAlign w:val="bottom"/>
          </w:tcPr>
          <w:p>
            <w:pPr>
              <w:spacing w:after="0"/>
              <w:rPr>
                <w:sz w:val="17"/>
                <w:szCs w:val="17"/>
                <w:color w:val="auto"/>
              </w:rPr>
            </w:pPr>
          </w:p>
        </w:tc>
        <w:tc>
          <w:tcPr>
            <w:tcW w:w="1320" w:type="dxa"/>
            <w:vAlign w:val="bottom"/>
          </w:tcPr>
          <w:p>
            <w:pPr>
              <w:jc w:val="right"/>
              <w:ind w:right="203"/>
              <w:spacing w:after="0"/>
              <w:rPr>
                <w:sz w:val="20"/>
                <w:szCs w:val="20"/>
                <w:color w:val="auto"/>
              </w:rPr>
            </w:pPr>
            <w:r>
              <w:rPr>
                <w:rFonts w:ascii="Arial" w:cs="Arial" w:eastAsia="Arial" w:hAnsi="Arial"/>
                <w:sz w:val="15"/>
                <w:szCs w:val="15"/>
                <w:color w:val="auto"/>
              </w:rPr>
              <w:t>98,169</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(3,270)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62.1 %</w:t>
            </w:r>
          </w:p>
        </w:tc>
        <w:tc>
          <w:tcPr>
            <w:tcW w:w="42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63.9 %</w:t>
            </w:r>
          </w:p>
        </w:tc>
        <w:tc>
          <w:tcPr>
            <w:tcW w:w="460" w:type="dxa"/>
            <w:vAlign w:val="bottom"/>
            <w:shd w:val="clear" w:color="auto" w:fill="DBDBDB"/>
          </w:tcPr>
          <w:p>
            <w:pPr>
              <w:spacing w:after="0"/>
              <w:rPr>
                <w:sz w:val="18"/>
                <w:szCs w:val="18"/>
                <w:color w:val="auto"/>
              </w:rPr>
            </w:pPr>
          </w:p>
        </w:tc>
        <w:tc>
          <w:tcPr>
            <w:tcW w:w="13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(180) bps</w:t>
            </w:r>
          </w:p>
        </w:tc>
        <w:tc>
          <w:tcPr>
            <w:tcW w:w="0" w:type="dxa"/>
            <w:vAlign w:val="bottom"/>
          </w:tcPr>
          <w:p>
            <w:pPr>
              <w:spacing w:after="0"/>
              <w:rPr>
                <w:sz w:val="1"/>
                <w:szCs w:val="1"/>
                <w:color w:val="auto"/>
              </w:rPr>
            </w:pPr>
          </w:p>
        </w:tc>
      </w:tr>
      <w:tr>
        <w:trPr>
          <w:trHeight w:val="205"/>
        </w:trPr>
        <w:tc>
          <w:tcPr>
            <w:tcW w:w="608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3"/>
              <w:spacing w:after="0"/>
              <w:rPr>
                <w:sz w:val="20"/>
                <w:szCs w:val="20"/>
                <w:color w:val="auto"/>
              </w:rPr>
            </w:pPr>
            <w:r>
              <w:rPr>
                <w:rFonts w:ascii="Arial" w:cs="Arial" w:eastAsia="Arial" w:hAnsi="Arial"/>
                <w:sz w:val="15"/>
                <w:szCs w:val="15"/>
                <w:color w:val="auto"/>
              </w:rPr>
              <w:t>1,199</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03"/>
              <w:spacing w:after="0"/>
              <w:rPr>
                <w:sz w:val="20"/>
                <w:szCs w:val="20"/>
                <w:color w:val="auto"/>
              </w:rPr>
            </w:pPr>
            <w:r>
              <w:rPr>
                <w:rFonts w:ascii="Arial" w:cs="Arial" w:eastAsia="Arial" w:hAnsi="Arial"/>
                <w:sz w:val="15"/>
                <w:szCs w:val="15"/>
                <w:color w:val="auto"/>
              </w:rPr>
              <w:t>1,130</w:t>
            </w: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69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units on rent</w:t>
            </w: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122,730</w:t>
            </w:r>
          </w:p>
        </w:tc>
        <w:tc>
          <w:tcPr>
            <w:tcW w:w="42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150,281</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(27,551)</w:t>
            </w:r>
          </w:p>
        </w:tc>
        <w:tc>
          <w:tcPr>
            <w:tcW w:w="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58.1 %</w:t>
            </w:r>
          </w:p>
        </w:tc>
        <w:tc>
          <w:tcPr>
            <w:tcW w:w="420" w:type="dxa"/>
            <w:vAlign w:val="bottom"/>
          </w:tcPr>
          <w:p>
            <w:pPr>
              <w:spacing w:after="0"/>
              <w:rPr>
                <w:sz w:val="17"/>
                <w:szCs w:val="17"/>
                <w:color w:val="auto"/>
              </w:rPr>
            </w:pP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70.2 %</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(1,210)</w:t>
            </w:r>
          </w:p>
        </w:tc>
        <w:tc>
          <w:tcPr>
            <w:tcW w:w="280" w:type="dxa"/>
            <w:vAlign w:val="bottom"/>
          </w:tcPr>
          <w:p>
            <w:pPr>
              <w:jc w:val="right"/>
              <w:spacing w:after="0"/>
              <w:rPr>
                <w:sz w:val="20"/>
                <w:szCs w:val="20"/>
                <w:color w:val="auto"/>
              </w:rPr>
            </w:pPr>
            <w:r>
              <w:rPr>
                <w:rFonts w:ascii="Arial" w:cs="Arial" w:eastAsia="Arial" w:hAnsi="Arial"/>
                <w:sz w:val="15"/>
                <w:szCs w:val="15"/>
                <w:color w:val="auto"/>
                <w:w w:val="99"/>
              </w:rPr>
              <w:t>bps</w:t>
            </w:r>
          </w:p>
        </w:tc>
        <w:tc>
          <w:tcPr>
            <w:tcW w:w="0" w:type="dxa"/>
            <w:vAlign w:val="bottom"/>
          </w:tcPr>
          <w:p>
            <w:pPr>
              <w:spacing w:after="0"/>
              <w:rPr>
                <w:sz w:val="1"/>
                <w:szCs w:val="1"/>
                <w:color w:val="auto"/>
              </w:rPr>
            </w:pPr>
          </w:p>
        </w:tc>
      </w:tr>
      <w:tr>
        <w:trPr>
          <w:trHeight w:val="207"/>
        </w:trPr>
        <w:tc>
          <w:tcPr>
            <w:tcW w:w="6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265</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242</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w:t>
            </w:r>
          </w:p>
        </w:tc>
        <w:tc>
          <w:tcPr>
            <w:tcW w:w="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jc w:val="both"/>
        <w:ind w:left="120" w:right="20" w:firstLine="3"/>
        <w:spacing w:after="0"/>
        <w:tabs>
          <w:tab w:leader="none" w:pos="225"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In 2024, we reclassified approximately 2,000 units that were previously reported as modular space units on rent to portable storage units on rent as these units are generally used in a dry storage application. Additionally, based on our segment realignment, we have conformed our VAPS presentation to include all VAPS not specific to portable storage orders as modular space VAPS and recalculated average monthly rental rates. This treatment is consistent with prior treatment in our previous Modular Segment. All historical product operating key performance indicators have been recast to be presented on a comparable basis for all periods.</w:t>
      </w:r>
    </w:p>
    <w:p>
      <w:pPr>
        <w:spacing w:after="0" w:line="258"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For the three months ended September 30, 2024, as compared to the three months ended September 30, 2023, results and key drivers of our financial performance included:</w:t>
      </w:r>
    </w:p>
    <w:p>
      <w:pPr>
        <w:jc w:val="both"/>
        <w:ind w:left="620" w:hanging="307"/>
        <w:spacing w:after="0" w:line="282"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Total revenues decreased $3.4 million, or 0.6%. Leasing revenue decreased $11.2 million, or 2.4%, and delivery and installation revenue decreased $0.8 million, or 0.7%. These decreases were partially offset by an increase in new unit sales revenue of $7.7 million, or 75.8%, and an increase in rental unit sales revenue of $0.9 million, or 7.5%.</w:t>
      </w:r>
    </w:p>
    <w:p>
      <w:pPr>
        <w:spacing w:after="0" w:line="10" w:lineRule="exact"/>
        <w:rPr>
          <w:rFonts w:ascii="Arial" w:cs="Arial" w:eastAsia="Arial" w:hAnsi="Arial"/>
          <w:sz w:val="15"/>
          <w:szCs w:val="15"/>
          <w:color w:val="auto"/>
        </w:rPr>
      </w:pPr>
    </w:p>
    <w:p>
      <w:pPr>
        <w:jc w:val="both"/>
        <w:ind w:left="1240" w:hanging="309"/>
        <w:spacing w:after="0" w:line="271" w:lineRule="auto"/>
        <w:tabs>
          <w:tab w:leader="none" w:pos="1229" w:val="left"/>
        </w:tabs>
        <w:numPr>
          <w:ilvl w:val="1"/>
          <w:numId w:val="6"/>
        </w:numPr>
        <w:rPr>
          <w:rFonts w:ascii="Arial" w:cs="Arial" w:eastAsia="Arial" w:hAnsi="Arial"/>
          <w:sz w:val="15"/>
          <w:szCs w:val="15"/>
          <w:color w:val="auto"/>
        </w:rPr>
      </w:pPr>
      <w:r>
        <w:rPr>
          <w:rFonts w:ascii="Arial" w:cs="Arial" w:eastAsia="Arial" w:hAnsi="Arial"/>
          <w:sz w:val="15"/>
          <w:szCs w:val="15"/>
          <w:color w:val="auto"/>
        </w:rPr>
        <w:t>Modular product revenue, which represented 77.8% of consolidated revenue for the three months ended September 30, 2024, increased $17.3 million, or 3.8%, to $467.8 million. The increase was driven by delivery and installation revenue, which increased $7.2 million, or 8.6%, new unit sales revenue, which increased $8.2 million, or 92.5%, and rental unit sales revenue, which increased $1.2 million, or 12.3%. Core leasing revenue increased $0.7 million, or 0.2%.</w:t>
      </w:r>
    </w:p>
    <w:p>
      <w:pPr>
        <w:spacing w:after="0" w:line="7" w:lineRule="exact"/>
        <w:rPr>
          <w:rFonts w:ascii="Arial" w:cs="Arial" w:eastAsia="Arial" w:hAnsi="Arial"/>
          <w:sz w:val="15"/>
          <w:szCs w:val="15"/>
          <w:color w:val="auto"/>
        </w:rPr>
      </w:pPr>
    </w:p>
    <w:p>
      <w:pPr>
        <w:ind w:left="1240"/>
        <w:spacing w:after="0"/>
        <w:rPr>
          <w:rFonts w:ascii="Arial" w:cs="Arial" w:eastAsia="Arial" w:hAnsi="Arial"/>
          <w:sz w:val="15"/>
          <w:szCs w:val="15"/>
          <w:color w:val="auto"/>
        </w:rPr>
      </w:pPr>
      <w:r>
        <w:rPr>
          <w:rFonts w:ascii="Arial" w:cs="Arial" w:eastAsia="Arial" w:hAnsi="Arial"/>
          <w:sz w:val="15"/>
          <w:szCs w:val="15"/>
          <w:color w:val="auto"/>
        </w:rPr>
        <w:t>Modular revenue drivers for the three months ended September 30, 2024 included:</w:t>
      </w:r>
    </w:p>
    <w:p>
      <w:pPr>
        <w:spacing w:after="0" w:line="72" w:lineRule="exact"/>
        <w:rPr>
          <w:rFonts w:ascii="Arial" w:cs="Arial" w:eastAsia="Arial" w:hAnsi="Arial"/>
          <w:sz w:val="15"/>
          <w:szCs w:val="15"/>
          <w:color w:val="auto"/>
        </w:rPr>
      </w:pPr>
    </w:p>
    <w:p>
      <w:pPr>
        <w:ind w:left="1860" w:hanging="310"/>
        <w:spacing w:after="0" w:line="287" w:lineRule="auto"/>
        <w:tabs>
          <w:tab w:leader="none" w:pos="1849" w:val="left"/>
        </w:tabs>
        <w:numPr>
          <w:ilvl w:val="2"/>
          <w:numId w:val="6"/>
        </w:numPr>
        <w:rPr>
          <w:rFonts w:ascii="Arial" w:cs="Arial" w:eastAsia="Arial" w:hAnsi="Arial"/>
          <w:sz w:val="15"/>
          <w:szCs w:val="15"/>
          <w:color w:val="auto"/>
        </w:rPr>
      </w:pPr>
      <w:r>
        <w:rPr>
          <w:rFonts w:ascii="Arial" w:cs="Arial" w:eastAsia="Arial" w:hAnsi="Arial"/>
          <w:sz w:val="15"/>
          <w:szCs w:val="15"/>
          <w:color w:val="auto"/>
        </w:rPr>
        <w:t>Modular space average monthly rental rate increased $69, or 6.1%, year over year to $1,199 representing a continuation of the long-term price optimization and VAPS penetration opportunities across our portfolio.</w:t>
      </w:r>
    </w:p>
    <w:p>
      <w:pPr>
        <w:ind w:left="1840" w:hanging="290"/>
        <w:spacing w:after="0"/>
        <w:tabs>
          <w:tab w:leader="none" w:pos="1840" w:val="left"/>
        </w:tabs>
        <w:numPr>
          <w:ilvl w:val="2"/>
          <w:numId w:val="6"/>
        </w:numPr>
        <w:rPr>
          <w:rFonts w:ascii="Arial" w:cs="Arial" w:eastAsia="Arial" w:hAnsi="Arial"/>
          <w:sz w:val="15"/>
          <w:szCs w:val="15"/>
          <w:color w:val="auto"/>
        </w:rPr>
      </w:pPr>
      <w:r>
        <w:rPr>
          <w:rFonts w:ascii="Arial" w:cs="Arial" w:eastAsia="Arial" w:hAnsi="Arial"/>
          <w:sz w:val="15"/>
          <w:szCs w:val="15"/>
          <w:color w:val="auto"/>
        </w:rPr>
        <w:t>Average modular space units on rent decreased 3,270, or 3.3%, year over year.</w:t>
      </w:r>
    </w:p>
    <w:p>
      <w:pPr>
        <w:spacing w:after="0" w:line="72" w:lineRule="exact"/>
        <w:rPr>
          <w:rFonts w:ascii="Arial" w:cs="Arial" w:eastAsia="Arial" w:hAnsi="Arial"/>
          <w:sz w:val="15"/>
          <w:szCs w:val="15"/>
          <w:color w:val="auto"/>
        </w:rPr>
      </w:pPr>
    </w:p>
    <w:p>
      <w:pPr>
        <w:ind w:left="1840" w:hanging="290"/>
        <w:spacing w:after="0"/>
        <w:tabs>
          <w:tab w:leader="none" w:pos="1840" w:val="left"/>
        </w:tabs>
        <w:numPr>
          <w:ilvl w:val="2"/>
          <w:numId w:val="6"/>
        </w:numPr>
        <w:rPr>
          <w:rFonts w:ascii="Arial" w:cs="Arial" w:eastAsia="Arial" w:hAnsi="Arial"/>
          <w:sz w:val="15"/>
          <w:szCs w:val="15"/>
          <w:color w:val="auto"/>
        </w:rPr>
      </w:pPr>
      <w:r>
        <w:rPr>
          <w:rFonts w:ascii="Arial" w:cs="Arial" w:eastAsia="Arial" w:hAnsi="Arial"/>
          <w:sz w:val="15"/>
          <w:szCs w:val="15"/>
          <w:color w:val="auto"/>
        </w:rPr>
        <w:t>Average modular space monthly utilization decreased 180 basis points ("bps") to 62.1%.</w:t>
      </w:r>
    </w:p>
    <w:p>
      <w:pPr>
        <w:spacing w:after="0" w:line="59" w:lineRule="exact"/>
        <w:rPr>
          <w:rFonts w:ascii="Arial" w:cs="Arial" w:eastAsia="Arial" w:hAnsi="Arial"/>
          <w:sz w:val="15"/>
          <w:szCs w:val="15"/>
          <w:color w:val="auto"/>
        </w:rPr>
      </w:pPr>
    </w:p>
    <w:p>
      <w:pPr>
        <w:jc w:val="both"/>
        <w:ind w:left="1240" w:hanging="309"/>
        <w:spacing w:after="0" w:line="267" w:lineRule="auto"/>
        <w:tabs>
          <w:tab w:leader="none" w:pos="1229" w:val="left"/>
        </w:tabs>
        <w:numPr>
          <w:ilvl w:val="1"/>
          <w:numId w:val="6"/>
        </w:numPr>
        <w:rPr>
          <w:rFonts w:ascii="Arial" w:cs="Arial" w:eastAsia="Arial" w:hAnsi="Arial"/>
          <w:sz w:val="15"/>
          <w:szCs w:val="15"/>
          <w:color w:val="auto"/>
        </w:rPr>
      </w:pPr>
      <w:r>
        <w:rPr>
          <w:rFonts w:ascii="Arial" w:cs="Arial" w:eastAsia="Arial" w:hAnsi="Arial"/>
          <w:sz w:val="15"/>
          <w:szCs w:val="15"/>
          <w:color w:val="auto"/>
        </w:rPr>
        <w:t>Storage product revenue, which represented 22.2% of consolidated revenue for the three months ended September 30, 2024, decreased $20.7 million, or 13.4%, to $133.6 million. The decrease was driven by a decrease in core leasing revenue of $11.9 million, or 10.1%, driven by reduced portable storage container volumes, partially offset by increased rates on portable storage containers and increased revenue from acquired climate-controlled containers and refrigerated storage units. Delivery and installation revenue also decreased $8.0 million, or 25.0%, driven by reduced delivery volumes and decreased pricing. Rental unit sales revenue decreased $0.3 million, or 9.1%, and new unit sales decreased $0.5 million, or 40.6%. Storage revenue drivers for the three months ended September 30, 2024 included:</w:t>
      </w:r>
    </w:p>
    <w:p>
      <w:pPr>
        <w:spacing w:after="0" w:line="8" w:lineRule="exact"/>
        <w:rPr>
          <w:rFonts w:ascii="Arial" w:cs="Arial" w:eastAsia="Arial" w:hAnsi="Arial"/>
          <w:sz w:val="15"/>
          <w:szCs w:val="15"/>
          <w:color w:val="auto"/>
        </w:rPr>
      </w:pPr>
    </w:p>
    <w:p>
      <w:pPr>
        <w:jc w:val="both"/>
        <w:ind w:left="1860" w:hanging="310"/>
        <w:spacing w:after="0" w:line="282" w:lineRule="auto"/>
        <w:tabs>
          <w:tab w:leader="none" w:pos="1849" w:val="left"/>
        </w:tabs>
        <w:numPr>
          <w:ilvl w:val="2"/>
          <w:numId w:val="6"/>
        </w:numPr>
        <w:rPr>
          <w:rFonts w:ascii="Arial" w:cs="Arial" w:eastAsia="Arial" w:hAnsi="Arial"/>
          <w:sz w:val="15"/>
          <w:szCs w:val="15"/>
          <w:color w:val="auto"/>
        </w:rPr>
      </w:pPr>
      <w:r>
        <w:rPr>
          <w:rFonts w:ascii="Arial" w:cs="Arial" w:eastAsia="Arial" w:hAnsi="Arial"/>
          <w:sz w:val="15"/>
          <w:szCs w:val="15"/>
          <w:color w:val="auto"/>
        </w:rPr>
        <w:t>Portable storage average monthly rental rate increased $23, or 9.5%, year over year to $265 as a result of our price management tools, processes and benefits from increased VAPS penetration opportunities, as well as higher rates on the climate-controlled containers and refrigerated storage units acquired in 2023 and 2024.</w:t>
      </w:r>
    </w:p>
    <w:p>
      <w:pPr>
        <w:spacing w:after="0" w:line="10" w:lineRule="exact"/>
        <w:rPr>
          <w:rFonts w:ascii="Arial" w:cs="Arial" w:eastAsia="Arial" w:hAnsi="Arial"/>
          <w:sz w:val="15"/>
          <w:szCs w:val="15"/>
          <w:color w:val="auto"/>
        </w:rPr>
      </w:pPr>
    </w:p>
    <w:p>
      <w:pPr>
        <w:jc w:val="both"/>
        <w:ind w:left="1860" w:hanging="310"/>
        <w:spacing w:after="0" w:line="275" w:lineRule="auto"/>
        <w:tabs>
          <w:tab w:leader="none" w:pos="1849" w:val="left"/>
        </w:tabs>
        <w:numPr>
          <w:ilvl w:val="2"/>
          <w:numId w:val="6"/>
        </w:numPr>
        <w:rPr>
          <w:rFonts w:ascii="Arial" w:cs="Arial" w:eastAsia="Arial" w:hAnsi="Arial"/>
          <w:sz w:val="15"/>
          <w:szCs w:val="15"/>
          <w:b w:val="1"/>
          <w:bCs w:val="1"/>
          <w:i w:val="1"/>
          <w:iCs w:val="1"/>
          <w:color w:val="1D2758"/>
        </w:rPr>
      </w:pPr>
      <w:r>
        <w:rPr>
          <w:rFonts w:ascii="Arial" w:cs="Arial" w:eastAsia="Arial" w:hAnsi="Arial"/>
          <w:sz w:val="15"/>
          <w:szCs w:val="15"/>
          <w:color w:val="auto"/>
        </w:rPr>
        <w:t>Average portable storage units on rent decreased 27,551, or 18.3%, year over year driven by lower demand for the three months ended September 30, 2024. The lower demand was driven largely by decreased new construction project starts over the past two years as compared to higher activity levels experienced during 2021 and 2022 and less demand in the retail and wholesale trade customer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7" w:name="page28"/>
    <w:bookmarkEnd w:id="27"/>
    <w:p>
      <w:pPr>
        <w:ind w:left="1860" w:hanging="310"/>
        <w:spacing w:after="0" w:line="288" w:lineRule="auto"/>
        <w:tabs>
          <w:tab w:leader="none" w:pos="1849" w:val="left"/>
        </w:tabs>
        <w:numPr>
          <w:ilvl w:val="2"/>
          <w:numId w:val="7"/>
        </w:numPr>
        <w:rPr>
          <w:rFonts w:ascii="Arial" w:cs="Arial" w:eastAsia="Arial" w:hAnsi="Arial"/>
          <w:sz w:val="15"/>
          <w:szCs w:val="15"/>
          <w:color w:val="auto"/>
        </w:rPr>
      </w:pPr>
      <w:r>
        <w:rPr>
          <w:rFonts w:ascii="Arial" w:cs="Arial" w:eastAsia="Arial" w:hAnsi="Arial"/>
          <w:sz w:val="15"/>
          <w:szCs w:val="15"/>
          <w:color w:val="auto"/>
        </w:rPr>
        <w:t>Average portable storage monthly utilization decreased 12.1% to 58.1% for the three months ended September 30, 2024, as compared to the three months ended September 30, 2023.</w:t>
      </w:r>
    </w:p>
    <w:p>
      <w:pPr>
        <w:spacing w:after="0" w:line="24" w:lineRule="exact"/>
        <w:rPr>
          <w:rFonts w:ascii="Arial" w:cs="Arial" w:eastAsia="Arial" w:hAnsi="Arial"/>
          <w:sz w:val="15"/>
          <w:szCs w:val="15"/>
          <w:color w:val="auto"/>
        </w:rPr>
      </w:pPr>
    </w:p>
    <w:p>
      <w:pPr>
        <w:jc w:val="both"/>
        <w:ind w:left="620" w:hanging="307"/>
        <w:spacing w:after="0" w:line="262" w:lineRule="auto"/>
        <w:tabs>
          <w:tab w:leader="none" w:pos="616" w:val="left"/>
        </w:tabs>
        <w:numPr>
          <w:ilvl w:val="0"/>
          <w:numId w:val="7"/>
        </w:numPr>
        <w:rPr>
          <w:rFonts w:ascii="Times New Roman" w:cs="Times New Roman" w:eastAsia="Times New Roman" w:hAnsi="Times New Roman"/>
          <w:sz w:val="17"/>
          <w:szCs w:val="17"/>
          <w:b w:val="1"/>
          <w:bCs w:val="1"/>
          <w:i w:val="1"/>
          <w:iCs w:val="1"/>
          <w:color w:val="1D2758"/>
        </w:rPr>
      </w:pPr>
      <w:r>
        <w:rPr>
          <w:rFonts w:ascii="Arial" w:cs="Arial" w:eastAsia="Arial" w:hAnsi="Arial"/>
          <w:sz w:val="15"/>
          <w:szCs w:val="15"/>
          <w:color w:val="auto"/>
        </w:rPr>
        <w:t>Generated loss from continuing operations of $70.5 million for the three months ended September 30, 2024, which included the $180.0 million termination fee paid to McGrath and other discrete costs in the period of $13.4 million, including $8.8 million of legal and professional fees related to the proposed acquisition of McGrath, $1.7 million of integration costs, and $2.5 million of restructuring, lease impairment expense, and other related charges primarily related to employee termination costs as a result of a cost-reduction plan implemented in June 2024. Gross profit margin for the three months ended September 30, 2024 was 53.5%.</w:t>
      </w:r>
    </w:p>
    <w:p>
      <w:pPr>
        <w:spacing w:after="0" w:line="13" w:lineRule="exact"/>
        <w:rPr>
          <w:rFonts w:ascii="Times New Roman" w:cs="Times New Roman" w:eastAsia="Times New Roman" w:hAnsi="Times New Roman"/>
          <w:sz w:val="17"/>
          <w:szCs w:val="17"/>
          <w:b w:val="1"/>
          <w:bCs w:val="1"/>
          <w:i w:val="1"/>
          <w:iCs w:val="1"/>
          <w:color w:val="1D2758"/>
        </w:rPr>
      </w:pPr>
    </w:p>
    <w:p>
      <w:pPr>
        <w:ind w:left="620" w:hanging="307"/>
        <w:spacing w:after="0" w:line="293" w:lineRule="auto"/>
        <w:tabs>
          <w:tab w:leader="none" w:pos="609" w:val="left"/>
        </w:tabs>
        <w:numPr>
          <w:ilvl w:val="0"/>
          <w:numId w:val="7"/>
        </w:numPr>
        <w:rPr>
          <w:rFonts w:ascii="Arial" w:cs="Arial" w:eastAsia="Arial" w:hAnsi="Arial"/>
          <w:sz w:val="15"/>
          <w:szCs w:val="15"/>
          <w:color w:val="auto"/>
        </w:rPr>
      </w:pPr>
      <w:r>
        <w:rPr>
          <w:rFonts w:ascii="Arial" w:cs="Arial" w:eastAsia="Arial" w:hAnsi="Arial"/>
          <w:sz w:val="15"/>
          <w:szCs w:val="15"/>
          <w:color w:val="auto"/>
        </w:rPr>
        <w:t>Generated Adjusted EBITDA from continuing operations of $266.9 million for the three months ended September 30, 2024, representing an increase of $1.4 million, or 0.5%, as compared to the same period in 2023.</w:t>
      </w:r>
    </w:p>
    <w:p>
      <w:pPr>
        <w:spacing w:after="0" w:line="4" w:lineRule="exact"/>
        <w:rPr>
          <w:rFonts w:ascii="Arial" w:cs="Arial" w:eastAsia="Arial" w:hAnsi="Arial"/>
          <w:sz w:val="15"/>
          <w:szCs w:val="15"/>
          <w:color w:val="auto"/>
        </w:rPr>
      </w:pPr>
    </w:p>
    <w:p>
      <w:pPr>
        <w:ind w:left="1240" w:hanging="309"/>
        <w:spacing w:after="0" w:line="295" w:lineRule="auto"/>
        <w:tabs>
          <w:tab w:leader="none" w:pos="1229" w:val="left"/>
        </w:tabs>
        <w:numPr>
          <w:ilvl w:val="1"/>
          <w:numId w:val="7"/>
        </w:numPr>
        <w:rPr>
          <w:rFonts w:ascii="Times New Roman" w:cs="Times New Roman" w:eastAsia="Times New Roman" w:hAnsi="Times New Roman"/>
          <w:sz w:val="15"/>
          <w:szCs w:val="15"/>
          <w:b w:val="1"/>
          <w:bCs w:val="1"/>
          <w:i w:val="1"/>
          <w:iCs w:val="1"/>
          <w:color w:val="1D2758"/>
        </w:rPr>
      </w:pPr>
      <w:r>
        <w:rPr>
          <w:rFonts w:ascii="Arial" w:cs="Arial" w:eastAsia="Arial" w:hAnsi="Arial"/>
          <w:sz w:val="15"/>
          <w:szCs w:val="15"/>
          <w:color w:val="auto"/>
        </w:rPr>
        <w:t>Adjusted EBITDA margin from continuing operations was 44.4% for the three months ended September 30, 2024 and increased 50 bps versus prior year. Leasing margins increased 127 bps versus prior year and delivery and installation margins decreased 896 bps versus prior year.</w:t>
      </w:r>
    </w:p>
    <w:p>
      <w:pPr>
        <w:jc w:val="both"/>
        <w:ind w:left="620" w:hanging="307"/>
        <w:spacing w:after="0" w:line="264" w:lineRule="auto"/>
        <w:tabs>
          <w:tab w:leader="none" w:pos="609" w:val="left"/>
        </w:tabs>
        <w:numPr>
          <w:ilvl w:val="0"/>
          <w:numId w:val="7"/>
        </w:numPr>
        <w:rPr>
          <w:rFonts w:ascii="Arial" w:cs="Arial" w:eastAsia="Arial" w:hAnsi="Arial"/>
          <w:sz w:val="15"/>
          <w:szCs w:val="15"/>
          <w:color w:val="auto"/>
        </w:rPr>
      </w:pPr>
      <w:r>
        <w:rPr>
          <w:rFonts w:ascii="Arial" w:cs="Arial" w:eastAsia="Arial" w:hAnsi="Arial"/>
          <w:sz w:val="15"/>
          <w:szCs w:val="15"/>
          <w:color w:val="auto"/>
        </w:rPr>
        <w:t>Net cash (used in) provided by operating activities decreased $192.6 million to $1.6 million net cash used in operating activities for the three months ended September 30, 2024 from $191.0 million net cash provided by operating activities for the three months ended September, 30, 2023. Net cash used in investing activities, excluding cash used for acquisitions, increased by $18.2 million. Capital expenditures for rental equipment increased $6.0 million for the three months ended September 30, 2024 as a result of increased new fleet purchases, including additional investment in climate-controlled containers and refrigerated storage units. Purchases of property, plant, and equipment decreased $2.2 million for the three months ended September 30, 2024. Proceeds from the sale of rental equipment increased $0.5 million. Proceeds from the sale of property, plant, and equipment decreased $12.1 million. Net CAPEX increased $15.3 million for the three months ended September 30, 2024.</w:t>
      </w:r>
    </w:p>
    <w:p>
      <w:pPr>
        <w:spacing w:after="0" w:line="25" w:lineRule="exact"/>
        <w:rPr>
          <w:rFonts w:ascii="Arial" w:cs="Arial" w:eastAsia="Arial" w:hAnsi="Arial"/>
          <w:sz w:val="15"/>
          <w:szCs w:val="15"/>
          <w:color w:val="auto"/>
        </w:rPr>
      </w:pPr>
    </w:p>
    <w:p>
      <w:pPr>
        <w:jc w:val="both"/>
        <w:ind w:left="620" w:hanging="307"/>
        <w:spacing w:after="0" w:line="267" w:lineRule="auto"/>
        <w:tabs>
          <w:tab w:leader="none" w:pos="609" w:val="left"/>
        </w:tabs>
        <w:numPr>
          <w:ilvl w:val="0"/>
          <w:numId w:val="7"/>
        </w:numPr>
        <w:rPr>
          <w:rFonts w:ascii="Arial" w:cs="Arial" w:eastAsia="Arial" w:hAnsi="Arial"/>
          <w:sz w:val="15"/>
          <w:szCs w:val="15"/>
          <w:color w:val="auto"/>
        </w:rPr>
      </w:pPr>
      <w:r>
        <w:rPr>
          <w:rFonts w:ascii="Arial" w:cs="Arial" w:eastAsia="Arial" w:hAnsi="Arial"/>
          <w:sz w:val="15"/>
          <w:szCs w:val="15"/>
          <w:color w:val="auto"/>
        </w:rPr>
        <w:t>Generated a Free Cash Flow deficit of $60.1 million for the three months ended September 30, 2024, representing a decrease of $207.9 million as compared to the same period in 2023, which was driven by the $180.0 million termination fee paid to McGrath and related transaction costs. Excluding one-time, nonrecurring payments of $180.0 million for the McGrath termination fee and $23.3 million for transaction costs from terminated acquisitions, Adjusted Free Cash Flow was $143.1 million for the three months ended September 30, 2024 as compared to $147.8 million for the three months ended September 30, 2023. During the three months ended September 30, 2024, we acquired a national provider of premium large clearspan structures for $13.9 million. We also returned $61.7 million to shareholders through stock repurchases, reducing outstanding Common Stock by 1,587,785 shares.</w:t>
      </w:r>
    </w:p>
    <w:p>
      <w:pPr>
        <w:spacing w:after="0" w:line="8" w:lineRule="exact"/>
        <w:rPr>
          <w:rFonts w:ascii="Arial" w:cs="Arial" w:eastAsia="Arial" w:hAnsi="Arial"/>
          <w:sz w:val="15"/>
          <w:szCs w:val="15"/>
          <w:color w:val="auto"/>
        </w:rPr>
      </w:pPr>
    </w:p>
    <w:p>
      <w:pPr>
        <w:jc w:val="both"/>
        <w:ind w:left="620" w:hanging="307"/>
        <w:spacing w:after="0" w:line="281" w:lineRule="auto"/>
        <w:tabs>
          <w:tab w:leader="none" w:pos="609" w:val="left"/>
        </w:tabs>
        <w:numPr>
          <w:ilvl w:val="0"/>
          <w:numId w:val="7"/>
        </w:numPr>
        <w:rPr>
          <w:rFonts w:ascii="Times New Roman" w:cs="Times New Roman" w:eastAsia="Times New Roman" w:hAnsi="Times New Roman"/>
          <w:sz w:val="15"/>
          <w:szCs w:val="15"/>
          <w:b w:val="1"/>
          <w:bCs w:val="1"/>
          <w:i w:val="1"/>
          <w:iCs w:val="1"/>
          <w:color w:val="1D2758"/>
        </w:rPr>
      </w:pPr>
      <w:r>
        <w:rPr>
          <w:rFonts w:ascii="Arial" w:cs="Arial" w:eastAsia="Arial" w:hAnsi="Arial"/>
          <w:sz w:val="15"/>
          <w:szCs w:val="15"/>
          <w:color w:val="auto"/>
        </w:rPr>
        <w:t>With the exception of isolated events, we believe the predictability of our Free Cash Flow allows us to pursue multiple capital allocation priorities opportunistically, including investing in organic opportunities we see in the market, maintaining leverage in our stated range, opportunistically executing accretive acquisitions, and returning capital to shareholders.</w:t>
      </w:r>
    </w:p>
    <w:p>
      <w:pPr>
        <w:spacing w:after="0" w:line="50" w:lineRule="exact"/>
        <w:rPr>
          <w:rFonts w:ascii="Times New Roman" w:cs="Times New Roman" w:eastAsia="Times New Roman" w:hAnsi="Times New Roman"/>
          <w:sz w:val="15"/>
          <w:szCs w:val="15"/>
          <w:b w:val="1"/>
          <w:bCs w:val="1"/>
          <w:i w:val="1"/>
          <w:iCs w:val="1"/>
          <w:color w:val="1D2758"/>
        </w:rPr>
      </w:pPr>
    </w:p>
    <w:p>
      <w:pPr>
        <w:ind w:left="620"/>
        <w:spacing w:after="0"/>
        <w:rPr>
          <w:rFonts w:ascii="Times New Roman" w:cs="Times New Roman" w:eastAsia="Times New Roman" w:hAnsi="Times New Roman"/>
          <w:sz w:val="15"/>
          <w:szCs w:val="15"/>
          <w:b w:val="1"/>
          <w:bCs w:val="1"/>
          <w:i w:val="1"/>
          <w:iCs w:val="1"/>
          <w:color w:val="1D2758"/>
        </w:rPr>
      </w:pPr>
      <w:r>
        <w:rPr>
          <w:rFonts w:ascii="Arial" w:cs="Arial" w:eastAsia="Arial" w:hAnsi="Arial"/>
          <w:sz w:val="15"/>
          <w:szCs w:val="15"/>
          <w:color w:val="auto"/>
        </w:rPr>
        <w:t>In addition to using GAAP financial measurements, we use Adjusted EBITDA, Adjusted EBITDA margin, Adjusted Gross Profit, Adjusted Gross Profit</w:t>
      </w:r>
    </w:p>
    <w:p>
      <w:pPr>
        <w:spacing w:after="0" w:line="3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Percentage, Net CAPEX and Free Cash Flow, which are non-GAAP financial measures, to evaluate our operating results. As such, we include in this Form 10-Q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 and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1D2758"/>
        </w:rPr>
        <w:t>Consolidated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2024 Compared to the Three Months Ended September 30, 2023</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condensed consolidated statements of operations for the three months ended September 30, 2024 and 2023 are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40" w:type="dxa"/>
            <w:vAlign w:val="bottom"/>
            <w:gridSpan w:val="6"/>
            <w:shd w:val="clear" w:color="auto" w:fill="1D2758"/>
          </w:tcPr>
          <w:p>
            <w:pPr>
              <w:ind w:left="600"/>
              <w:spacing w:after="0"/>
              <w:rPr>
                <w:sz w:val="20"/>
                <w:szCs w:val="20"/>
                <w:color w:val="auto"/>
              </w:rPr>
            </w:pPr>
            <w:r>
              <w:rPr>
                <w:rFonts w:ascii="Arial" w:cs="Arial" w:eastAsia="Arial" w:hAnsi="Arial"/>
                <w:sz w:val="15"/>
                <w:szCs w:val="15"/>
                <w:b w:val="1"/>
                <w:bCs w:val="1"/>
                <w:color w:val="FFFFFF"/>
              </w:rPr>
              <w:t>Three Months Ended September 30,</w:t>
            </w:r>
          </w:p>
        </w:tc>
        <w:tc>
          <w:tcPr>
            <w:tcW w:w="260" w:type="dxa"/>
            <w:vAlign w:val="bottom"/>
            <w:shd w:val="clear" w:color="auto" w:fill="1D2758"/>
          </w:tcPr>
          <w:p>
            <w:pPr>
              <w:spacing w:after="0"/>
              <w:rPr>
                <w:sz w:val="21"/>
                <w:szCs w:val="21"/>
                <w:color w:val="auto"/>
              </w:rPr>
            </w:pPr>
          </w:p>
        </w:tc>
        <w:tc>
          <w:tcPr>
            <w:tcW w:w="1560" w:type="dxa"/>
            <w:vAlign w:val="bottom"/>
            <w:shd w:val="clear" w:color="auto" w:fill="1D2758"/>
          </w:tcPr>
          <w:p>
            <w:pPr>
              <w:jc w:val="right"/>
              <w:ind w:right="343"/>
              <w:spacing w:after="0"/>
              <w:rPr>
                <w:sz w:val="20"/>
                <w:szCs w:val="20"/>
                <w:color w:val="auto"/>
              </w:rPr>
            </w:pPr>
            <w:r>
              <w:rPr>
                <w:rFonts w:ascii="Arial" w:cs="Arial" w:eastAsia="Arial" w:hAnsi="Arial"/>
                <w:sz w:val="15"/>
                <w:szCs w:val="15"/>
                <w:b w:val="1"/>
                <w:bCs w:val="1"/>
                <w:color w:val="FFFFFF"/>
              </w:rPr>
              <w:t>2024 vs. 2023</w:t>
            </w:r>
          </w:p>
        </w:tc>
        <w:tc>
          <w:tcPr>
            <w:tcW w:w="0" w:type="dxa"/>
            <w:vAlign w:val="bottom"/>
          </w:tcPr>
          <w:p>
            <w:pPr>
              <w:spacing w:after="0"/>
              <w:rPr>
                <w:sz w:val="1"/>
                <w:szCs w:val="1"/>
                <w:color w:val="auto"/>
              </w:rPr>
            </w:pPr>
          </w:p>
        </w:tc>
      </w:tr>
      <w:tr>
        <w:trPr>
          <w:trHeight w:val="226"/>
        </w:trPr>
        <w:tc>
          <w:tcPr>
            <w:tcW w:w="5580" w:type="dxa"/>
            <w:vAlign w:val="bottom"/>
            <w:vMerge w:val="continue"/>
            <w:shd w:val="clear" w:color="auto" w:fill="1D2758"/>
          </w:tcPr>
          <w:p>
            <w:pPr>
              <w:spacing w:after="0"/>
              <w:rPr>
                <w:sz w:val="19"/>
                <w:szCs w:val="19"/>
                <w:color w:val="auto"/>
              </w:rPr>
            </w:pPr>
          </w:p>
        </w:tc>
        <w:tc>
          <w:tcPr>
            <w:tcW w:w="11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68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420" w:type="dxa"/>
            <w:vAlign w:val="bottom"/>
            <w:shd w:val="clear" w:color="auto" w:fill="1D2758"/>
          </w:tcPr>
          <w:p>
            <w:pPr>
              <w:spacing w:after="0"/>
              <w:rPr>
                <w:sz w:val="19"/>
                <w:szCs w:val="19"/>
                <w:color w:val="auto"/>
              </w:rPr>
            </w:pPr>
          </w:p>
        </w:tc>
        <w:tc>
          <w:tcPr>
            <w:tcW w:w="140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9"/>
                <w:szCs w:val="19"/>
                <w:color w:val="auto"/>
              </w:rPr>
            </w:pPr>
          </w:p>
        </w:tc>
        <w:tc>
          <w:tcPr>
            <w:tcW w:w="260" w:type="dxa"/>
            <w:vAlign w:val="bottom"/>
            <w:shd w:val="clear" w:color="auto" w:fill="1D2758"/>
          </w:tcPr>
          <w:p>
            <w:pPr>
              <w:spacing w:after="0"/>
              <w:rPr>
                <w:sz w:val="19"/>
                <w:szCs w:val="19"/>
                <w:color w:val="auto"/>
              </w:rPr>
            </w:pPr>
          </w:p>
        </w:tc>
        <w:tc>
          <w:tcPr>
            <w:tcW w:w="156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71"/>
        </w:trPr>
        <w:tc>
          <w:tcPr>
            <w:tcW w:w="5580" w:type="dxa"/>
            <w:vAlign w:val="bottom"/>
            <w:shd w:val="clear" w:color="auto" w:fill="1D2758"/>
          </w:tcPr>
          <w:p>
            <w:pPr>
              <w:spacing w:after="0"/>
              <w:rPr>
                <w:sz w:val="6"/>
                <w:szCs w:val="6"/>
                <w:color w:val="auto"/>
              </w:rPr>
            </w:pPr>
          </w:p>
        </w:tc>
        <w:tc>
          <w:tcPr>
            <w:tcW w:w="1140" w:type="dxa"/>
            <w:vAlign w:val="bottom"/>
            <w:vMerge w:val="continue"/>
            <w:shd w:val="clear" w:color="auto" w:fill="1D2758"/>
          </w:tcPr>
          <w:p>
            <w:pPr>
              <w:spacing w:after="0"/>
              <w:rPr>
                <w:sz w:val="6"/>
                <w:szCs w:val="6"/>
                <w:color w:val="auto"/>
              </w:rPr>
            </w:pPr>
          </w:p>
        </w:tc>
        <w:tc>
          <w:tcPr>
            <w:tcW w:w="680" w:type="dxa"/>
            <w:vAlign w:val="bottom"/>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420" w:type="dxa"/>
            <w:vAlign w:val="bottom"/>
            <w:shd w:val="clear" w:color="auto" w:fill="1D2758"/>
          </w:tcPr>
          <w:p>
            <w:pPr>
              <w:spacing w:after="0"/>
              <w:rPr>
                <w:sz w:val="6"/>
                <w:szCs w:val="6"/>
                <w:color w:val="auto"/>
              </w:rPr>
            </w:pPr>
          </w:p>
        </w:tc>
        <w:tc>
          <w:tcPr>
            <w:tcW w:w="1400" w:type="dxa"/>
            <w:vAlign w:val="bottom"/>
            <w:vMerge w:val="continue"/>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560" w:type="dxa"/>
            <w:vAlign w:val="bottom"/>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140" w:type="dxa"/>
            <w:vAlign w:val="bottom"/>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455,578</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466,769</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(11,191)</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114,765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115,598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(833)</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17,850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10,155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7,695</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14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13,239</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12,312</w:t>
            </w:r>
          </w:p>
        </w:tc>
        <w:tc>
          <w:tcPr>
            <w:tcW w:w="10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927</w:t>
            </w:r>
          </w:p>
        </w:tc>
        <w:tc>
          <w:tcPr>
            <w:tcW w:w="0" w:type="dxa"/>
            <w:vAlign w:val="bottom"/>
          </w:tcPr>
          <w:p>
            <w:pPr>
              <w:spacing w:after="0"/>
              <w:rPr>
                <w:sz w:val="1"/>
                <w:szCs w:val="1"/>
                <w:color w:val="auto"/>
              </w:rPr>
            </w:pPr>
          </w:p>
        </w:tc>
      </w:tr>
      <w:tr>
        <w:trPr>
          <w:trHeight w:val="198"/>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601,432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604,834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(3,402)</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96,050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104,331</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(8,281)</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91,775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82,081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9,694</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9,665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5,096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4,569</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6,246</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6,682</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76,212</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66,950</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9,262</w:t>
            </w:r>
          </w:p>
        </w:tc>
        <w:tc>
          <w:tcPr>
            <w:tcW w:w="0" w:type="dxa"/>
            <w:vAlign w:val="bottom"/>
          </w:tcPr>
          <w:p>
            <w:pPr>
              <w:spacing w:after="0"/>
              <w:rPr>
                <w:sz w:val="1"/>
                <w:szCs w:val="1"/>
                <w:color w:val="auto"/>
              </w:rPr>
            </w:pP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321,484</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339,694</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(18,210)</w:t>
            </w: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150,865</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151,983</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(1,118)</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23,108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17,852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5,256</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2,334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2,334</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Lease impairment expense and other related charges, net</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Currency (gains) losses, net</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(income), net</w:t>
            </w:r>
          </w:p>
        </w:tc>
        <w:tc>
          <w:tcPr>
            <w:tcW w:w="114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380</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(8,336)</w:t>
            </w:r>
          </w:p>
        </w:tc>
        <w:tc>
          <w:tcPr>
            <w:tcW w:w="10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8,716</w:t>
            </w:r>
          </w:p>
        </w:tc>
        <w:tc>
          <w:tcPr>
            <w:tcW w:w="0" w:type="dxa"/>
            <w:vAlign w:val="bottom"/>
          </w:tcPr>
          <w:p>
            <w:pPr>
              <w:spacing w:after="0"/>
              <w:rPr>
                <w:sz w:val="1"/>
                <w:szCs w:val="1"/>
                <w:color w:val="auto"/>
              </w:rPr>
            </w:pPr>
          </w:p>
        </w:tc>
      </w:tr>
      <w:tr>
        <w:trPr>
          <w:trHeight w:val="198"/>
        </w:trPr>
        <w:tc>
          <w:tcPr>
            <w:tcW w:w="5580" w:type="dxa"/>
            <w:vAlign w:val="bottom"/>
          </w:tcPr>
          <w:p>
            <w:pPr>
              <w:ind w:left="440"/>
              <w:spacing w:after="0"/>
              <w:rPr>
                <w:sz w:val="20"/>
                <w:szCs w:val="20"/>
                <w:color w:val="auto"/>
              </w:rPr>
            </w:pPr>
            <w:r>
              <w:rPr>
                <w:rFonts w:ascii="Arial" w:cs="Arial" w:eastAsia="Arial" w:hAnsi="Arial"/>
                <w:sz w:val="15"/>
                <w:szCs w:val="15"/>
                <w:color w:val="auto"/>
              </w:rPr>
              <w:t>Operating (loss) income</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(35,218)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178,099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(213,317)</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114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55,823</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53,803</w:t>
            </w:r>
          </w:p>
        </w:tc>
        <w:tc>
          <w:tcPr>
            <w:tcW w:w="10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198"/>
        </w:trPr>
        <w:tc>
          <w:tcPr>
            <w:tcW w:w="5580" w:type="dxa"/>
            <w:vAlign w:val="bottom"/>
          </w:tcPr>
          <w:p>
            <w:pPr>
              <w:ind w:left="20"/>
              <w:spacing w:after="0"/>
              <w:rPr>
                <w:sz w:val="20"/>
                <w:szCs w:val="20"/>
                <w:color w:val="auto"/>
              </w:rPr>
            </w:pPr>
            <w:r>
              <w:rPr>
                <w:rFonts w:ascii="Arial" w:cs="Arial" w:eastAsia="Arial" w:hAnsi="Arial"/>
                <w:sz w:val="15"/>
                <w:szCs w:val="15"/>
                <w:color w:val="auto"/>
              </w:rPr>
              <w:t>(Loss) income from continuing operations before income tax</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(91,041)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124,296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(215,337)</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(benefit) expense from continuing operations</w:t>
            </w:r>
          </w:p>
        </w:tc>
        <w:tc>
          <w:tcPr>
            <w:tcW w:w="114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(20,566)</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32,780</w:t>
            </w:r>
          </w:p>
        </w:tc>
        <w:tc>
          <w:tcPr>
            <w:tcW w:w="10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(53,346)</w:t>
            </w:r>
          </w:p>
        </w:tc>
        <w:tc>
          <w:tcPr>
            <w:tcW w:w="0" w:type="dxa"/>
            <w:vAlign w:val="bottom"/>
          </w:tcPr>
          <w:p>
            <w:pPr>
              <w:spacing w:after="0"/>
              <w:rPr>
                <w:sz w:val="1"/>
                <w:szCs w:val="1"/>
                <w:color w:val="auto"/>
              </w:rPr>
            </w:pPr>
          </w:p>
        </w:tc>
      </w:tr>
      <w:tr>
        <w:trPr>
          <w:trHeight w:val="198"/>
        </w:trPr>
        <w:tc>
          <w:tcPr>
            <w:tcW w:w="5580" w:type="dxa"/>
            <w:vAlign w:val="bottom"/>
          </w:tcPr>
          <w:p>
            <w:pPr>
              <w:ind w:left="20"/>
              <w:spacing w:after="0"/>
              <w:rPr>
                <w:sz w:val="20"/>
                <w:szCs w:val="20"/>
                <w:color w:val="auto"/>
              </w:rPr>
            </w:pPr>
            <w:r>
              <w:rPr>
                <w:rFonts w:ascii="Arial" w:cs="Arial" w:eastAsia="Arial" w:hAnsi="Arial"/>
                <w:sz w:val="15"/>
                <w:szCs w:val="15"/>
                <w:color w:val="auto"/>
              </w:rPr>
              <w:t>(Loss) income from continuing operations</w:t>
            </w:r>
          </w:p>
        </w:tc>
        <w:tc>
          <w:tcPr>
            <w:tcW w:w="1140" w:type="dxa"/>
            <w:vAlign w:val="bottom"/>
            <w:tcBorders>
              <w:bottom w:val="single" w:sz="8" w:color="auto"/>
            </w:tcBorders>
          </w:tcPr>
          <w:p>
            <w:pPr>
              <w:jc w:val="right"/>
              <w:ind w:right="96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(70,475)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91,516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(161,991)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September 30, 2024 and 2023</w:t>
      </w:r>
    </w:p>
    <w:p>
      <w:pPr>
        <w:spacing w:after="0" w:line="12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decreased $3.4 million, or 0.6%, to $601.4 million for the three months ended September 30, 2024 from $604.8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2023. Leasing revenue decreased $11.2 million, or 2.4%, as compared to the same period in 2023, driven by a decrease of 30,821 total average units on rent, which was primarily driven by a decrease in portable storage units on rent. Delivery and installation revenues decreased $0.8 million, or 0.7%, due to decreased deliveries and returns. Rental unit sales increased $0.9 million, or 7.5%, and new unit sales increased $7.7 million, or 75.8%, primarily related to sales activity from a company we acquired in the middle of the third quarter of 2023.</w:t>
      </w:r>
    </w:p>
    <w:p>
      <w:pPr>
        <w:spacing w:after="0" w:line="2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Total average units on rent for the three months ended September 30, 2024 and 2023 were 217,629 and 248,450, respectively, representing a decrease of 30,821 units, or 12.4%. Portable storage average units on rent decreased by 27,551 units, or 18.3%, for the three months ended September 30, 2024 driven by lower demand in 2024. The lower demand was driven largely by decreased new construction project starts over the past two years as compared to higher activity levels experienced during 2021 and 2022 and less demand in the retail and wholesale trade customer segment. The average portable storage unit utilization rate during the three months ended September 30, 2024 was 58.1% as compared to 70.2%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5"/>
          <w:szCs w:val="15"/>
          <w:color w:val="auto"/>
        </w:rPr>
        <w:t>during the same period in 2023. Modular space average units on rent decreased 3,270 units, or 3.3%, for the three months ended September 30, 2024 as compared to the three months ended September 30, 2023, which was also largely driven by decreased new construction project starts over the past two years as compared to higher activity levels experienced during 2021 and 2022. The average modular space utilization rate during the three months ended September 30, 2024 was 62.1% as compared to 63.9% during the same period in 2023.</w:t>
      </w:r>
    </w:p>
    <w:p>
      <w:pPr>
        <w:spacing w:after="0" w:line="2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Modular space average monthly rental rates increased 6.1% year over year to $1,199 for the three months ended September 30, 2024. Increases were driven by a continuation of the long-term price optimization and VAPS penetration opportunities. Average portable storage monthly rental rates increased 9.5% year over year to $265 for the three months ended September 30, 2024 as a result of our price management tools, processes and benefits from increased VAPS penetration opportunities, as well as higher rates on the climate-controlled containers and refrigerated storage units acquired in 2023 and 2024. Total VAPS revenues, which are included in leasing revenues, increased $0.3 million, or 0.3%, to $100.2 million for the three months ended September 30, 2024 from $99.9 million for the three months ended September 30, 2023.</w:t>
      </w:r>
    </w:p>
    <w:p>
      <w:pPr>
        <w:spacing w:after="0" w:line="6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decreased $18.2 million, or 5.4%, to $321.5 million for the three months ended September 30, 2024 from $339.7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2023. The decrease in gross profit was a result of decreased delivery and installation gross profit of $10.5 million, increased depreciation expense of $9.3 million, and a $2.9 million decrease in leasing gross profit. The decrease was partially offset by a $4.5 million increase in new and rental unit sales gross profit. The decrease in leasing gross profit was primarily driven by lower demand in 2024. Cost of leasing and services increased by $1.4 million, or 0.8%, for the three months ended September 30, 2024 versus the three months ended September 30, 2023, driven by an increase in subcontractors costs of $7.7 million, or 11.5%, and an increase in labor costs of $0.8 million, or 1.1%. These increased costs were partially offset by a decrease in materials costs of $6.1 million, or 21.5%. Cost of sales increased by $4.1 million, or 35.1%, which is directionally in line with the 38.4% increase in sales revenues for the three months ended September 30, 2024.</w:t>
      </w:r>
    </w:p>
    <w:p>
      <w:pPr>
        <w:spacing w:after="0" w:line="20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resulting gross profit percentage was 53.5% and 56.2% for the three months ended September 30, 2024 and 2023, respectively. Our Adjusted Gross Profit Percentage, excluding the effects of depreciation of rental equipment, was 66.1% and 67.2% for the three months ended September 30, 2024 and 2023, respectively. The decreases, as referenced above, were mainly driven by lower utilization rates, specifically on portable storage products.</w:t>
      </w:r>
    </w:p>
    <w:p>
      <w:pPr>
        <w:spacing w:after="0" w:line="4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SG&amp;A decreased $1.1 million, or 0.7%, to $150.9 million for the three months ended September 30, 2024, as compared to $152.0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2023. Employee SG&amp;A excluding stock compensation decreased $9.7 million, or 15.4%, primarily as a result of decreased variable compensation expense, including management incentives, and lower employee headcount as a result of the cost-reduction plan implemented in June 2024. Service agreements and professional fees, excluding discrete expenses for certain one-time projects, decreased $5.6 million, or 24.4%, and our provision for credit losses, net of write offs, decreased $1.1 million, or 10.6%. These decreased costs were partially offset by a $8.0 million increase in discrete expenses for certain one-time projects, primarily legal and professional fees related to the proposed acquisition of McGrath, a $3.2 million increase in real estate and occupancy costs, a $1.1 million increase in marketing and advertising expense, and a $1.0 million increase in travel costs.</w:t>
      </w:r>
    </w:p>
    <w:p>
      <w:pPr>
        <w:spacing w:after="0" w:line="6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$1.4 million, or 1%, to $266.9 million for the three months ended September 30, 2024 from $265.5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September 30, 2023. The increase was driven by a $4.5 million increase in new and used sales gross profit and decreased SG&amp;A, excluding discrete costs, of $10.2 million, or 7.2%, for the three months ended September 30, 2024 as compared to the three months ended September 30, 2023. The increase was partially offset by a $2.9 million decrease in leasing gross profit and decreased delivery and installation gross profit of $10.5 million.</w:t>
      </w:r>
    </w:p>
    <w:p>
      <w:pPr>
        <w:spacing w:after="0" w:line="7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$5.3 million to $23.1 million for the three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2024 as compared to $17.9 million for the three months ended September 30, 2023, primarily related to the amortization of the Mobile Mini tradename in 2024.</w:t>
      </w:r>
    </w:p>
    <w:p>
      <w:pPr>
        <w:spacing w:after="0" w:line="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Termination fee: </w:t>
      </w:r>
      <w:r>
        <w:rPr>
          <w:rFonts w:ascii="Arial" w:cs="Arial" w:eastAsia="Arial" w:hAnsi="Arial"/>
          <w:sz w:val="15"/>
          <w:szCs w:val="15"/>
          <w:color w:val="auto"/>
        </w:rPr>
        <w:t>We paid the termination fee of $180.0 million to McGrath related to the termination of the Merger Agreement during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2024, which was treated as an operating expense.</w:t>
      </w:r>
    </w:p>
    <w:p>
      <w:pPr>
        <w:spacing w:after="0" w:line="2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Restructuring costs of $2.3 million for the three months ended September 30, 2024 were due to employee termination costs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 of a cost-reduction plan implemented in June 2024.</w:t>
      </w:r>
    </w:p>
    <w:p>
      <w:pPr>
        <w:spacing w:after="0" w:line="5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Currency (gains) losses, net: </w:t>
      </w:r>
      <w:r>
        <w:rPr>
          <w:rFonts w:ascii="Arial" w:cs="Arial" w:eastAsia="Arial" w:hAnsi="Arial"/>
          <w:sz w:val="15"/>
          <w:szCs w:val="15"/>
          <w:color w:val="auto"/>
        </w:rPr>
        <w:t>Currency (gains) losses, net decreased by $0.2 million for the three months ended September 30, 2024 as compared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2023.</w:t>
      </w:r>
    </w:p>
    <w:p>
      <w:pPr>
        <w:spacing w:after="0" w:line="5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Other expense (income), net: </w:t>
      </w:r>
      <w:r>
        <w:rPr>
          <w:rFonts w:ascii="Arial" w:cs="Arial" w:eastAsia="Arial" w:hAnsi="Arial"/>
          <w:sz w:val="15"/>
          <w:szCs w:val="15"/>
          <w:color w:val="auto"/>
        </w:rPr>
        <w:t>Other expense, net was $0.4 million for the three months ended September 30, 2024 as compared to other income, net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$8.3 million for the three months ended September 30, 2023. This change was primarily attributable to a gain on sale of fixed assets related to a real estate sale transaction during the three months ended September 30, 2023.</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increased $2.0 million, or 3.8%, to $55.8 million for the three months ended September 30, 2024 from $53.8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September 30, 2023. The increase in interest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jc w:val="both"/>
        <w:spacing w:after="0" w:line="294" w:lineRule="auto"/>
        <w:rPr>
          <w:sz w:val="20"/>
          <w:szCs w:val="20"/>
          <w:color w:val="auto"/>
        </w:rPr>
      </w:pPr>
      <w:r>
        <w:rPr>
          <w:rFonts w:ascii="Arial" w:cs="Arial" w:eastAsia="Arial" w:hAnsi="Arial"/>
          <w:sz w:val="15"/>
          <w:szCs w:val="15"/>
          <w:color w:val="auto"/>
        </w:rPr>
        <w:t>expense was a result of higher overall weighted average interest rates as a result of increased benchmark rates and higher outstanding debt balances. See Note 9 to the condensed consolidated financial statements for further discussion of our debt.</w:t>
      </w:r>
    </w:p>
    <w:p>
      <w:pPr>
        <w:spacing w:after="0" w:line="5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Income tax (benefit) expense: </w:t>
      </w:r>
      <w:r>
        <w:rPr>
          <w:rFonts w:ascii="Arial" w:cs="Arial" w:eastAsia="Arial" w:hAnsi="Arial"/>
          <w:sz w:val="15"/>
          <w:szCs w:val="15"/>
          <w:color w:val="auto"/>
        </w:rPr>
        <w:t>Income tax benefit was $20.6 million for the three months ended September 30, 2024 compared to income tax expense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$32.8 million for the three months ended September 30, 2023, a change of $53.3 million. The change was primarily driven by a decrease in income from continuing operations before income tax for the three months ended September 30, 2024 as compared to the three months ended September 30, 2023.</w:t>
      </w:r>
    </w:p>
    <w:p>
      <w:pPr>
        <w:spacing w:after="0" w:line="4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Capital expenditures for rental equipment increased $6.0 million, or 9%, to $69.4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2024 from $63.4 million for the three months ended September 30, 2023 as a result of increased refurbishment spending and new fleet purchases, including additional investment in climate-controlled containers and refrigerated storage units. Net CAPEX increased $15.3 million, or 35%, to $58.6 million for the three months ended September 30, 2024 from $43.2 million for the three months ended September 30, 2023 driven by the increase in capital expenditures for rental equipment as described above and a $12.1 million decrease in proceeds from the sale of property, plant, and equipment, partially offset by a $2.2 million decrease in purchases of property, plant and equipment, and a $0.5 million increase in proceeds from the sale of rental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Nine Months Ended September 30, 2024 Compared to the Nine Months Ended September 30,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480" w:type="dxa"/>
            <w:vAlign w:val="bottom"/>
            <w:gridSpan w:val="8"/>
          </w:tcPr>
          <w:p>
            <w:pPr>
              <w:ind w:left="620"/>
              <w:spacing w:after="0"/>
              <w:rPr>
                <w:sz w:val="20"/>
                <w:szCs w:val="20"/>
                <w:color w:val="auto"/>
              </w:rPr>
            </w:pPr>
            <w:r>
              <w:rPr>
                <w:rFonts w:ascii="Arial" w:cs="Arial" w:eastAsia="Arial" w:hAnsi="Arial"/>
                <w:sz w:val="15"/>
                <w:szCs w:val="15"/>
                <w:color w:val="auto"/>
              </w:rPr>
              <w:t>Our condensed consolidated statements of operations for the nine months ended September 30, 2024 and 2023 are presented below.</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920" w:type="dxa"/>
            <w:vAlign w:val="bottom"/>
            <w:gridSpan w:val="3"/>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21"/>
                <w:szCs w:val="21"/>
                <w:color w:val="auto"/>
              </w:rPr>
            </w:pPr>
          </w:p>
        </w:tc>
        <w:tc>
          <w:tcPr>
            <w:tcW w:w="3500" w:type="dxa"/>
            <w:vAlign w:val="bottom"/>
            <w:gridSpan w:val="5"/>
            <w:shd w:val="clear" w:color="auto" w:fill="1D2758"/>
          </w:tcPr>
          <w:p>
            <w:pPr>
              <w:ind w:left="260"/>
              <w:spacing w:after="0"/>
              <w:rPr>
                <w:sz w:val="20"/>
                <w:szCs w:val="20"/>
                <w:color w:val="auto"/>
              </w:rPr>
            </w:pPr>
            <w:r>
              <w:rPr>
                <w:rFonts w:ascii="Arial" w:cs="Arial" w:eastAsia="Arial" w:hAnsi="Arial"/>
                <w:sz w:val="15"/>
                <w:szCs w:val="15"/>
                <w:b w:val="1"/>
                <w:bCs w:val="1"/>
                <w:color w:val="FFFFFF"/>
              </w:rPr>
              <w:t>Nine Months Ended September 30,</w:t>
            </w:r>
          </w:p>
        </w:tc>
        <w:tc>
          <w:tcPr>
            <w:tcW w:w="106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2024 vs. 2023</w:t>
            </w:r>
          </w:p>
        </w:tc>
        <w:tc>
          <w:tcPr>
            <w:tcW w:w="76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213"/>
        </w:trPr>
        <w:tc>
          <w:tcPr>
            <w:tcW w:w="5580" w:type="dxa"/>
            <w:vAlign w:val="bottom"/>
            <w:vMerge w:val="continue"/>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48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40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7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5580" w:type="dxa"/>
            <w:vAlign w:val="bottom"/>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148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420" w:type="dxa"/>
            <w:vAlign w:val="bottom"/>
            <w:shd w:val="clear" w:color="auto" w:fill="1D2758"/>
          </w:tcPr>
          <w:p>
            <w:pPr>
              <w:spacing w:after="0"/>
              <w:rPr>
                <w:sz w:val="7"/>
                <w:szCs w:val="7"/>
                <w:color w:val="auto"/>
              </w:rPr>
            </w:pPr>
          </w:p>
        </w:tc>
        <w:tc>
          <w:tcPr>
            <w:tcW w:w="140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060" w:type="dxa"/>
            <w:vAlign w:val="bottom"/>
            <w:shd w:val="clear" w:color="auto" w:fill="1D2758"/>
          </w:tcPr>
          <w:p>
            <w:pPr>
              <w:spacing w:after="0"/>
              <w:rPr>
                <w:sz w:val="7"/>
                <w:szCs w:val="7"/>
                <w:color w:val="auto"/>
              </w:rPr>
            </w:pPr>
          </w:p>
        </w:tc>
        <w:tc>
          <w:tcPr>
            <w:tcW w:w="7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1,374,771</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1,356,040</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88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18,731</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323,274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334,982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(11,708)</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52,727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29,816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22,911</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40" w:type="dxa"/>
            <w:vAlign w:val="bottom"/>
            <w:tcBorders>
              <w:bottom w:val="single" w:sz="8" w:color="auto"/>
            </w:tcBorders>
            <w:shd w:val="clear" w:color="auto" w:fill="DBDBDB"/>
          </w:tcPr>
          <w:p>
            <w:pPr>
              <w:spacing w:after="0"/>
              <w:rPr>
                <w:sz w:val="18"/>
                <w:szCs w:val="18"/>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42,431</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31,553</w:t>
            </w:r>
          </w:p>
        </w:tc>
        <w:tc>
          <w:tcPr>
            <w:tcW w:w="100" w:type="dxa"/>
            <w:vAlign w:val="bottom"/>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10,878</w:t>
            </w:r>
          </w:p>
        </w:tc>
        <w:tc>
          <w:tcPr>
            <w:tcW w:w="0" w:type="dxa"/>
            <w:vAlign w:val="bottom"/>
          </w:tcPr>
          <w:p>
            <w:pPr>
              <w:spacing w:after="0"/>
              <w:rPr>
                <w:sz w:val="1"/>
                <w:szCs w:val="1"/>
                <w:color w:val="auto"/>
              </w:rPr>
            </w:pPr>
          </w:p>
        </w:tc>
      </w:tr>
      <w:tr>
        <w:trPr>
          <w:trHeight w:val="198"/>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1,793,203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1,752,391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40,812</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296,692</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300,402</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(3,710)</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250,787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238,437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12,350</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31,296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16,099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15,197</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22,207</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16,203</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6,004</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226,731</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190,556</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36,175</w:t>
            </w:r>
          </w:p>
        </w:tc>
        <w:tc>
          <w:tcPr>
            <w:tcW w:w="0" w:type="dxa"/>
            <w:vAlign w:val="bottom"/>
          </w:tcPr>
          <w:p>
            <w:pPr>
              <w:spacing w:after="0"/>
              <w:rPr>
                <w:sz w:val="1"/>
                <w:szCs w:val="1"/>
                <w:color w:val="auto"/>
              </w:rPr>
            </w:pP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965,490</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990,694</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(25,204)</w:t>
            </w: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493,043</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449,663</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43,380</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59,163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52,371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6,792</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Impairment loss on intangible asset</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132,540</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8,540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8,540</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Lease impairment expense and other related charges, net</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867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845</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(gains) losses, net</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6,885</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(6,979)</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(income), net</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1,935</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(14,533)</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16,468</w:t>
            </w:r>
          </w:p>
        </w:tc>
        <w:tc>
          <w:tcPr>
            <w:tcW w:w="0" w:type="dxa"/>
            <w:vAlign w:val="bottom"/>
          </w:tcPr>
          <w:p>
            <w:pPr>
              <w:spacing w:after="0"/>
              <w:rPr>
                <w:sz w:val="1"/>
                <w:szCs w:val="1"/>
                <w:color w:val="auto"/>
              </w:rPr>
            </w:pP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89,496</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496,286</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(406,790)</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 net</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167,959</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145,915</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22,044</w:t>
            </w:r>
          </w:p>
        </w:tc>
        <w:tc>
          <w:tcPr>
            <w:tcW w:w="0" w:type="dxa"/>
            <w:vAlign w:val="bottom"/>
          </w:tcPr>
          <w:p>
            <w:pPr>
              <w:spacing w:after="0"/>
              <w:rPr>
                <w:sz w:val="1"/>
                <w:szCs w:val="1"/>
                <w:color w:val="auto"/>
              </w:rPr>
            </w:pPr>
          </w:p>
        </w:tc>
      </w:tr>
      <w:tr>
        <w:trPr>
          <w:trHeight w:val="200"/>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income from continuing operations before income tax</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(78,463)</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350,371</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(428,834)</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(benefit) expense from continuing operations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(17,377)</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94,855</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(112,232)</w:t>
            </w:r>
          </w:p>
        </w:tc>
        <w:tc>
          <w:tcPr>
            <w:tcW w:w="0" w:type="dxa"/>
            <w:vAlign w:val="bottom"/>
          </w:tcPr>
          <w:p>
            <w:pPr>
              <w:spacing w:after="0"/>
              <w:rPr>
                <w:sz w:val="1"/>
                <w:szCs w:val="1"/>
                <w:color w:val="auto"/>
              </w:rPr>
            </w:pPr>
          </w:p>
        </w:tc>
      </w:tr>
      <w:tr>
        <w:trPr>
          <w:trHeight w:val="200"/>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income from continuing operations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(61,086)</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255,516</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(316,602)</w:t>
            </w:r>
          </w:p>
        </w:tc>
        <w:tc>
          <w:tcPr>
            <w:tcW w:w="0" w:type="dxa"/>
            <w:vAlign w:val="bottom"/>
          </w:tcPr>
          <w:p>
            <w:pPr>
              <w:spacing w:after="0"/>
              <w:rPr>
                <w:sz w:val="1"/>
                <w:szCs w:val="1"/>
                <w:color w:val="auto"/>
              </w:rPr>
            </w:pPr>
          </w:p>
        </w:tc>
      </w:tr>
      <w:tr>
        <w:trPr>
          <w:trHeight w:val="245"/>
        </w:trPr>
        <w:tc>
          <w:tcPr>
            <w:tcW w:w="5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Discontinued operations: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3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4,003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(4,003)</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340" w:type="dxa"/>
            <w:vAlign w:val="bottom"/>
            <w:shd w:val="clear" w:color="auto" w:fill="DBDBDB"/>
          </w:tcPr>
          <w:p>
            <w:pPr>
              <w:spacing w:after="0"/>
              <w:rPr>
                <w:sz w:val="18"/>
                <w:szCs w:val="18"/>
                <w:color w:val="auto"/>
              </w:rPr>
            </w:pPr>
          </w:p>
        </w:tc>
        <w:tc>
          <w:tcPr>
            <w:tcW w:w="15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176,078</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(176,078)</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45,468</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(45,468)</w:t>
            </w:r>
          </w:p>
        </w:tc>
        <w:tc>
          <w:tcPr>
            <w:tcW w:w="0" w:type="dxa"/>
            <w:vAlign w:val="bottom"/>
          </w:tcPr>
          <w:p>
            <w:pPr>
              <w:spacing w:after="0"/>
              <w:rPr>
                <w:sz w:val="1"/>
                <w:szCs w:val="1"/>
                <w:color w:val="auto"/>
              </w:rPr>
            </w:pPr>
          </w:p>
        </w:tc>
      </w:tr>
      <w:tr>
        <w:trPr>
          <w:trHeight w:val="19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340" w:type="dxa"/>
            <w:vAlign w:val="bottom"/>
            <w:shd w:val="clear" w:color="auto" w:fill="DBDBDB"/>
          </w:tcPr>
          <w:p>
            <w:pPr>
              <w:spacing w:after="0"/>
              <w:rPr>
                <w:sz w:val="17"/>
                <w:szCs w:val="17"/>
                <w:color w:val="auto"/>
              </w:rPr>
            </w:pPr>
          </w:p>
        </w:tc>
        <w:tc>
          <w:tcPr>
            <w:tcW w:w="15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134,613</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(134,613)</w:t>
            </w:r>
          </w:p>
        </w:tc>
        <w:tc>
          <w:tcPr>
            <w:tcW w:w="0" w:type="dxa"/>
            <w:vAlign w:val="bottom"/>
          </w:tcPr>
          <w:p>
            <w:pPr>
              <w:spacing w:after="0"/>
              <w:rPr>
                <w:sz w:val="1"/>
                <w:szCs w:val="1"/>
                <w:color w:val="auto"/>
              </w:rPr>
            </w:pPr>
          </w:p>
        </w:tc>
      </w:tr>
      <w:tr>
        <w:trPr>
          <w:trHeight w:val="226"/>
        </w:trPr>
        <w:tc>
          <w:tcPr>
            <w:tcW w:w="558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(loss) income</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(61,086)</w:t>
            </w:r>
          </w:p>
        </w:tc>
        <w:tc>
          <w:tcPr>
            <w:tcW w:w="100" w:type="dxa"/>
            <w:vAlign w:val="bottom"/>
            <w:tcBorders>
              <w:bottom w:val="single" w:sz="8" w:color="auto"/>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390,129</w:t>
            </w:r>
          </w:p>
        </w:tc>
        <w:tc>
          <w:tcPr>
            <w:tcW w:w="1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88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(451,215)</w:t>
            </w:r>
          </w:p>
        </w:tc>
        <w:tc>
          <w:tcPr>
            <w:tcW w:w="0" w:type="dxa"/>
            <w:vAlign w:val="bottom"/>
          </w:tcPr>
          <w:p>
            <w:pPr>
              <w:spacing w:after="0"/>
              <w:rPr>
                <w:sz w:val="1"/>
                <w:szCs w:val="1"/>
                <w:color w:val="auto"/>
              </w:rPr>
            </w:pPr>
          </w:p>
        </w:tc>
      </w:tr>
      <w:tr>
        <w:trPr>
          <w:trHeight w:val="20"/>
        </w:trPr>
        <w:tc>
          <w:tcPr>
            <w:tcW w:w="55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2" w:name="page33"/>
    <w:bookmarkEnd w:id="32"/>
    <w:p>
      <w:pPr>
        <w:ind w:firstLine="619"/>
        <w:spacing w:after="0" w:line="294" w:lineRule="auto"/>
        <w:rPr>
          <w:sz w:val="20"/>
          <w:szCs w:val="20"/>
          <w:color w:val="auto"/>
        </w:rPr>
      </w:pPr>
      <w:r>
        <w:rPr>
          <w:rFonts w:ascii="Arial" w:cs="Arial" w:eastAsia="Arial" w:hAnsi="Arial"/>
          <w:sz w:val="15"/>
          <w:szCs w:val="15"/>
          <w:color w:val="auto"/>
        </w:rPr>
        <w:t>The following table and discussion summarizes our financial performance for the nine months ended September 30, 2024, as compared to the nine months ended September 30,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400"/>
        </w:trPr>
        <w:tc>
          <w:tcPr>
            <w:tcW w:w="5880" w:type="dxa"/>
            <w:vAlign w:val="bottom"/>
            <w:shd w:val="clear" w:color="auto" w:fill="1D2758"/>
          </w:tcPr>
          <w:p>
            <w:pPr>
              <w:spacing w:after="0"/>
              <w:rPr>
                <w:sz w:val="24"/>
                <w:szCs w:val="24"/>
                <w:color w:val="auto"/>
              </w:rPr>
            </w:pPr>
          </w:p>
        </w:tc>
        <w:tc>
          <w:tcPr>
            <w:tcW w:w="280" w:type="dxa"/>
            <w:vAlign w:val="bottom"/>
            <w:shd w:val="clear" w:color="auto" w:fill="1D2758"/>
          </w:tcPr>
          <w:p>
            <w:pPr>
              <w:spacing w:after="0"/>
              <w:rPr>
                <w:sz w:val="24"/>
                <w:szCs w:val="24"/>
                <w:color w:val="auto"/>
              </w:rPr>
            </w:pPr>
          </w:p>
        </w:tc>
        <w:tc>
          <w:tcPr>
            <w:tcW w:w="3260" w:type="dxa"/>
            <w:vAlign w:val="bottom"/>
            <w:gridSpan w:val="3"/>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Nine Months Ended September 30,</w:t>
            </w:r>
          </w:p>
        </w:tc>
        <w:tc>
          <w:tcPr>
            <w:tcW w:w="100" w:type="dxa"/>
            <w:vAlign w:val="bottom"/>
            <w:shd w:val="clear" w:color="auto" w:fill="1D2758"/>
          </w:tcPr>
          <w:p>
            <w:pPr>
              <w:spacing w:after="0"/>
              <w:rPr>
                <w:sz w:val="24"/>
                <w:szCs w:val="24"/>
                <w:color w:val="auto"/>
              </w:rPr>
            </w:pPr>
          </w:p>
        </w:tc>
        <w:tc>
          <w:tcPr>
            <w:tcW w:w="1720" w:type="dxa"/>
            <w:vAlign w:val="bottom"/>
            <w:vMerge w:val="restart"/>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2024 vs. 2023 Change</w:t>
            </w:r>
          </w:p>
        </w:tc>
        <w:tc>
          <w:tcPr>
            <w:tcW w:w="0" w:type="dxa"/>
            <w:vAlign w:val="bottom"/>
          </w:tcPr>
          <w:p>
            <w:pPr>
              <w:spacing w:after="0"/>
              <w:rPr>
                <w:sz w:val="1"/>
                <w:szCs w:val="1"/>
                <w:color w:val="auto"/>
              </w:rPr>
            </w:pPr>
          </w:p>
        </w:tc>
      </w:tr>
      <w:tr>
        <w:trPr>
          <w:trHeight w:val="258"/>
        </w:trPr>
        <w:tc>
          <w:tcPr>
            <w:tcW w:w="58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monthly rental rate)</w:t>
            </w:r>
            <w:r>
              <w:rPr>
                <w:rFonts w:ascii="Arial" w:cs="Arial" w:eastAsia="Arial" w:hAnsi="Arial"/>
                <w:sz w:val="20"/>
                <w:szCs w:val="20"/>
                <w:b w:val="1"/>
                <w:bCs w:val="1"/>
                <w:i w:val="1"/>
                <w:iCs w:val="1"/>
                <w:color w:val="FFFFFF"/>
                <w:vertAlign w:val="superscript"/>
              </w:rPr>
              <w:t>1</w:t>
            </w:r>
          </w:p>
        </w:tc>
        <w:tc>
          <w:tcPr>
            <w:tcW w:w="280" w:type="dxa"/>
            <w:vAlign w:val="bottom"/>
            <w:shd w:val="clear" w:color="auto" w:fill="1D2758"/>
          </w:tcPr>
          <w:p>
            <w:pPr>
              <w:spacing w:after="0"/>
              <w:rPr>
                <w:sz w:val="22"/>
                <w:szCs w:val="22"/>
                <w:color w:val="auto"/>
              </w:rPr>
            </w:pPr>
          </w:p>
        </w:tc>
        <w:tc>
          <w:tcPr>
            <w:tcW w:w="14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2024</w:t>
            </w:r>
          </w:p>
        </w:tc>
        <w:tc>
          <w:tcPr>
            <w:tcW w:w="440" w:type="dxa"/>
            <w:vAlign w:val="bottom"/>
            <w:shd w:val="clear" w:color="auto" w:fill="1D2758"/>
          </w:tcPr>
          <w:p>
            <w:pPr>
              <w:spacing w:after="0"/>
              <w:rPr>
                <w:sz w:val="22"/>
                <w:szCs w:val="22"/>
                <w:color w:val="auto"/>
              </w:rPr>
            </w:pPr>
          </w:p>
        </w:tc>
        <w:tc>
          <w:tcPr>
            <w:tcW w:w="138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22"/>
                <w:szCs w:val="22"/>
                <w:color w:val="auto"/>
              </w:rPr>
            </w:pPr>
          </w:p>
        </w:tc>
        <w:tc>
          <w:tcPr>
            <w:tcW w:w="1720" w:type="dxa"/>
            <w:vAlign w:val="bottom"/>
            <w:vMerge w:val="continue"/>
            <w:shd w:val="clear" w:color="auto" w:fill="1D2758"/>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1,793,203</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1,752,391</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40,812</w:t>
            </w:r>
          </w:p>
        </w:tc>
        <w:tc>
          <w:tcPr>
            <w:tcW w:w="0" w:type="dxa"/>
            <w:vAlign w:val="bottom"/>
          </w:tcPr>
          <w:p>
            <w:pPr>
              <w:spacing w:after="0"/>
              <w:rPr>
                <w:sz w:val="1"/>
                <w:szCs w:val="1"/>
                <w:color w:val="auto"/>
              </w:rPr>
            </w:pPr>
          </w:p>
        </w:tc>
      </w:tr>
      <w:tr>
        <w:trPr>
          <w:trHeight w:val="205"/>
        </w:trPr>
        <w:tc>
          <w:tcPr>
            <w:tcW w:w="5880" w:type="dxa"/>
            <w:vAlign w:val="bottom"/>
          </w:tcPr>
          <w:p>
            <w:pPr>
              <w:ind w:left="20"/>
              <w:spacing w:after="0"/>
              <w:rPr>
                <w:sz w:val="20"/>
                <w:szCs w:val="20"/>
                <w:color w:val="auto"/>
              </w:rPr>
            </w:pPr>
            <w:r>
              <w:rPr>
                <w:rFonts w:ascii="Arial" w:cs="Arial" w:eastAsia="Arial" w:hAnsi="Arial"/>
                <w:sz w:val="15"/>
                <w:szCs w:val="15"/>
                <w:color w:val="auto"/>
              </w:rPr>
              <w:t>(Loss) income from continuing operations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(61,086)</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223"/>
              <w:spacing w:after="0"/>
              <w:rPr>
                <w:sz w:val="20"/>
                <w:szCs w:val="20"/>
                <w:color w:val="auto"/>
              </w:rPr>
            </w:pPr>
            <w:r>
              <w:rPr>
                <w:rFonts w:ascii="Arial" w:cs="Arial" w:eastAsia="Arial" w:hAnsi="Arial"/>
                <w:sz w:val="15"/>
                <w:szCs w:val="15"/>
                <w:color w:val="auto"/>
              </w:rPr>
              <w:t>255,516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43"/>
              <w:spacing w:after="0"/>
              <w:rPr>
                <w:sz w:val="20"/>
                <w:szCs w:val="20"/>
                <w:color w:val="auto"/>
              </w:rPr>
            </w:pPr>
            <w:r>
              <w:rPr>
                <w:rFonts w:ascii="Arial" w:cs="Arial" w:eastAsia="Arial" w:hAnsi="Arial"/>
                <w:sz w:val="15"/>
                <w:szCs w:val="15"/>
                <w:color w:val="auto"/>
              </w:rPr>
              <w:t>(316,602)</w:t>
            </w:r>
          </w:p>
        </w:tc>
        <w:tc>
          <w:tcPr>
            <w:tcW w:w="0" w:type="dxa"/>
            <w:vAlign w:val="bottom"/>
          </w:tcPr>
          <w:p>
            <w:pPr>
              <w:spacing w:after="0"/>
              <w:rPr>
                <w:sz w:val="1"/>
                <w:szCs w:val="1"/>
                <w:color w:val="auto"/>
              </w:rPr>
            </w:pPr>
          </w:p>
        </w:tc>
      </w:tr>
      <w:tr>
        <w:trPr>
          <w:trHeight w:val="207"/>
        </w:trPr>
        <w:tc>
          <w:tcPr>
            <w:tcW w:w="5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778,448</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773,663</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4,785</w:t>
            </w:r>
          </w:p>
        </w:tc>
        <w:tc>
          <w:tcPr>
            <w:tcW w:w="0" w:type="dxa"/>
            <w:vAlign w:val="bottom"/>
          </w:tcPr>
          <w:p>
            <w:pPr>
              <w:spacing w:after="0"/>
              <w:rPr>
                <w:sz w:val="1"/>
                <w:szCs w:val="1"/>
                <w:color w:val="auto"/>
              </w:rPr>
            </w:pPr>
          </w:p>
        </w:tc>
      </w:tr>
      <w:tr>
        <w:trPr>
          <w:trHeight w:val="205"/>
        </w:trPr>
        <w:tc>
          <w:tcPr>
            <w:tcW w:w="58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163"/>
              <w:spacing w:after="0"/>
              <w:rPr>
                <w:sz w:val="20"/>
                <w:szCs w:val="20"/>
                <w:color w:val="auto"/>
              </w:rPr>
            </w:pPr>
            <w:r>
              <w:rPr>
                <w:rFonts w:ascii="Arial" w:cs="Arial" w:eastAsia="Arial" w:hAnsi="Arial"/>
                <w:sz w:val="15"/>
                <w:szCs w:val="15"/>
                <w:color w:val="auto"/>
              </w:rPr>
              <w:t>206,989</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223"/>
              <w:spacing w:after="0"/>
              <w:rPr>
                <w:sz w:val="20"/>
                <w:szCs w:val="20"/>
                <w:color w:val="auto"/>
              </w:rPr>
            </w:pPr>
            <w:r>
              <w:rPr>
                <w:rFonts w:ascii="Arial" w:cs="Arial" w:eastAsia="Arial" w:hAnsi="Arial"/>
                <w:sz w:val="15"/>
                <w:szCs w:val="15"/>
                <w:color w:val="auto"/>
              </w:rPr>
              <w:t>166,097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83"/>
              <w:spacing w:after="0"/>
              <w:rPr>
                <w:sz w:val="20"/>
                <w:szCs w:val="20"/>
                <w:color w:val="auto"/>
              </w:rPr>
            </w:pPr>
            <w:r>
              <w:rPr>
                <w:rFonts w:ascii="Arial" w:cs="Arial" w:eastAsia="Arial" w:hAnsi="Arial"/>
                <w:sz w:val="15"/>
                <w:szCs w:val="15"/>
                <w:color w:val="auto"/>
              </w:rPr>
              <w:t>40,892</w:t>
            </w:r>
          </w:p>
        </w:tc>
        <w:tc>
          <w:tcPr>
            <w:tcW w:w="0" w:type="dxa"/>
            <w:vAlign w:val="bottom"/>
          </w:tcPr>
          <w:p>
            <w:pPr>
              <w:spacing w:after="0"/>
              <w:rPr>
                <w:sz w:val="1"/>
                <w:szCs w:val="1"/>
                <w:color w:val="auto"/>
              </w:rPr>
            </w:pPr>
          </w:p>
        </w:tc>
      </w:tr>
      <w:tr>
        <w:trPr>
          <w:trHeight w:val="207"/>
        </w:trPr>
        <w:tc>
          <w:tcPr>
            <w:tcW w:w="5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CAPEX</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178,069</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131,609</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46,460</w:t>
            </w:r>
          </w:p>
        </w:tc>
        <w:tc>
          <w:tcPr>
            <w:tcW w:w="0" w:type="dxa"/>
            <w:vAlign w:val="bottom"/>
          </w:tcPr>
          <w:p>
            <w:pPr>
              <w:spacing w:after="0"/>
              <w:rPr>
                <w:sz w:val="1"/>
                <w:szCs w:val="1"/>
                <w:color w:val="auto"/>
              </w:rPr>
            </w:pPr>
          </w:p>
        </w:tc>
      </w:tr>
      <w:tr>
        <w:trPr>
          <w:trHeight w:val="205"/>
        </w:trPr>
        <w:tc>
          <w:tcPr>
            <w:tcW w:w="588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280" w:type="dxa"/>
            <w:vAlign w:val="bottom"/>
          </w:tcPr>
          <w:p>
            <w:pPr>
              <w:spacing w:after="0"/>
              <w:rPr>
                <w:sz w:val="17"/>
                <w:szCs w:val="17"/>
                <w:color w:val="auto"/>
              </w:rPr>
            </w:pPr>
          </w:p>
        </w:tc>
        <w:tc>
          <w:tcPr>
            <w:tcW w:w="1440" w:type="dxa"/>
            <w:vAlign w:val="bottom"/>
          </w:tcPr>
          <w:p>
            <w:pPr>
              <w:jc w:val="right"/>
              <w:ind w:right="163"/>
              <w:spacing w:after="0"/>
              <w:rPr>
                <w:sz w:val="20"/>
                <w:szCs w:val="20"/>
                <w:color w:val="auto"/>
              </w:rPr>
            </w:pPr>
            <w:r>
              <w:rPr>
                <w:rFonts w:ascii="Arial" w:cs="Arial" w:eastAsia="Arial" w:hAnsi="Arial"/>
                <w:sz w:val="15"/>
                <w:szCs w:val="15"/>
                <w:color w:val="auto"/>
              </w:rPr>
              <w:t>95,456</w:t>
            </w:r>
          </w:p>
        </w:tc>
        <w:tc>
          <w:tcPr>
            <w:tcW w:w="440" w:type="dxa"/>
            <w:vAlign w:val="bottom"/>
          </w:tcPr>
          <w:p>
            <w:pPr>
              <w:spacing w:after="0"/>
              <w:rPr>
                <w:sz w:val="17"/>
                <w:szCs w:val="17"/>
                <w:color w:val="auto"/>
              </w:rPr>
            </w:pPr>
          </w:p>
        </w:tc>
        <w:tc>
          <w:tcPr>
            <w:tcW w:w="1380" w:type="dxa"/>
            <w:vAlign w:val="bottom"/>
          </w:tcPr>
          <w:p>
            <w:pPr>
              <w:jc w:val="right"/>
              <w:ind w:right="223"/>
              <w:spacing w:after="0"/>
              <w:rPr>
                <w:sz w:val="20"/>
                <w:szCs w:val="20"/>
                <w:color w:val="auto"/>
              </w:rPr>
            </w:pPr>
            <w:r>
              <w:rPr>
                <w:rFonts w:ascii="Arial" w:cs="Arial" w:eastAsia="Arial" w:hAnsi="Arial"/>
                <w:sz w:val="15"/>
                <w:szCs w:val="15"/>
                <w:color w:val="auto"/>
              </w:rPr>
              <w:t>98,978</w:t>
            </w:r>
          </w:p>
        </w:tc>
        <w:tc>
          <w:tcPr>
            <w:tcW w:w="100" w:type="dxa"/>
            <w:vAlign w:val="bottom"/>
          </w:tcPr>
          <w:p>
            <w:pPr>
              <w:spacing w:after="0"/>
              <w:rPr>
                <w:sz w:val="17"/>
                <w:szCs w:val="17"/>
                <w:color w:val="auto"/>
              </w:rPr>
            </w:pPr>
          </w:p>
        </w:tc>
        <w:tc>
          <w:tcPr>
            <w:tcW w:w="1720" w:type="dxa"/>
            <w:vAlign w:val="bottom"/>
          </w:tcPr>
          <w:p>
            <w:pPr>
              <w:jc w:val="right"/>
              <w:ind w:right="243"/>
              <w:spacing w:after="0"/>
              <w:rPr>
                <w:sz w:val="20"/>
                <w:szCs w:val="20"/>
                <w:color w:val="auto"/>
              </w:rPr>
            </w:pPr>
            <w:r>
              <w:rPr>
                <w:rFonts w:ascii="Arial" w:cs="Arial" w:eastAsia="Arial" w:hAnsi="Arial"/>
                <w:sz w:val="15"/>
                <w:szCs w:val="15"/>
                <w:color w:val="auto"/>
              </w:rPr>
              <w:t>(3,522)</w:t>
            </w:r>
          </w:p>
        </w:tc>
        <w:tc>
          <w:tcPr>
            <w:tcW w:w="0" w:type="dxa"/>
            <w:vAlign w:val="bottom"/>
          </w:tcPr>
          <w:p>
            <w:pPr>
              <w:spacing w:after="0"/>
              <w:rPr>
                <w:sz w:val="1"/>
                <w:szCs w:val="1"/>
                <w:color w:val="auto"/>
              </w:rPr>
            </w:pPr>
          </w:p>
        </w:tc>
      </w:tr>
      <w:tr>
        <w:trPr>
          <w:trHeight w:val="207"/>
        </w:trPr>
        <w:tc>
          <w:tcPr>
            <w:tcW w:w="5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62.3 %</w:t>
            </w: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64.8 %</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(250) bps</w:t>
            </w:r>
          </w:p>
        </w:tc>
        <w:tc>
          <w:tcPr>
            <w:tcW w:w="0" w:type="dxa"/>
            <w:vAlign w:val="bottom"/>
          </w:tcPr>
          <w:p>
            <w:pPr>
              <w:spacing w:after="0"/>
              <w:rPr>
                <w:sz w:val="1"/>
                <w:szCs w:val="1"/>
                <w:color w:val="auto"/>
              </w:rPr>
            </w:pPr>
          </w:p>
        </w:tc>
      </w:tr>
      <w:tr>
        <w:trPr>
          <w:trHeight w:val="205"/>
        </w:trPr>
        <w:tc>
          <w:tcPr>
            <w:tcW w:w="588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163"/>
              <w:spacing w:after="0"/>
              <w:rPr>
                <w:sz w:val="20"/>
                <w:szCs w:val="20"/>
                <w:color w:val="auto"/>
              </w:rPr>
            </w:pPr>
            <w:r>
              <w:rPr>
                <w:rFonts w:ascii="Arial" w:cs="Arial" w:eastAsia="Arial" w:hAnsi="Arial"/>
                <w:sz w:val="15"/>
                <w:szCs w:val="15"/>
                <w:color w:val="auto"/>
              </w:rPr>
              <w:t>1,175</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223"/>
              <w:spacing w:after="0"/>
              <w:rPr>
                <w:sz w:val="20"/>
                <w:szCs w:val="20"/>
                <w:color w:val="auto"/>
              </w:rPr>
            </w:pPr>
            <w:r>
              <w:rPr>
                <w:rFonts w:ascii="Arial" w:cs="Arial" w:eastAsia="Arial" w:hAnsi="Arial"/>
                <w:sz w:val="15"/>
                <w:szCs w:val="15"/>
                <w:color w:val="auto"/>
              </w:rPr>
              <w:t>1,084</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83"/>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07"/>
        </w:trPr>
        <w:tc>
          <w:tcPr>
            <w:tcW w:w="5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units on rent</w:t>
            </w:r>
          </w:p>
        </w:tc>
        <w:tc>
          <w:tcPr>
            <w:tcW w:w="280" w:type="dxa"/>
            <w:vAlign w:val="bottom"/>
            <w:shd w:val="clear" w:color="auto" w:fill="DBDBDB"/>
          </w:tcPr>
          <w:p>
            <w:pPr>
              <w:spacing w:after="0"/>
              <w:rPr>
                <w:sz w:val="18"/>
                <w:szCs w:val="18"/>
                <w:color w:val="auto"/>
              </w:rPr>
            </w:pPr>
          </w:p>
        </w:tc>
        <w:tc>
          <w:tcPr>
            <w:tcW w:w="14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126,163</w:t>
            </w: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157,766</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(31,603)</w:t>
            </w:r>
          </w:p>
        </w:tc>
        <w:tc>
          <w:tcPr>
            <w:tcW w:w="0" w:type="dxa"/>
            <w:vAlign w:val="bottom"/>
          </w:tcPr>
          <w:p>
            <w:pPr>
              <w:spacing w:after="0"/>
              <w:rPr>
                <w:sz w:val="1"/>
                <w:szCs w:val="1"/>
                <w:color w:val="auto"/>
              </w:rPr>
            </w:pPr>
          </w:p>
        </w:tc>
      </w:tr>
      <w:tr>
        <w:trPr>
          <w:trHeight w:val="205"/>
        </w:trPr>
        <w:tc>
          <w:tcPr>
            <w:tcW w:w="588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59.8 %</w:t>
            </w:r>
          </w:p>
        </w:tc>
        <w:tc>
          <w:tcPr>
            <w:tcW w:w="440" w:type="dxa"/>
            <w:vAlign w:val="bottom"/>
          </w:tcPr>
          <w:p>
            <w:pPr>
              <w:spacing w:after="0"/>
              <w:rPr>
                <w:sz w:val="17"/>
                <w:szCs w:val="17"/>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74.1 %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(1,430) bps</w:t>
            </w:r>
          </w:p>
        </w:tc>
        <w:tc>
          <w:tcPr>
            <w:tcW w:w="0" w:type="dxa"/>
            <w:vAlign w:val="bottom"/>
          </w:tcPr>
          <w:p>
            <w:pPr>
              <w:spacing w:after="0"/>
              <w:rPr>
                <w:sz w:val="1"/>
                <w:szCs w:val="1"/>
                <w:color w:val="auto"/>
              </w:rPr>
            </w:pPr>
          </w:p>
        </w:tc>
      </w:tr>
      <w:tr>
        <w:trPr>
          <w:trHeight w:val="207"/>
        </w:trPr>
        <w:tc>
          <w:tcPr>
            <w:tcW w:w="5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263</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bl>
    <w:p>
      <w:pPr>
        <w:spacing w:after="0" w:line="1" w:lineRule="exact"/>
        <w:rPr>
          <w:sz w:val="20"/>
          <w:szCs w:val="20"/>
          <w:color w:val="auto"/>
        </w:rPr>
      </w:pPr>
    </w:p>
    <w:p>
      <w:pPr>
        <w:jc w:val="both"/>
        <w:ind w:left="120" w:right="20" w:firstLine="3"/>
        <w:spacing w:after="0"/>
        <w:tabs>
          <w:tab w:leader="none" w:pos="225"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In 2024, we reclassified approximately 2,000 units that were previously reported as modular space units on rent to portable storage units on rent as these units are generally used in a dry storage application. Additionally, based on our segment realignment, we have conformed our VAPS presentation to include all VAPS not specific to portable storage orders as modular space VAPS and recalculated average monthly rental rates. This treatment is consistent with prior treatment in our previous Modular Segment. All historical product operating key performance indicators have been recast to be presented on a comparable basis for all periods.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Nine Months Ended September 30, 2024 and 2023</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$40.8 million, or 2.3%, to $1,793.2 million for the nine months ended September 30, 2024 from $1,752.4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2023. Leasing revenue increased $18.7 million, or 1.4%, as compared to the same period in 2023 driven by improved pricing and value added products penetration, partially offset by a decrease of 35,125 total average units on rent. Delivery and installation revenues decreased $11.7 million, or 3.5%, due to decreased deliveries and returns. Rental unit sales increased $10.9 million, or 34.5%, primarily driven by a single large project in the second quarter and increased overall rental unit sales activity, and new unit sales increased $22.9 million, or 76.8%, primarily related to sales activity from a company we acquired in the middle of the third quarter of 2023.</w:t>
      </w:r>
    </w:p>
    <w:p>
      <w:pPr>
        <w:spacing w:after="0" w:line="2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Total average units on rent for the nine months ended September 30, 2024 and 2023 were 221,619 and 256,744, respectively. Modular space average units on rent decreased 3,522 units, or 3.6%, and portable storage average units on rent decreased by 31,603 units, or 20.0%, for the nine months ended September 30, 2024. The lower demand was driven largely by decreased new construction project starts over the past two years as compared to higher activity levels experienced during 2021 and 2022 and less demand in the retail and wholesale trade customer segment. The average modular space utilization rate during the nine months ended September 30, 2024 was 62.3% as compared to 64.8% during the same period in 2023. The average portable storage utilization rate during the nine months ended September 30, 2024 was 59.8% as compared to 74.1% during the same period in 2023.</w:t>
      </w:r>
    </w:p>
    <w:p>
      <w:pPr>
        <w:spacing w:after="0" w:line="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Modular space average monthly rental rates increased 8.4% to $1,175 for the nine months ended September 30, 2024. Increases were driven by a continuation of the long-term price optimization and VAPS penetration opportunities. Average portable storage monthly rental rates increased 16.4% to $263 for the nine months ended September 30, 2024 as a result of our price management tools, processes and benefits from increased VAPS penetration opportunities, as well as higher rates on the climate-controlled containers and refrigerated storage units acquired in 2023 and 2024. Total VAPS revenues, which are included in leasing revenues, increased $4.9 million, or 1.7%, to $296.6 million for the nine months ended September 30, 2024 from $291.7 million for the nine months ended September 30, 2023.</w:t>
      </w:r>
    </w:p>
    <w:p>
      <w:pPr>
        <w:spacing w:after="0" w:line="24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decreased $25.2 million, or 2.5%, to $965.5 million for the nine months ended September 30, 2024 from $990.7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2023. The decrease in gross profit was a result of a $36.2 million increase in depreciation of rental equipment and decreased delivery and installation gross profit of $24.1 million. These decreases in gross profit were partially offset by a $22.4 million increase in leasing gross profit and increased new and rental unit sale gross profit of $12.6 million. The increase in leasing gross profit was primarily a result of increased revenues due to favorable average monthly rental rates including VAPS across both portable storage and modular space units, which offset lower unit on rent volumes. Cost of leasing and services increased by $8.6 million, or 1.6%, for the nine months ended September 30, 2024 as compared to the nine months ended September 30, 2023, driven by a $19.2 million, or 10.0%, increase in labor cost and a $3.5 million, or 4.7%, increase in vehicle, equipment and other costs partially offset by a $10.7 million, or 13.1%, decrease in material costs and a $3.3 million, or 1.7%, decrease in subcontractor costs. Cost of sales increased by $21.2 million, or 65.6%, which is directionally in line with increased sales revenues of 55.1%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3" w:name="page34"/>
    <w:bookmarkEnd w:id="33"/>
    <w:p>
      <w:pPr>
        <w:jc w:val="both"/>
        <w:ind w:firstLine="619"/>
        <w:spacing w:after="0" w:line="282" w:lineRule="auto"/>
        <w:rPr>
          <w:sz w:val="20"/>
          <w:szCs w:val="20"/>
          <w:color w:val="auto"/>
        </w:rPr>
      </w:pPr>
      <w:r>
        <w:rPr>
          <w:rFonts w:ascii="Arial" w:cs="Arial" w:eastAsia="Arial" w:hAnsi="Arial"/>
          <w:sz w:val="15"/>
          <w:szCs w:val="15"/>
          <w:color w:val="auto"/>
        </w:rPr>
        <w:t>Our gross profit percentage was 53.8% and 56.5% for the nine months ended September 30, 2024 and 2023, respectively. Our Adjusted Gross Profit Percentage, excluding the effects of depreciation of rental equipment, was 66.5% and 67.4% for the nine months ended September 30, 2024 and 2023, respectively. The decreases, as referenced above, were mainly driven by lower utilization rates, specifically on portable storage products.</w:t>
      </w:r>
    </w:p>
    <w:p>
      <w:pPr>
        <w:spacing w:after="0" w:line="4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SG&amp;A increased $43.4 million, or 9.6%, to $493.0 million for the nine months ended September 30, 2024, as compared to $449.7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2023. Discrete expenses for certain one-time projects, primarily legal and professional fees related to the proposed acquisition of McGrath, increased $42.7 million. Real estate and occupancy costs increased $11.8 million, or 18.7%, and stock compensation expense increased $2.1 million to $28.2 million for the nine months ended September 30, 2024, as compared to $26.1 million for the nine months ended September 30, 2023. These increases were partially offset by a $5.6 million, or 9.4%, decrease in service agreements and professional fees, a $2.9 million, or 1.5%, decrease in employee costs, a $2.3 million, or 12.5%, decrease in travel costs and a $3.8 million, or 19.0%, decrease in the provision for credit losses, net of write offs.</w:t>
      </w:r>
    </w:p>
    <w:p>
      <w:pPr>
        <w:spacing w:after="0" w:line="7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$4.8 million, or 1%, to $778.4 million for the nine months ended September 30, 2024 from $773.7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months ended September 30, 2023. The increase was driven by a $22.4 million increase in leasing gross profit, a $12.6 million increase in new and used sales gross profit, and decreased SG&amp;A, excluding discrete costs, of $1.3 million, or 0.3%, for the nine months ended September 30, 2024 as compared to the nine months ended September 30, 2023. The increase was partially offset by decreased delivery and installation gross profit of $24.1 million and decreased other expense (income), net of $16.5 million.</w:t>
      </w:r>
    </w:p>
    <w:p>
      <w:pPr>
        <w:spacing w:after="0" w:line="6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$6.8 million to $59.2 million for the nine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2024 as compared to $52.4 million for the nine months ended September 30, 2023, primarily related to the amortization of the Mobile Mini tradename in 2024.</w:t>
      </w:r>
    </w:p>
    <w:p>
      <w:pPr>
        <w:spacing w:after="0" w:line="2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Termination fee: </w:t>
      </w:r>
      <w:r>
        <w:rPr>
          <w:rFonts w:ascii="Arial" w:cs="Arial" w:eastAsia="Arial" w:hAnsi="Arial"/>
          <w:sz w:val="15"/>
          <w:szCs w:val="15"/>
          <w:color w:val="auto"/>
        </w:rPr>
        <w:t>We paid the termination fee of $180.0 million to McGrath related to the termination of the Merger Agreement during the nine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2024, which was treated as an operating expense.</w:t>
      </w:r>
    </w:p>
    <w:p>
      <w:pPr>
        <w:spacing w:after="0" w:line="2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Impairment loss on intangible asset: </w:t>
      </w:r>
      <w:r>
        <w:rPr>
          <w:rFonts w:ascii="Arial" w:cs="Arial" w:eastAsia="Arial" w:hAnsi="Arial"/>
          <w:sz w:val="15"/>
          <w:szCs w:val="15"/>
          <w:color w:val="auto"/>
        </w:rPr>
        <w:t>Impairment loss on intangible asset was $132.5 million for the nine months ended September 30, 2024 related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impairment of the Mobile Mini trade name based on the Company's plan to rebrand under a single WillScot brand name and discontinue the use of the Mobile Mini trade name.</w:t>
      </w:r>
    </w:p>
    <w:p>
      <w:pPr>
        <w:spacing w:after="0" w:line="4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Lease impairment expense and other related charges: </w:t>
      </w:r>
      <w:r>
        <w:rPr>
          <w:rFonts w:ascii="Arial" w:cs="Arial" w:eastAsia="Arial" w:hAnsi="Arial"/>
          <w:sz w:val="15"/>
          <w:szCs w:val="15"/>
          <w:color w:val="auto"/>
        </w:rPr>
        <w:t>Lease impairment expense and other related charges increased to $0.9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2024. These charges were related to the exit of an office property.</w:t>
      </w:r>
    </w:p>
    <w:p>
      <w:pPr>
        <w:spacing w:after="0" w:line="2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Restructuring costs of $8.5 million for the nine months ended September 30, 2024 were primarily due to employee termination costs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a result of a cost-reduction plan implemented in June 2024.</w:t>
      </w:r>
    </w:p>
    <w:p>
      <w:pPr>
        <w:spacing w:after="0" w:line="5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Currency (gains) losses, net: </w:t>
      </w:r>
      <w:r>
        <w:rPr>
          <w:rFonts w:ascii="Arial" w:cs="Arial" w:eastAsia="Arial" w:hAnsi="Arial"/>
          <w:sz w:val="15"/>
          <w:szCs w:val="15"/>
          <w:color w:val="auto"/>
        </w:rPr>
        <w:t>Currency gains, net decreased by $7.0 million for the nine months ended September 30, 2024. This change was primarily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attributable to a $7.7 million loss in 2023 on the settlement of the contingent foreign currency forward contract relating to the sale of the former UK Storage Solutions segment in January 2023.</w:t>
      </w:r>
    </w:p>
    <w:p>
      <w:pPr>
        <w:spacing w:after="0" w:line="4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Other expense (income), net: </w:t>
      </w:r>
      <w:r>
        <w:rPr>
          <w:rFonts w:ascii="Arial" w:cs="Arial" w:eastAsia="Arial" w:hAnsi="Arial"/>
          <w:sz w:val="15"/>
          <w:szCs w:val="15"/>
          <w:color w:val="auto"/>
        </w:rPr>
        <w:t>Other expense, net was $1.9 million for the nine months ended September 30, 2024 as compared to other income, net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$14.5 million for the nine months ended September 30, 2023. This change was primarily attributable to a gain on sale of fixed assets related to a real estate sale transaction during the nine months ended September 30, 2023 and insurance recoveries received in 2023 related to Hurricane Ian in the Gulf Coast area of the United States in 2022.</w:t>
      </w:r>
    </w:p>
    <w:p>
      <w:pPr>
        <w:spacing w:after="0" w:line="7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increased $22.0 million to $168.0 million for the nine months ended September 30, 2024 from $145.9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nine months ended September 30, 2023. The increase in interest expense was a result of higher overall weighted average interest rates as a result of increased benchmark rates and higher outstanding debt balances. See Note 9 to the condensed consolidated financial statements for further discussion of our debt.</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Income tax (benefit) expense: </w:t>
      </w:r>
      <w:r>
        <w:rPr>
          <w:rFonts w:ascii="Arial" w:cs="Arial" w:eastAsia="Arial" w:hAnsi="Arial"/>
          <w:sz w:val="15"/>
          <w:szCs w:val="15"/>
          <w:color w:val="auto"/>
        </w:rPr>
        <w:t>Income tax (benefit) expense decreased $112.2 million to a benefit of $17.4 million for the nine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2024 as compared to expense of $94.9 million for the nine months ended September 30, 2023. The decrease in expense was driven by a decrease in income from continuing operations before income tax for the nine months ended September 30, 2024 as compared to the nine months ended September 30, 2023.</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Income from discontinued operations: </w:t>
      </w:r>
      <w:r>
        <w:rPr>
          <w:rFonts w:ascii="Arial" w:cs="Arial" w:eastAsia="Arial" w:hAnsi="Arial"/>
          <w:sz w:val="15"/>
          <w:szCs w:val="15"/>
          <w:color w:val="auto"/>
        </w:rPr>
        <w:t>Income from discontinued operations for the nine months ended September 30, 2023 was related to the former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UK Storage Solutions segment, which was sold January 2023.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Capital expenditures for rental equipment increased $40.9 million, or 25%, to $207.0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2024 from $166.1 million for the nine months ended September 30, 2023 as a result of increased refurbishment spending and new fleet purchases, including additional investment in climate-controlled containers and refrigerated storage units. Net CAPEX increased $46.5 million, or 35%, to $178.1 million for the nine months ended September 30, 2024 from $131.6 million for the nine months ended September 30, 2023 driven by the increase in capital expenditures for rental equipment as described above and a $12.1 million decrease in proceeds from the sale of property, plant, and equipment. This increase was partially offset by a $5.9 million increase in proceeds from the sale of rental equipment for the nine months ended September 30, 2024.</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1D2758"/>
        </w:rPr>
        <w:t>Reconciliation of Non-GAAP Financial Measures</w:t>
      </w:r>
    </w:p>
    <w:p>
      <w:pPr>
        <w:spacing w:after="0" w:line="12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11" w:lineRule="exact"/>
        <w:rPr>
          <w:sz w:val="20"/>
          <w:szCs w:val="20"/>
          <w:color w:val="auto"/>
        </w:rPr>
      </w:pPr>
    </w:p>
    <w:p>
      <w:pPr>
        <w:ind w:left="1240" w:hanging="309"/>
        <w:spacing w:after="0" w:line="287"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ind w:left="1240" w:hanging="309"/>
        <w:spacing w:after="0" w:line="295"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w:t>
      </w:r>
    </w:p>
    <w:p>
      <w:pPr>
        <w:spacing w:after="0" w:line="72" w:lineRule="exact"/>
        <w:rPr>
          <w:rFonts w:ascii="Arial" w:cs="Arial" w:eastAsia="Arial" w:hAnsi="Arial"/>
          <w:sz w:val="15"/>
          <w:szCs w:val="15"/>
          <w:color w:val="auto"/>
        </w:rPr>
      </w:pPr>
    </w:p>
    <w:p>
      <w:pPr>
        <w:ind w:left="1240" w:hanging="309"/>
        <w:spacing w:after="0"/>
        <w:tabs>
          <w:tab w:leader="none" w:pos="1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59"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2" w:lineRule="exact"/>
        <w:rPr>
          <w:rFonts w:ascii="Arial" w:cs="Arial" w:eastAsia="Arial" w:hAnsi="Arial"/>
          <w:sz w:val="15"/>
          <w:szCs w:val="15"/>
          <w:color w:val="auto"/>
        </w:rPr>
      </w:pPr>
    </w:p>
    <w:p>
      <w:pPr>
        <w:ind w:left="1240" w:hanging="309"/>
        <w:spacing w:after="0"/>
        <w:tabs>
          <w:tab w:leader="none" w:pos="1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59"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Other expenses, including consulting expenses related to certain one-time projects, financing costs not classified as interest expense, and gains and losses on disposals of property, plant, and equipment.</w:t>
      </w:r>
    </w:p>
    <w:p>
      <w:pPr>
        <w:spacing w:after="0" w:line="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Our Chief Operating Decision Maker ("CODM") evaluates business performance utilizing Adjusted EBITDA as shown in the reconciliation of the Company’s consolidated income from continuing operations to Adjusted EBITDA below. Management believes that evaluating performance excluding such items is meaningful because it provides insight with respect to the intrinsic and ongoing operating results of the Company and captures the business performance inclusive of indirect costs.</w:t>
      </w:r>
    </w:p>
    <w:p>
      <w:pPr>
        <w:spacing w:after="0" w:line="206"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cash flow from operations or other methods of analyzing WillScot’s results as reported under GAAP. Some of these limitations are:</w:t>
      </w:r>
    </w:p>
    <w:p>
      <w:pPr>
        <w:ind w:left="1240" w:hanging="309"/>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72" w:lineRule="exact"/>
        <w:rPr>
          <w:rFonts w:ascii="Arial" w:cs="Arial" w:eastAsia="Arial" w:hAnsi="Arial"/>
          <w:sz w:val="15"/>
          <w:szCs w:val="15"/>
          <w:color w:val="auto"/>
        </w:rPr>
      </w:pPr>
    </w:p>
    <w:p>
      <w:pPr>
        <w:ind w:left="1240" w:hanging="309"/>
        <w:spacing w:after="0" w:line="287" w:lineRule="auto"/>
        <w:tabs>
          <w:tab w:leader="none" w:pos="1229"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ind w:left="1240" w:hanging="309"/>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72" w:lineRule="exact"/>
        <w:rPr>
          <w:rFonts w:ascii="Arial" w:cs="Arial" w:eastAsia="Arial" w:hAnsi="Arial"/>
          <w:sz w:val="15"/>
          <w:szCs w:val="15"/>
          <w:color w:val="auto"/>
        </w:rPr>
      </w:pPr>
    </w:p>
    <w:p>
      <w:pPr>
        <w:ind w:left="1240" w:hanging="309"/>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59"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spacing w:after="0" w:line="1"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10"/>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2" w:lineRule="exact"/>
        <w:rPr>
          <w:rFonts w:ascii="Arial" w:cs="Arial" w:eastAsia="Arial" w:hAnsi="Arial"/>
          <w:sz w:val="15"/>
          <w:szCs w:val="15"/>
          <w:color w:val="auto"/>
        </w:rPr>
      </w:pPr>
    </w:p>
    <w:p>
      <w:pPr>
        <w:ind w:left="1240" w:hanging="309"/>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5" w:name="page36"/>
    <w:bookmarkEnd w:id="35"/>
    <w:p>
      <w:pPr>
        <w:jc w:val="both"/>
        <w:ind w:firstLine="619"/>
        <w:spacing w:after="0" w:line="294"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a measure of cash that will be available to meet our obligations.</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provides reconciliations of (Loss) income from continuing operations to Adjusted EBITDA from continuing operations: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4"/>
                <w:szCs w:val="14"/>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c>
          <w:tcPr>
            <w:tcW w:w="0" w:type="dxa"/>
            <w:vAlign w:val="bottom"/>
          </w:tcPr>
          <w:p>
            <w:pPr>
              <w:spacing w:after="0"/>
              <w:rPr>
                <w:sz w:val="1"/>
                <w:szCs w:val="1"/>
                <w:color w:val="auto"/>
              </w:rPr>
            </w:pPr>
          </w:p>
        </w:tc>
      </w:tr>
      <w:tr>
        <w:trPr>
          <w:trHeight w:val="206"/>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income from continuing operations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(70,475)</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91,516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(61,086)</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255,516</w:t>
            </w:r>
          </w:p>
        </w:tc>
        <w:tc>
          <w:tcPr>
            <w:tcW w:w="0" w:type="dxa"/>
            <w:vAlign w:val="bottom"/>
          </w:tcPr>
          <w:p>
            <w:pPr>
              <w:spacing w:after="0"/>
              <w:rPr>
                <w:sz w:val="1"/>
                <w:szCs w:val="1"/>
                <w:color w:val="auto"/>
              </w:rPr>
            </w:pPr>
          </w:p>
        </w:tc>
      </w:tr>
      <w:tr>
        <w:trPr>
          <w:trHeight w:val="205"/>
        </w:trPr>
        <w:tc>
          <w:tcPr>
            <w:tcW w:w="4740" w:type="dxa"/>
            <w:vAlign w:val="bottom"/>
          </w:tcPr>
          <w:p>
            <w:pPr>
              <w:ind w:left="220"/>
              <w:spacing w:after="0"/>
              <w:rPr>
                <w:sz w:val="20"/>
                <w:szCs w:val="20"/>
                <w:color w:val="auto"/>
              </w:rPr>
            </w:pPr>
            <w:r>
              <w:rPr>
                <w:rFonts w:ascii="Arial" w:cs="Arial" w:eastAsia="Arial" w:hAnsi="Arial"/>
                <w:sz w:val="15"/>
                <w:szCs w:val="15"/>
                <w:color w:val="auto"/>
              </w:rPr>
              <w:t>Income tax (benefit) expense from continuing operations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(20,566)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32,780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(17,377)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94,855</w:t>
            </w:r>
          </w:p>
        </w:tc>
        <w:tc>
          <w:tcPr>
            <w:tcW w:w="0" w:type="dxa"/>
            <w:vAlign w:val="bottom"/>
          </w:tcPr>
          <w:p>
            <w:pPr>
              <w:spacing w:after="0"/>
              <w:rPr>
                <w:sz w:val="1"/>
                <w:szCs w:val="1"/>
                <w:color w:val="auto"/>
              </w:rPr>
            </w:pPr>
          </w:p>
        </w:tc>
      </w:tr>
      <w:tr>
        <w:trPr>
          <w:trHeight w:val="207"/>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and amortization</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99,320</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84,802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285,894</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242,927</w:t>
            </w:r>
          </w:p>
        </w:tc>
        <w:tc>
          <w:tcPr>
            <w:tcW w:w="0" w:type="dxa"/>
            <w:vAlign w:val="bottom"/>
          </w:tcPr>
          <w:p>
            <w:pPr>
              <w:spacing w:after="0"/>
              <w:rPr>
                <w:sz w:val="1"/>
                <w:szCs w:val="1"/>
                <w:color w:val="auto"/>
              </w:rPr>
            </w:pPr>
          </w:p>
        </w:tc>
      </w:tr>
      <w:tr>
        <w:trPr>
          <w:trHeight w:val="205"/>
        </w:trPr>
        <w:tc>
          <w:tcPr>
            <w:tcW w:w="4740" w:type="dxa"/>
            <w:vAlign w:val="bottom"/>
          </w:tcPr>
          <w:p>
            <w:pPr>
              <w:ind w:left="220"/>
              <w:spacing w:after="0"/>
              <w:rPr>
                <w:sz w:val="20"/>
                <w:szCs w:val="20"/>
                <w:color w:val="auto"/>
              </w:rPr>
            </w:pPr>
            <w:r>
              <w:rPr>
                <w:rFonts w:ascii="Arial" w:cs="Arial" w:eastAsia="Arial" w:hAnsi="Arial"/>
                <w:sz w:val="15"/>
                <w:szCs w:val="15"/>
                <w:color w:val="auto"/>
              </w:rPr>
              <w:t>Interest expense, net</w:t>
            </w: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55,823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53,803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167,959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145,915</w:t>
            </w:r>
          </w:p>
        </w:tc>
        <w:tc>
          <w:tcPr>
            <w:tcW w:w="0" w:type="dxa"/>
            <w:vAlign w:val="bottom"/>
          </w:tcPr>
          <w:p>
            <w:pPr>
              <w:spacing w:after="0"/>
              <w:rPr>
                <w:sz w:val="1"/>
                <w:szCs w:val="1"/>
                <w:color w:val="auto"/>
              </w:rPr>
            </w:pPr>
          </w:p>
        </w:tc>
      </w:tr>
      <w:tr>
        <w:trPr>
          <w:trHeight w:val="207"/>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Impairment loss on intangible asset</w:t>
            </w:r>
          </w:p>
        </w:tc>
        <w:tc>
          <w:tcPr>
            <w:tcW w:w="36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132,540</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4740" w:type="dxa"/>
            <w:vAlign w:val="bottom"/>
          </w:tcPr>
          <w:p>
            <w:pPr>
              <w:ind w:left="220"/>
              <w:spacing w:after="0" w:line="156" w:lineRule="exact"/>
              <w:rPr>
                <w:sz w:val="20"/>
                <w:szCs w:val="20"/>
                <w:color w:val="auto"/>
              </w:rPr>
            </w:pPr>
            <w:r>
              <w:rPr>
                <w:rFonts w:ascii="Arial" w:cs="Arial" w:eastAsia="Arial" w:hAnsi="Arial"/>
                <w:sz w:val="15"/>
                <w:szCs w:val="15"/>
                <w:color w:val="auto"/>
              </w:rPr>
              <w:t>Restructuring costs, lease impairment expense and other related</w:t>
            </w:r>
          </w:p>
        </w:tc>
        <w:tc>
          <w:tcPr>
            <w:tcW w:w="360" w:type="dxa"/>
            <w:vAlign w:val="bottom"/>
          </w:tcPr>
          <w:p>
            <w:pPr>
              <w:spacing w:after="0"/>
              <w:rPr>
                <w:sz w:val="13"/>
                <w:szCs w:val="13"/>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5"/>
                <w:szCs w:val="15"/>
                <w:color w:val="auto"/>
              </w:rPr>
              <w:t>2,478</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3"/>
                <w:szCs w:val="13"/>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5"/>
                <w:szCs w:val="15"/>
                <w:color w:val="auto"/>
              </w:rPr>
              <w:t>9,407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5"/>
        </w:trPr>
        <w:tc>
          <w:tcPr>
            <w:tcW w:w="4740" w:type="dxa"/>
            <w:vAlign w:val="bottom"/>
          </w:tcPr>
          <w:p>
            <w:pPr>
              <w:ind w:left="220"/>
              <w:spacing w:after="0"/>
              <w:rPr>
                <w:sz w:val="20"/>
                <w:szCs w:val="20"/>
                <w:color w:val="auto"/>
              </w:rPr>
            </w:pPr>
            <w:r>
              <w:rPr>
                <w:rFonts w:ascii="Arial" w:cs="Arial" w:eastAsia="Arial" w:hAnsi="Arial"/>
                <w:sz w:val="15"/>
                <w:szCs w:val="15"/>
                <w:color w:val="auto"/>
              </w:rPr>
              <w:t>charges, net</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(gains) losses, net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6,885</w:t>
            </w:r>
          </w:p>
        </w:tc>
        <w:tc>
          <w:tcPr>
            <w:tcW w:w="0" w:type="dxa"/>
            <w:vAlign w:val="bottom"/>
          </w:tcPr>
          <w:p>
            <w:pPr>
              <w:spacing w:after="0"/>
              <w:rPr>
                <w:sz w:val="1"/>
                <w:szCs w:val="1"/>
                <w:color w:val="auto"/>
              </w:rPr>
            </w:pPr>
          </w:p>
        </w:tc>
      </w:tr>
      <w:tr>
        <w:trPr>
          <w:trHeight w:val="205"/>
        </w:trPr>
        <w:tc>
          <w:tcPr>
            <w:tcW w:w="474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235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275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787</w:t>
            </w:r>
          </w:p>
        </w:tc>
        <w:tc>
          <w:tcPr>
            <w:tcW w:w="0" w:type="dxa"/>
            <w:vAlign w:val="bottom"/>
          </w:tcPr>
          <w:p>
            <w:pPr>
              <w:spacing w:after="0"/>
              <w:rPr>
                <w:sz w:val="1"/>
                <w:szCs w:val="1"/>
                <w:color w:val="auto"/>
              </w:rPr>
            </w:pPr>
          </w:p>
        </w:tc>
      </w:tr>
      <w:tr>
        <w:trPr>
          <w:trHeight w:val="207"/>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costs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1,457</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7,400</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6,900</w:t>
            </w:r>
          </w:p>
        </w:tc>
        <w:tc>
          <w:tcPr>
            <w:tcW w:w="0" w:type="dxa"/>
            <w:vAlign w:val="bottom"/>
          </w:tcPr>
          <w:p>
            <w:pPr>
              <w:spacing w:after="0"/>
              <w:rPr>
                <w:sz w:val="1"/>
                <w:szCs w:val="1"/>
                <w:color w:val="auto"/>
              </w:rPr>
            </w:pPr>
          </w:p>
        </w:tc>
      </w:tr>
      <w:tr>
        <w:trPr>
          <w:trHeight w:val="205"/>
        </w:trPr>
        <w:tc>
          <w:tcPr>
            <w:tcW w:w="474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9,534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8,636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28,247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26,134</w:t>
            </w:r>
          </w:p>
        </w:tc>
        <w:tc>
          <w:tcPr>
            <w:tcW w:w="0" w:type="dxa"/>
            <w:vAlign w:val="bottom"/>
          </w:tcPr>
          <w:p>
            <w:pPr>
              <w:spacing w:after="0"/>
              <w:rPr>
                <w:sz w:val="1"/>
                <w:szCs w:val="1"/>
                <w:color w:val="auto"/>
              </w:rPr>
            </w:pPr>
          </w:p>
        </w:tc>
      </w:tr>
      <w:tr>
        <w:trPr>
          <w:trHeight w:val="207"/>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180,000</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180,000</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7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9,186</w:t>
            </w:r>
          </w:p>
        </w:tc>
        <w:tc>
          <w:tcPr>
            <w:tcW w:w="80" w:type="dxa"/>
            <w:vAlign w:val="bottom"/>
            <w:tcBorders>
              <w:bottom w:val="single" w:sz="8" w:color="DBDBDB"/>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(7,720)</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45,283</w:t>
            </w:r>
          </w:p>
        </w:tc>
        <w:tc>
          <w:tcPr>
            <w:tcW w:w="80" w:type="dxa"/>
            <w:vAlign w:val="bottom"/>
            <w:tcBorders>
              <w:bottom w:val="single" w:sz="8" w:color="DBDBDB"/>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(6,278)</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266,863</w:t>
            </w:r>
          </w:p>
        </w:tc>
        <w:tc>
          <w:tcPr>
            <w:tcW w:w="80" w:type="dxa"/>
            <w:vAlign w:val="bottom"/>
            <w:tcBorders>
              <w:bottom w:val="single" w:sz="8" w:color="DBDBDB"/>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265,480</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778,448</w:t>
            </w:r>
          </w:p>
        </w:tc>
        <w:tc>
          <w:tcPr>
            <w:tcW w:w="80" w:type="dxa"/>
            <w:vAlign w:val="bottom"/>
            <w:tcBorders>
              <w:bottom w:val="single" w:sz="8" w:color="DBDBDB"/>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773,663</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 Margin</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We define Adjusted EBITDA Margin as Adjusted EBITDA divided by revenue. Management believes that the presentation of Adjusted EBITDA Margin provides useful information to investors regarding the performance of our business. The following table provides reconciliations of Adjusted EBITDA Margin: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3060" w:type="dxa"/>
            <w:vAlign w:val="bottom"/>
            <w:gridSpan w:val="5"/>
            <w:shd w:val="clear" w:color="auto" w:fill="1D2758"/>
          </w:tcPr>
          <w:p>
            <w:pPr>
              <w:ind w:left="540"/>
              <w:spacing w:after="0"/>
              <w:rPr>
                <w:sz w:val="20"/>
                <w:szCs w:val="20"/>
                <w:color w:val="auto"/>
              </w:rPr>
            </w:pPr>
            <w:r>
              <w:rPr>
                <w:rFonts w:ascii="Arial" w:cs="Arial" w:eastAsia="Arial" w:hAnsi="Arial"/>
                <w:sz w:val="15"/>
                <w:szCs w:val="15"/>
                <w:b w:val="1"/>
                <w:bCs w:val="1"/>
                <w:color w:val="FFFFFF"/>
              </w:rPr>
              <w:t>Three Months Ended</w:t>
            </w:r>
          </w:p>
        </w:tc>
        <w:tc>
          <w:tcPr>
            <w:tcW w:w="380" w:type="dxa"/>
            <w:vAlign w:val="bottom"/>
            <w:shd w:val="clear" w:color="auto" w:fill="1D2758"/>
          </w:tcPr>
          <w:p>
            <w:pPr>
              <w:spacing w:after="0"/>
              <w:rPr>
                <w:sz w:val="14"/>
                <w:szCs w:val="14"/>
                <w:color w:val="auto"/>
              </w:rPr>
            </w:pPr>
          </w:p>
        </w:tc>
        <w:tc>
          <w:tcPr>
            <w:tcW w:w="2980" w:type="dxa"/>
            <w:vAlign w:val="bottom"/>
            <w:gridSpan w:val="4"/>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446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90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60" w:type="dxa"/>
            <w:vAlign w:val="bottom"/>
            <w:shd w:val="clear" w:color="auto" w:fill="1D2758"/>
          </w:tcPr>
          <w:p>
            <w:pPr>
              <w:spacing w:after="0"/>
              <w:rPr>
                <w:sz w:val="17"/>
                <w:szCs w:val="17"/>
                <w:color w:val="auto"/>
              </w:rPr>
            </w:pPr>
          </w:p>
        </w:tc>
      </w:tr>
      <w:tr>
        <w:trPr>
          <w:trHeight w:val="206"/>
        </w:trPr>
        <w:tc>
          <w:tcPr>
            <w:tcW w:w="44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8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r>
      <w:tr>
        <w:trPr>
          <w:trHeight w:val="206"/>
        </w:trPr>
        <w:tc>
          <w:tcPr>
            <w:tcW w:w="4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 (A)</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266,863</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265,480</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778,448</w:t>
            </w: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773,663</w:t>
            </w:r>
          </w:p>
        </w:tc>
      </w:tr>
      <w:tr>
        <w:trPr>
          <w:trHeight w:val="205"/>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Revenue (B)</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601,432</w:t>
            </w:r>
          </w:p>
        </w:tc>
        <w:tc>
          <w:tcPr>
            <w:tcW w:w="80" w:type="dxa"/>
            <w:vAlign w:val="bottom"/>
            <w:tcBorders>
              <w:bottom w:val="single" w:sz="8" w:color="DBDBDB"/>
            </w:tcBorders>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604,834</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1,793,203</w:t>
            </w:r>
          </w:p>
        </w:tc>
        <w:tc>
          <w:tcPr>
            <w:tcW w:w="80" w:type="dxa"/>
            <w:vAlign w:val="bottom"/>
            <w:tcBorders>
              <w:bottom w:val="single" w:sz="8" w:color="DBDBDB"/>
            </w:tcBorders>
          </w:tcPr>
          <w:p>
            <w:pPr>
              <w:spacing w:after="0"/>
              <w:rPr>
                <w:sz w:val="17"/>
                <w:szCs w:val="17"/>
                <w:color w:val="auto"/>
              </w:rPr>
            </w:pPr>
          </w:p>
        </w:tc>
        <w:tc>
          <w:tcPr>
            <w:tcW w:w="5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1,752,391</w:t>
            </w:r>
          </w:p>
        </w:tc>
      </w:tr>
      <w:tr>
        <w:trPr>
          <w:trHeight w:val="200"/>
        </w:trPr>
        <w:tc>
          <w:tcPr>
            <w:tcW w:w="4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Margin from Continuing Operations (A/B)</w:t>
            </w:r>
          </w:p>
        </w:tc>
        <w:tc>
          <w:tcPr>
            <w:tcW w:w="36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44.4 %</w:t>
            </w:r>
          </w:p>
        </w:tc>
        <w:tc>
          <w:tcPr>
            <w:tcW w:w="80" w:type="dxa"/>
            <w:vAlign w:val="bottom"/>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43.9 %</w:t>
            </w: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43.4 %</w:t>
            </w:r>
          </w:p>
        </w:tc>
        <w:tc>
          <w:tcPr>
            <w:tcW w:w="80" w:type="dxa"/>
            <w:vAlign w:val="bottom"/>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44.1 %</w:t>
            </w:r>
          </w:p>
        </w:tc>
      </w:tr>
      <w:tr>
        <w:trPr>
          <w:trHeight w:val="198"/>
        </w:trPr>
        <w:tc>
          <w:tcPr>
            <w:tcW w:w="4460" w:type="dxa"/>
            <w:vAlign w:val="bottom"/>
          </w:tcPr>
          <w:p>
            <w:pPr>
              <w:ind w:left="20"/>
              <w:spacing w:after="0"/>
              <w:rPr>
                <w:sz w:val="20"/>
                <w:szCs w:val="20"/>
                <w:color w:val="auto"/>
              </w:rPr>
            </w:pPr>
            <w:r>
              <w:rPr>
                <w:rFonts w:ascii="Arial" w:cs="Arial" w:eastAsia="Arial" w:hAnsi="Arial"/>
                <w:sz w:val="15"/>
                <w:szCs w:val="15"/>
                <w:color w:val="auto"/>
              </w:rPr>
              <w:t>Gross profit (C)</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321,484</w:t>
            </w:r>
          </w:p>
        </w:tc>
        <w:tc>
          <w:tcPr>
            <w:tcW w:w="8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103"/>
              <w:spacing w:after="0"/>
              <w:rPr>
                <w:sz w:val="20"/>
                <w:szCs w:val="20"/>
                <w:color w:val="auto"/>
              </w:rPr>
            </w:pPr>
            <w:r>
              <w:rPr>
                <w:rFonts w:ascii="Arial" w:cs="Arial" w:eastAsia="Arial" w:hAnsi="Arial"/>
                <w:sz w:val="15"/>
                <w:szCs w:val="15"/>
                <w:color w:val="auto"/>
              </w:rPr>
              <w:t>339,694</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965,490</w:t>
            </w:r>
          </w:p>
        </w:tc>
        <w:tc>
          <w:tcPr>
            <w:tcW w:w="80" w:type="dxa"/>
            <w:vAlign w:val="bottom"/>
          </w:tcPr>
          <w:p>
            <w:pPr>
              <w:spacing w:after="0"/>
              <w:rPr>
                <w:sz w:val="17"/>
                <w:szCs w:val="17"/>
                <w:color w:val="auto"/>
              </w:rPr>
            </w:pPr>
          </w:p>
        </w:tc>
        <w:tc>
          <w:tcPr>
            <w:tcW w:w="58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990,694</w:t>
            </w:r>
          </w:p>
        </w:tc>
      </w:tr>
      <w:tr>
        <w:trPr>
          <w:trHeight w:val="207"/>
        </w:trPr>
        <w:tc>
          <w:tcPr>
            <w:tcW w:w="4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Gross Profit Margin (C/B)</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53.5 %</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56.2 %</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53.8 %</w:t>
            </w:r>
          </w:p>
        </w:tc>
        <w:tc>
          <w:tcPr>
            <w:tcW w:w="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56.5 %</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Gross Profit and Adjusted Gross Profit Percentage</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define Adjusted Gross Profit as gross profit plus depreciation of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and assists in analyzing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6" w:name="page37"/>
    <w:bookmarkEnd w:id="36"/>
    <w:p>
      <w:pPr>
        <w:ind w:left="620"/>
        <w:spacing w:after="0"/>
        <w:rPr>
          <w:sz w:val="20"/>
          <w:szCs w:val="20"/>
          <w:color w:val="auto"/>
        </w:rPr>
      </w:pPr>
      <w:r>
        <w:rPr>
          <w:rFonts w:ascii="Arial" w:cs="Arial" w:eastAsia="Arial" w:hAnsi="Arial"/>
          <w:sz w:val="15"/>
          <w:szCs w:val="15"/>
          <w:color w:val="auto"/>
        </w:rPr>
        <w:t>The following table provides reconciliations of gross profit to Adjusted Gross Profit and gross profit percentage to Adjusted Gross Profit Percentage: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3020" w:type="dxa"/>
            <w:vAlign w:val="bottom"/>
            <w:gridSpan w:val="4"/>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Three Months Ended</w:t>
            </w:r>
          </w:p>
        </w:tc>
        <w:tc>
          <w:tcPr>
            <w:tcW w:w="420" w:type="dxa"/>
            <w:vAlign w:val="bottom"/>
            <w:shd w:val="clear" w:color="auto" w:fill="1D2758"/>
          </w:tcPr>
          <w:p>
            <w:pPr>
              <w:spacing w:after="0"/>
              <w:rPr>
                <w:sz w:val="14"/>
                <w:szCs w:val="14"/>
                <w:color w:val="auto"/>
              </w:rPr>
            </w:pPr>
          </w:p>
        </w:tc>
        <w:tc>
          <w:tcPr>
            <w:tcW w:w="2980" w:type="dxa"/>
            <w:vAlign w:val="bottom"/>
            <w:gridSpan w:val="3"/>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446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90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12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60" w:type="dxa"/>
            <w:vAlign w:val="bottom"/>
            <w:shd w:val="clear" w:color="auto" w:fill="1D2758"/>
          </w:tcPr>
          <w:p>
            <w:pPr>
              <w:spacing w:after="0"/>
              <w:rPr>
                <w:sz w:val="17"/>
                <w:szCs w:val="17"/>
                <w:color w:val="auto"/>
              </w:rPr>
            </w:pPr>
          </w:p>
        </w:tc>
      </w:tr>
      <w:tr>
        <w:trPr>
          <w:trHeight w:val="206"/>
        </w:trPr>
        <w:tc>
          <w:tcPr>
            <w:tcW w:w="44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2023</w:t>
            </w:r>
          </w:p>
        </w:tc>
        <w:tc>
          <w:tcPr>
            <w:tcW w:w="42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62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r>
      <w:tr>
        <w:trPr>
          <w:trHeight w:val="206"/>
        </w:trPr>
        <w:tc>
          <w:tcPr>
            <w:tcW w:w="4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 (A)</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601,432</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604,834</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1,793,203</w:t>
            </w:r>
          </w:p>
        </w:tc>
        <w:tc>
          <w:tcPr>
            <w:tcW w:w="62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1,752,391</w:t>
            </w:r>
          </w:p>
        </w:tc>
      </w:tr>
      <w:tr>
        <w:trPr>
          <w:trHeight w:val="245"/>
        </w:trPr>
        <w:tc>
          <w:tcPr>
            <w:tcW w:w="4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6"/>
        </w:trPr>
        <w:tc>
          <w:tcPr>
            <w:tcW w:w="4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(B)</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321,484</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339,694</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965,490</w:t>
            </w:r>
          </w:p>
        </w:tc>
        <w:tc>
          <w:tcPr>
            <w:tcW w:w="62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990,694</w:t>
            </w:r>
          </w:p>
        </w:tc>
      </w:tr>
      <w:tr>
        <w:trPr>
          <w:trHeight w:val="205"/>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Depreciation of rental equipment</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76,212</w:t>
            </w:r>
          </w:p>
        </w:tc>
        <w:tc>
          <w:tcPr>
            <w:tcW w:w="80" w:type="dxa"/>
            <w:vAlign w:val="bottom"/>
            <w:tcBorders>
              <w:bottom w:val="single" w:sz="8" w:color="DBDBDB"/>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66,950</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226,731</w:t>
            </w: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190,556</w:t>
            </w:r>
          </w:p>
        </w:tc>
      </w:tr>
      <w:tr>
        <w:trPr>
          <w:trHeight w:val="224"/>
        </w:trPr>
        <w:tc>
          <w:tcPr>
            <w:tcW w:w="44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Adjusted Gross Profit (C)</w:t>
            </w: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397,696</w:t>
            </w:r>
          </w:p>
        </w:tc>
        <w:tc>
          <w:tcPr>
            <w:tcW w:w="80" w:type="dxa"/>
            <w:vAlign w:val="bottom"/>
            <w:tcBorders>
              <w:bottom w:val="single" w:sz="8" w:color="DBDBDB"/>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406,644</w:t>
            </w:r>
          </w:p>
        </w:tc>
        <w:tc>
          <w:tcPr>
            <w:tcW w:w="42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1,192,221</w:t>
            </w:r>
          </w:p>
        </w:tc>
        <w:tc>
          <w:tcPr>
            <w:tcW w:w="620" w:type="dxa"/>
            <w:vAlign w:val="bottom"/>
            <w:tcBorders>
              <w:bottom w:val="single" w:sz="8" w:color="auto"/>
            </w:tcBorders>
            <w:shd w:val="clear" w:color="auto" w:fill="DBDBDB"/>
          </w:tcPr>
          <w:p>
            <w:pPr>
              <w:jc w:val="right"/>
              <w:ind w:right="38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1,181,250</w:t>
            </w:r>
          </w:p>
        </w:tc>
      </w:tr>
      <w:tr>
        <w:trPr>
          <w:trHeight w:val="20"/>
        </w:trPr>
        <w:tc>
          <w:tcPr>
            <w:tcW w:w="44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r>
        <w:trPr>
          <w:trHeight w:val="192"/>
        </w:trPr>
        <w:tc>
          <w:tcPr>
            <w:tcW w:w="4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6"/>
        </w:trPr>
        <w:tc>
          <w:tcPr>
            <w:tcW w:w="4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Percentage (B/A)</w:t>
            </w:r>
          </w:p>
        </w:tc>
        <w:tc>
          <w:tcPr>
            <w:tcW w:w="3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53.5 %</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56.2 %</w:t>
            </w:r>
          </w:p>
        </w:tc>
        <w:tc>
          <w:tcPr>
            <w:tcW w:w="4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53.8 %</w:t>
            </w:r>
          </w:p>
        </w:tc>
        <w:tc>
          <w:tcPr>
            <w:tcW w:w="6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56.5 %</w:t>
            </w:r>
          </w:p>
        </w:tc>
      </w:tr>
      <w:tr>
        <w:trPr>
          <w:trHeight w:val="205"/>
        </w:trPr>
        <w:tc>
          <w:tcPr>
            <w:tcW w:w="4460" w:type="dxa"/>
            <w:vAlign w:val="bottom"/>
          </w:tcPr>
          <w:p>
            <w:pPr>
              <w:ind w:left="20"/>
              <w:spacing w:after="0"/>
              <w:rPr>
                <w:sz w:val="20"/>
                <w:szCs w:val="20"/>
                <w:color w:val="auto"/>
              </w:rPr>
            </w:pPr>
            <w:r>
              <w:rPr>
                <w:rFonts w:ascii="Arial" w:cs="Arial" w:eastAsia="Arial" w:hAnsi="Arial"/>
                <w:sz w:val="15"/>
                <w:szCs w:val="15"/>
                <w:color w:val="auto"/>
              </w:rPr>
              <w:t>Adjusted Gross Profit Percentage (C/A)</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66.1 %</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67.2 %</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66.5 %</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67.4 %</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As presented below, Net CAPEX includes amounts for the former UK Storage Solutions segment through January 31, 2023.</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provides reconciliations of Net CAPEX:</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shd w:val="clear" w:color="auto" w:fill="1D2758"/>
          </w:tcPr>
          <w:p>
            <w:pPr>
              <w:spacing w:after="0"/>
              <w:rPr>
                <w:sz w:val="14"/>
                <w:szCs w:val="14"/>
                <w:color w:val="auto"/>
              </w:rPr>
            </w:pPr>
          </w:p>
        </w:tc>
        <w:tc>
          <w:tcPr>
            <w:tcW w:w="2600" w:type="dxa"/>
            <w:vAlign w:val="bottom"/>
            <w:gridSpan w:val="4"/>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Three Months Ended</w:t>
            </w:r>
          </w:p>
        </w:tc>
        <w:tc>
          <w:tcPr>
            <w:tcW w:w="60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840" w:type="dxa"/>
            <w:vAlign w:val="bottom"/>
            <w:gridSpan w:val="3"/>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474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1660" w:type="dxa"/>
            <w:vAlign w:val="bottom"/>
            <w:gridSpan w:val="3"/>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September 30,</w:t>
            </w:r>
          </w:p>
        </w:tc>
        <w:tc>
          <w:tcPr>
            <w:tcW w:w="6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2"/>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6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9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6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2024</w:t>
            </w:r>
          </w:p>
        </w:tc>
        <w:tc>
          <w:tcPr>
            <w:tcW w:w="60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940" w:type="dxa"/>
            <w:vAlign w:val="bottom"/>
            <w:shd w:val="clear" w:color="auto" w:fill="DBDBDB"/>
          </w:tcPr>
          <w:p>
            <w:pPr>
              <w:jc w:val="right"/>
              <w:ind w:right="76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(69,398)</w:t>
            </w:r>
          </w:p>
        </w:tc>
        <w:tc>
          <w:tcPr>
            <w:tcW w:w="8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(63,388)</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(206,989)</w:t>
            </w:r>
          </w:p>
        </w:tc>
        <w:tc>
          <w:tcPr>
            <w:tcW w:w="60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(166,097)</w:t>
            </w:r>
          </w:p>
        </w:tc>
      </w:tr>
      <w:tr>
        <w:trPr>
          <w:trHeight w:val="205"/>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Proceeds from sale of rental equipment</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13,238</w:t>
            </w:r>
          </w:p>
        </w:tc>
        <w:tc>
          <w:tcPr>
            <w:tcW w:w="80" w:type="dxa"/>
            <w:vAlign w:val="bottom"/>
            <w:tcBorders>
              <w:bottom w:val="single" w:sz="8" w:color="DBDBDB"/>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12,720</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43,906</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37,974</w:t>
            </w:r>
          </w:p>
        </w:tc>
      </w:tr>
      <w:tr>
        <w:trPr>
          <w:trHeight w:val="200"/>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94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(56,160)</w:t>
            </w:r>
          </w:p>
        </w:tc>
        <w:tc>
          <w:tcPr>
            <w:tcW w:w="8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(50,668)</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(163,083)</w:t>
            </w:r>
          </w:p>
        </w:tc>
        <w:tc>
          <w:tcPr>
            <w:tcW w:w="6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(128,123)</w:t>
            </w:r>
          </w:p>
        </w:tc>
      </w:tr>
      <w:tr>
        <w:trPr>
          <w:trHeight w:val="205"/>
        </w:trPr>
        <w:tc>
          <w:tcPr>
            <w:tcW w:w="47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(3,318)</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(5,563)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(16,119)</w:t>
            </w: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(16,752)</w:t>
            </w:r>
          </w:p>
        </w:tc>
      </w:tr>
      <w:tr>
        <w:trPr>
          <w:trHeight w:val="207"/>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94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918</w:t>
            </w:r>
          </w:p>
        </w:tc>
        <w:tc>
          <w:tcPr>
            <w:tcW w:w="80" w:type="dxa"/>
            <w:vAlign w:val="bottom"/>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13,001</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1,133</w:t>
            </w:r>
          </w:p>
        </w:tc>
        <w:tc>
          <w:tcPr>
            <w:tcW w:w="6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13,266</w:t>
            </w:r>
          </w:p>
        </w:tc>
      </w:tr>
      <w:tr>
        <w:trPr>
          <w:trHeight w:val="198"/>
        </w:trPr>
        <w:tc>
          <w:tcPr>
            <w:tcW w:w="474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(58,560)</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(43,230)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(178,069)</w:t>
            </w:r>
          </w:p>
        </w:tc>
        <w:tc>
          <w:tcPr>
            <w:tcW w:w="6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(131,609)</w:t>
            </w:r>
          </w:p>
        </w:tc>
      </w:tr>
      <w:tr>
        <w:trPr>
          <w:trHeight w:val="20"/>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WillScot is a holding company that derives its operating cash flow from its operating subsidiaries. Our principal sources of liquidity include cash flows generated from operating activities of our subsidiaries, borrowings under our ABL Facility, and sales of debt securities. We have consistently accessed the debt capital markets both opportunistically and as necessary to support the growth of our business, desired leverage levels, and other capital allocation priorities. We believe we have ample liquidity in the ABL Facility and are generating substantial free cash flow, which together support both organic operations and other capital allocation priorities as they arise. We believe that our liquidity sources are sufficient to satisfy our anticipated operating, debt service and capital cash requirements over the next twelve months and thereafter for the foreseeable future.</w:t>
      </w:r>
    </w:p>
    <w:p>
      <w:pPr>
        <w:spacing w:after="0" w:line="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7" w:name="page38"/>
    <w:bookmarkEnd w:id="37"/>
    <w:p>
      <w:pPr>
        <w:jc w:val="both"/>
        <w:ind w:firstLine="619"/>
        <w:spacing w:after="0" w:line="271" w:lineRule="auto"/>
        <w:rPr>
          <w:sz w:val="20"/>
          <w:szCs w:val="20"/>
          <w:color w:val="auto"/>
        </w:rPr>
      </w:pPr>
      <w:r>
        <w:rPr>
          <w:rFonts w:ascii="Arial" w:cs="Arial" w:eastAsia="Arial" w:hAnsi="Arial"/>
          <w:sz w:val="15"/>
          <w:szCs w:val="15"/>
          <w:color w:val="auto"/>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and together with the US Facility, the “ABL Facility”). Borrowing availability under the ABL Facility is equal to the lesser of $3.7 billion and the applicable borrowing bases. The borrowing bases are a function of, among other things, the value of the assets in the relevant collateral pool, of which our rental equipment represents the largest component. At September 30, 2024, we had $1.7 billion of available borrowing capacity under the ABL Facility.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Comparison of the Nine Months Ended September 30, 2024 and 2023</w:t>
      </w:r>
    </w:p>
    <w:p>
      <w:pPr>
        <w:spacing w:after="0" w:line="12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consolidated statements of cash flows include amounts for the former UK Storage Solutions segment through January 31, 2023. See Note 3 to the financial statements for disclosure of significant investing items related to the former UK Storage Solutions segment.</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summarizes our change in cash and cash equivalents for the periods presented: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60" w:type="dxa"/>
            <w:vAlign w:val="bottom"/>
            <w:shd w:val="clear" w:color="auto" w:fill="1D2758"/>
          </w:tcPr>
          <w:p>
            <w:pPr>
              <w:spacing w:after="0"/>
              <w:rPr>
                <w:sz w:val="14"/>
                <w:szCs w:val="14"/>
                <w:color w:val="auto"/>
              </w:rPr>
            </w:pPr>
          </w:p>
        </w:tc>
        <w:tc>
          <w:tcPr>
            <w:tcW w:w="460" w:type="dxa"/>
            <w:vAlign w:val="bottom"/>
            <w:shd w:val="clear" w:color="auto" w:fill="1D2758"/>
          </w:tcPr>
          <w:p>
            <w:pPr>
              <w:spacing w:after="0"/>
              <w:rPr>
                <w:sz w:val="14"/>
                <w:szCs w:val="14"/>
                <w:color w:val="auto"/>
              </w:rPr>
            </w:pPr>
          </w:p>
        </w:tc>
        <w:tc>
          <w:tcPr>
            <w:tcW w:w="236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12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60" w:type="dxa"/>
            <w:vAlign w:val="bottom"/>
            <w:shd w:val="clear" w:color="auto" w:fill="1D2758"/>
          </w:tcPr>
          <w:p>
            <w:pPr>
              <w:spacing w:after="0"/>
              <w:rPr>
                <w:sz w:val="17"/>
                <w:szCs w:val="17"/>
                <w:color w:val="auto"/>
              </w:rPr>
            </w:pPr>
          </w:p>
        </w:tc>
        <w:tc>
          <w:tcPr>
            <w:tcW w:w="2360" w:type="dxa"/>
            <w:vAlign w:val="bottom"/>
            <w:gridSpan w:val="3"/>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September 30,</w:t>
            </w:r>
          </w:p>
        </w:tc>
        <w:tc>
          <w:tcPr>
            <w:tcW w:w="12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vMerge w:val="continue"/>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52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8"/>
                <w:szCs w:val="18"/>
                <w:color w:val="auto"/>
              </w:rPr>
            </w:pPr>
          </w:p>
        </w:tc>
        <w:tc>
          <w:tcPr>
            <w:tcW w:w="740" w:type="dxa"/>
            <w:vAlign w:val="bottom"/>
            <w:shd w:val="clear" w:color="auto" w:fill="1D2758"/>
          </w:tcPr>
          <w:p>
            <w:pPr>
              <w:spacing w:after="0"/>
              <w:rPr>
                <w:sz w:val="18"/>
                <w:szCs w:val="18"/>
                <w:color w:val="auto"/>
              </w:rPr>
            </w:pPr>
          </w:p>
        </w:tc>
        <w:tc>
          <w:tcPr>
            <w:tcW w:w="124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84"/>
        </w:trPr>
        <w:tc>
          <w:tcPr>
            <w:tcW w:w="7160" w:type="dxa"/>
            <w:vAlign w:val="bottom"/>
            <w:shd w:val="clear" w:color="auto" w:fill="1D2758"/>
          </w:tcPr>
          <w:p>
            <w:pPr>
              <w:spacing w:after="0"/>
              <w:rPr>
                <w:sz w:val="7"/>
                <w:szCs w:val="7"/>
                <w:color w:val="auto"/>
              </w:rPr>
            </w:pPr>
          </w:p>
        </w:tc>
        <w:tc>
          <w:tcPr>
            <w:tcW w:w="460" w:type="dxa"/>
            <w:vAlign w:val="bottom"/>
            <w:shd w:val="clear" w:color="auto" w:fill="1D2758"/>
          </w:tcPr>
          <w:p>
            <w:pPr>
              <w:spacing w:after="0"/>
              <w:rPr>
                <w:sz w:val="7"/>
                <w:szCs w:val="7"/>
                <w:color w:val="auto"/>
              </w:rPr>
            </w:pPr>
          </w:p>
        </w:tc>
        <w:tc>
          <w:tcPr>
            <w:tcW w:w="152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740" w:type="dxa"/>
            <w:vAlign w:val="bottom"/>
            <w:shd w:val="clear" w:color="auto" w:fill="1D2758"/>
          </w:tcPr>
          <w:p>
            <w:pPr>
              <w:spacing w:after="0"/>
              <w:rPr>
                <w:sz w:val="7"/>
                <w:szCs w:val="7"/>
                <w:color w:val="auto"/>
              </w:rPr>
            </w:pPr>
          </w:p>
        </w:tc>
        <w:tc>
          <w:tcPr>
            <w:tcW w:w="124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7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382,725</w:t>
            </w:r>
          </w:p>
        </w:tc>
        <w:tc>
          <w:tcPr>
            <w:tcW w:w="100" w:type="dxa"/>
            <w:vAlign w:val="bottom"/>
            <w:shd w:val="clear" w:color="auto" w:fill="DBDBDB"/>
          </w:tcPr>
          <w:p>
            <w:pPr>
              <w:spacing w:after="0"/>
              <w:rPr>
                <w:sz w:val="17"/>
                <w:szCs w:val="17"/>
                <w:color w:val="auto"/>
              </w:rPr>
            </w:pPr>
          </w:p>
        </w:tc>
        <w:tc>
          <w:tcPr>
            <w:tcW w:w="740" w:type="dxa"/>
            <w:vAlign w:val="bottom"/>
            <w:shd w:val="clear" w:color="auto" w:fill="DBDBDB"/>
          </w:tcPr>
          <w:p>
            <w:pPr>
              <w:jc w:val="right"/>
              <w:ind w:right="56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541,918</w:t>
            </w:r>
          </w:p>
        </w:tc>
        <w:tc>
          <w:tcPr>
            <w:tcW w:w="0" w:type="dxa"/>
            <w:vAlign w:val="bottom"/>
          </w:tcPr>
          <w:p>
            <w:pPr>
              <w:spacing w:after="0"/>
              <w:rPr>
                <w:sz w:val="1"/>
                <w:szCs w:val="1"/>
                <w:color w:val="auto"/>
              </w:rPr>
            </w:pPr>
          </w:p>
        </w:tc>
      </w:tr>
      <w:tr>
        <w:trPr>
          <w:trHeight w:val="205"/>
        </w:trPr>
        <w:tc>
          <w:tcPr>
            <w:tcW w:w="71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(268,668)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(217,522)</w:t>
            </w:r>
          </w:p>
        </w:tc>
        <w:tc>
          <w:tcPr>
            <w:tcW w:w="0" w:type="dxa"/>
            <w:vAlign w:val="bottom"/>
          </w:tcPr>
          <w:p>
            <w:pPr>
              <w:spacing w:after="0"/>
              <w:rPr>
                <w:sz w:val="1"/>
                <w:szCs w:val="1"/>
                <w:color w:val="auto"/>
              </w:rPr>
            </w:pPr>
          </w:p>
        </w:tc>
      </w:tr>
      <w:tr>
        <w:trPr>
          <w:trHeight w:val="207"/>
        </w:trPr>
        <w:tc>
          <w:tcPr>
            <w:tcW w:w="7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used in financing activities</w:t>
            </w:r>
          </w:p>
        </w:tc>
        <w:tc>
          <w:tcPr>
            <w:tcW w:w="46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(113,234)</w:t>
            </w:r>
          </w:p>
        </w:tc>
        <w:tc>
          <w:tcPr>
            <w:tcW w:w="10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(337,082)</w:t>
            </w:r>
          </w:p>
        </w:tc>
        <w:tc>
          <w:tcPr>
            <w:tcW w:w="0" w:type="dxa"/>
            <w:vAlign w:val="bottom"/>
          </w:tcPr>
          <w:p>
            <w:pPr>
              <w:spacing w:after="0"/>
              <w:rPr>
                <w:sz w:val="1"/>
                <w:szCs w:val="1"/>
                <w:color w:val="auto"/>
              </w:rPr>
            </w:pPr>
          </w:p>
        </w:tc>
      </w:tr>
      <w:tr>
        <w:trPr>
          <w:trHeight w:val="205"/>
        </w:trPr>
        <w:tc>
          <w:tcPr>
            <w:tcW w:w="716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46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(735)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701</w:t>
            </w:r>
          </w:p>
        </w:tc>
        <w:tc>
          <w:tcPr>
            <w:tcW w:w="0" w:type="dxa"/>
            <w:vAlign w:val="bottom"/>
          </w:tcPr>
          <w:p>
            <w:pPr>
              <w:spacing w:after="0"/>
              <w:rPr>
                <w:sz w:val="1"/>
                <w:szCs w:val="1"/>
                <w:color w:val="auto"/>
              </w:rPr>
            </w:pPr>
          </w:p>
        </w:tc>
      </w:tr>
      <w:tr>
        <w:trPr>
          <w:trHeight w:val="91"/>
        </w:trPr>
        <w:tc>
          <w:tcPr>
            <w:tcW w:w="7160" w:type="dxa"/>
            <w:vAlign w:val="bottom"/>
            <w:tcBorders>
              <w:bottom w:val="single" w:sz="8" w:color="DBDBDB"/>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DBDBDB"/>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7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460" w:type="dxa"/>
            <w:vAlign w:val="bottom"/>
            <w:vMerge w:val="restart"/>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88</w:t>
            </w:r>
          </w:p>
        </w:tc>
        <w:tc>
          <w:tcPr>
            <w:tcW w:w="100" w:type="dxa"/>
            <w:vAlign w:val="bottom"/>
            <w:shd w:val="clear" w:color="auto" w:fill="DBDBDB"/>
          </w:tcPr>
          <w:p>
            <w:pPr>
              <w:spacing w:after="0"/>
              <w:rPr>
                <w:sz w:val="16"/>
                <w:szCs w:val="16"/>
                <w:color w:val="auto"/>
              </w:rPr>
            </w:pPr>
          </w:p>
        </w:tc>
        <w:tc>
          <w:tcPr>
            <w:tcW w:w="740" w:type="dxa"/>
            <w:vAlign w:val="bottom"/>
            <w:vMerge w:val="restart"/>
            <w:shd w:val="clear" w:color="auto" w:fill="DBDBDB"/>
          </w:tcPr>
          <w:p>
            <w:pPr>
              <w:jc w:val="right"/>
              <w:ind w:right="563"/>
              <w:spacing w:after="0"/>
              <w:rPr>
                <w:sz w:val="20"/>
                <w:szCs w:val="20"/>
                <w:color w:val="auto"/>
              </w:rPr>
            </w:pPr>
            <w:r>
              <w:rPr>
                <w:rFonts w:ascii="Arial" w:cs="Arial" w:eastAsia="Arial" w:hAnsi="Arial"/>
                <w:sz w:val="15"/>
                <w:szCs w:val="15"/>
                <w:color w:val="auto"/>
                <w:w w:val="95"/>
              </w:rPr>
              <w:t>$</w:t>
            </w: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(11,985)</w:t>
            </w:r>
          </w:p>
        </w:tc>
        <w:tc>
          <w:tcPr>
            <w:tcW w:w="0" w:type="dxa"/>
            <w:vAlign w:val="bottom"/>
          </w:tcPr>
          <w:p>
            <w:pPr>
              <w:spacing w:after="0"/>
              <w:rPr>
                <w:sz w:val="1"/>
                <w:szCs w:val="1"/>
                <w:color w:val="auto"/>
              </w:rPr>
            </w:pPr>
          </w:p>
        </w:tc>
      </w:tr>
      <w:tr>
        <w:trPr>
          <w:trHeight w:val="85"/>
        </w:trPr>
        <w:tc>
          <w:tcPr>
            <w:tcW w:w="7160" w:type="dxa"/>
            <w:vAlign w:val="bottom"/>
            <w:tcBorders>
              <w:bottom w:val="single" w:sz="8" w:color="DBDBDB"/>
            </w:tcBorders>
            <w:shd w:val="clear" w:color="auto" w:fill="DBDBDB"/>
          </w:tcPr>
          <w:p>
            <w:pPr>
              <w:spacing w:after="0"/>
              <w:rPr>
                <w:sz w:val="7"/>
                <w:szCs w:val="7"/>
                <w:color w:val="auto"/>
              </w:rPr>
            </w:pPr>
          </w:p>
        </w:tc>
        <w:tc>
          <w:tcPr>
            <w:tcW w:w="460" w:type="dxa"/>
            <w:vAlign w:val="bottom"/>
            <w:tcBorders>
              <w:bottom w:val="single" w:sz="8" w:color="auto"/>
            </w:tcBorders>
            <w:vMerge w:val="continue"/>
            <w:shd w:val="clear" w:color="auto" w:fill="DBDBDB"/>
          </w:tcPr>
          <w:p>
            <w:pPr>
              <w:spacing w:after="0"/>
              <w:rPr>
                <w:sz w:val="7"/>
                <w:szCs w:val="7"/>
                <w:color w:val="auto"/>
              </w:rPr>
            </w:pPr>
          </w:p>
        </w:tc>
        <w:tc>
          <w:tcPr>
            <w:tcW w:w="1520" w:type="dxa"/>
            <w:vAlign w:val="bottom"/>
            <w:tcBorders>
              <w:bottom w:val="single" w:sz="8" w:color="auto"/>
            </w:tcBorders>
            <w:vMerge w:val="continue"/>
            <w:shd w:val="clear" w:color="auto" w:fill="DBDBDB"/>
          </w:tcPr>
          <w:p>
            <w:pPr>
              <w:spacing w:after="0"/>
              <w:rPr>
                <w:sz w:val="7"/>
                <w:szCs w:val="7"/>
                <w:color w:val="auto"/>
              </w:rPr>
            </w:pPr>
          </w:p>
        </w:tc>
        <w:tc>
          <w:tcPr>
            <w:tcW w:w="100" w:type="dxa"/>
            <w:vAlign w:val="bottom"/>
            <w:tcBorders>
              <w:bottom w:val="single" w:sz="8" w:color="DBDBDB"/>
            </w:tcBorders>
            <w:shd w:val="clear" w:color="auto" w:fill="DBDBDB"/>
          </w:tcPr>
          <w:p>
            <w:pPr>
              <w:spacing w:after="0"/>
              <w:rPr>
                <w:sz w:val="7"/>
                <w:szCs w:val="7"/>
                <w:color w:val="auto"/>
              </w:rPr>
            </w:pPr>
          </w:p>
        </w:tc>
        <w:tc>
          <w:tcPr>
            <w:tcW w:w="740" w:type="dxa"/>
            <w:vAlign w:val="bottom"/>
            <w:tcBorders>
              <w:bottom w:val="single" w:sz="8" w:color="auto"/>
            </w:tcBorders>
            <w:vMerge w:val="continue"/>
            <w:shd w:val="clear" w:color="auto" w:fill="DBDBDB"/>
          </w:tcPr>
          <w:p>
            <w:pPr>
              <w:spacing w:after="0"/>
              <w:rPr>
                <w:sz w:val="7"/>
                <w:szCs w:val="7"/>
                <w:color w:val="auto"/>
              </w:rPr>
            </w:pPr>
          </w:p>
        </w:tc>
        <w:tc>
          <w:tcPr>
            <w:tcW w:w="1240" w:type="dxa"/>
            <w:vAlign w:val="bottom"/>
            <w:tcBorders>
              <w:bottom w:val="single" w:sz="8" w:color="auto"/>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from Operating Activities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provided by operating activities for the nine months ended September 30, 2024 was $382.7 million as compared to $541.9 million for the nine months ended September 30, 2023, a decrease of $159.2 million. The decrease in net cash provided by operating activities was primarily due to the payment of $212.5 million for the McGrath termination fee and transaction costs from terminated acquisitions during the nine months ended September 30, 2024.</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from Investing Activities</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Net cash used in investing activities for the nine months ended September 30, 2024 was $268.7 million as compared to $217.5 million for the nine months ended September 30, 2023, a $51.1 million increase in net cash used in investing activities. The increase in net cash used in investing activities resulted from $404.0 million in proceeds from the sale of the former UK Storage Solutions in the nine months ended September 30, 2023 and a $40.9 million increase in refurbishment spending and new fleet purchases, including additional investment in climate-controlled containers and refrigerated storage units, during the nine months ended September 30, 2024.</w:t>
      </w:r>
    </w:p>
    <w:p>
      <w:pPr>
        <w:spacing w:after="0" w:line="2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increase in net cash used in investing activities was partially offset by a $397.7 million decrease in cash used in acquisitions, net of cash acquired, a $5.9 million increase in proceeds from the sale of rental equipment and a $7.7 million decrease in cash used for the settlement of a contingent foreign currency forward contract upon the closing of the sale of the former UK Storage Solutions segment in January 2023.</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from Financing Activities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Net cash used in financing activities for the nine months ended September 30, 2024 was $113.2 million as compared to $337.1 million for the nine months ended September 30, 2023, a decrease of $223.8 million. The decrease was primarily due to a $547.8 million decrease in cash used for the repurchase of common stock in the nine months ended September 30, 2024. We paused share repurchases in the fourth quarter of 2023 as acquisition discussions advanced with McGrath and resumed repurchasing shares of our Common Stock in April 2024.</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decrease was partially offset by a $319.0 million increase in repayments of borrowings, net of receipts from borrowings.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Free Cash Flow and Adjusted Free Cash Flow</w:t>
      </w:r>
    </w:p>
    <w:p>
      <w:pPr>
        <w:spacing w:after="0" w:line="12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Free Cash Flow and Adjusted Free Cash Flow are non-GAAP measures. We define Free Cash Flow as net cash provided by operating activities, less purchases of, and proceeds from, rental equipment and refurbishments and property, plant and equipment, which are all included in cash flows from investing activities. We define Adjusted Free Cash Flow as Free Cash Flow excluding one-time, nonrecurring payments for the McGrath termination fee and transaction costs from terminated acquisitions. Management believes that the presentation of Free Cash Flow and Adjusted Free Cash Flow provides useful additional information concerning cash flow available to fund our capital allocation alternatives.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8" w:name="page39"/>
    <w:bookmarkEnd w:id="38"/>
    <w:p>
      <w:pPr>
        <w:ind w:left="620"/>
        <w:spacing w:after="0"/>
        <w:rPr>
          <w:sz w:val="20"/>
          <w:szCs w:val="20"/>
          <w:color w:val="auto"/>
        </w:rPr>
      </w:pPr>
      <w:r>
        <w:rPr>
          <w:rFonts w:ascii="Arial" w:cs="Arial" w:eastAsia="Arial" w:hAnsi="Arial"/>
          <w:sz w:val="15"/>
          <w:szCs w:val="15"/>
          <w:color w:val="auto"/>
        </w:rPr>
        <w:t>The following table provides a reconciliation of net cash (used in) provided by operating activities to Free Cash Flow.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4"/>
                <w:szCs w:val="14"/>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(used in) provided by operating activities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(1,562)</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190,998</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382,725</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541,918</w:t>
            </w:r>
          </w:p>
        </w:tc>
      </w:tr>
      <w:tr>
        <w:trPr>
          <w:trHeight w:val="205"/>
        </w:trPr>
        <w:tc>
          <w:tcPr>
            <w:tcW w:w="474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(69,398)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(63,388)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(206,989)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(166,097)</w:t>
            </w:r>
          </w:p>
        </w:tc>
      </w:tr>
      <w:tr>
        <w:trPr>
          <w:trHeight w:val="207"/>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13,238</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12,720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43,906</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37,974</w:t>
            </w:r>
          </w:p>
        </w:tc>
      </w:tr>
      <w:tr>
        <w:trPr>
          <w:trHeight w:val="205"/>
        </w:trPr>
        <w:tc>
          <w:tcPr>
            <w:tcW w:w="47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(3,318)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(5,563)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(16,119)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(16,752)</w:t>
            </w:r>
          </w:p>
        </w:tc>
      </w:tr>
      <w:tr>
        <w:trPr>
          <w:trHeight w:val="207"/>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918</w:t>
            </w:r>
          </w:p>
        </w:tc>
        <w:tc>
          <w:tcPr>
            <w:tcW w:w="8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13,001</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1,133</w:t>
            </w:r>
          </w:p>
        </w:tc>
        <w:tc>
          <w:tcPr>
            <w:tcW w:w="8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13,266</w:t>
            </w:r>
          </w:p>
        </w:tc>
      </w:tr>
      <w:tr>
        <w:trPr>
          <w:trHeight w:val="198"/>
        </w:trPr>
        <w:tc>
          <w:tcPr>
            <w:tcW w:w="4740" w:type="dxa"/>
            <w:vAlign w:val="bottom"/>
          </w:tcPr>
          <w:p>
            <w:pPr>
              <w:ind w:left="220"/>
              <w:spacing w:after="0"/>
              <w:rPr>
                <w:sz w:val="20"/>
                <w:szCs w:val="20"/>
                <w:color w:val="auto"/>
              </w:rPr>
            </w:pPr>
            <w:r>
              <w:rPr>
                <w:rFonts w:ascii="Arial" w:cs="Arial" w:eastAsia="Arial" w:hAnsi="Arial"/>
                <w:sz w:val="15"/>
                <w:szCs w:val="15"/>
                <w:color w:val="auto"/>
              </w:rPr>
              <w:t>Free Cash Flow</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(60,122)</w:t>
            </w:r>
          </w:p>
        </w:tc>
        <w:tc>
          <w:tcPr>
            <w:tcW w:w="8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147,768</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204,656</w:t>
            </w:r>
          </w:p>
        </w:tc>
        <w:tc>
          <w:tcPr>
            <w:tcW w:w="8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410,309</w:t>
            </w:r>
          </w:p>
        </w:tc>
      </w:tr>
      <w:tr>
        <w:trPr>
          <w:trHeight w:val="207"/>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termination fee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180,000</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180,000</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740" w:type="dxa"/>
            <w:vAlign w:val="bottom"/>
          </w:tcPr>
          <w:p>
            <w:pPr>
              <w:ind w:left="20"/>
              <w:spacing w:after="0"/>
              <w:rPr>
                <w:sz w:val="20"/>
                <w:szCs w:val="20"/>
                <w:color w:val="auto"/>
              </w:rPr>
            </w:pPr>
            <w:r>
              <w:rPr>
                <w:rFonts w:ascii="Arial" w:cs="Arial" w:eastAsia="Arial" w:hAnsi="Arial"/>
                <w:sz w:val="15"/>
                <w:szCs w:val="15"/>
                <w:color w:val="auto"/>
              </w:rPr>
              <w:t>Cash paid for transaction costs from terminated acquisitions</w:t>
            </w: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23,266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32,451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4740" w:type="dxa"/>
            <w:vAlign w:val="bottom"/>
            <w:tcBorders>
              <w:top w:val="single" w:sz="8" w:color="DBDBDB"/>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Adjusted Free Cash Flow</w:t>
            </w: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143,144</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560" w:type="dxa"/>
            <w:vAlign w:val="bottom"/>
            <w:tcBorders>
              <w:top w:val="single" w:sz="8" w:color="auto"/>
              <w:bottom w:val="single" w:sz="8" w:color="auto"/>
            </w:tcBorders>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147,768</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417,107</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560" w:type="dxa"/>
            <w:vAlign w:val="bottom"/>
            <w:tcBorders>
              <w:top w:val="single" w:sz="8" w:color="auto"/>
              <w:bottom w:val="single" w:sz="8" w:color="auto"/>
            </w:tcBorders>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410,309</w:t>
            </w: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Free Cash Flow for the nine months ended September 30, 2024 was $204.7 million as compared to $410.3 million for the nine months ended September 30, 2023, a decrease of $205.7 million. Free Cash Flow decreased principally as a result of the $159.2 million decrease in cash provided by operating activities, a $40.9 million increase in cash used in the purchase of rental equipment and refurbishments, and a $12.1 million decrease in proceeds from the sale of property, plant, and equipment. The $159.2 million decrease in cash provided by operating activities was driven by $212.5 million of cash paid for the McGrath termination fee and transaction costs from terminated acquisitions. The $205.7 million decrease in Free Cash Flow was partially offset by a $5.9 million increase in proceeds from the sale of rental equipment. Adjusted Free Cash for the nine months ended September 30, 2024 was $417.1 million as compared to $410.3 million for the nine months ended September 30, 2023, an increase of $6.8 million.</w:t>
      </w:r>
    </w:p>
    <w:p>
      <w:pPr>
        <w:spacing w:after="0" w:line="2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$382.7 million in cash provided by operating activities for the nine months ended September 30, 2024 was returned to shareholders through repurchases and cancellations of common stock of $130.3 million and reinvested into the business to support the purchase of rental equipment, including VAPS, and refurbishments, acquire three local storage and modular companies and one national provider of premium large clearspan structures for $84.5 million, and fund repayment of borrowings under our ABL Facility.</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cash requirements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Debt</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has outstanding debt related to its ABL Facility, 2025 Secured Notes, 2028 Secured Notes, 2029 Secured Notes, 2031 Secured Notes, and finance leases totaling $3.6 billion as of September 30, 2024, $547.6 million of which is obligated to be repaid within the next twelve months. We have the intent and believe we have the ability to refinance the $526.5 million carrying value of the 2025 Secured Notes on a long-term basis as demonstrated by the forecasted available capacity under the ABL Facility, among other refinancing alternatives to be considered opportunistically. Refer to Note 9 for further information regarding outstanding debt.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leases</w:t>
      </w:r>
    </w:p>
    <w:p>
      <w:pPr>
        <w:spacing w:after="0" w:line="6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real estate. As of September 30, 2024, the Company had lease obligations of $300.8 million, with $71.5 million payable within the next twelve months.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w:t>
      </w:r>
    </w:p>
    <w:p>
      <w:pPr>
        <w:spacing w:after="0" w:line="7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In addition to the cash requirements described above, the Company has a share repurchase program authorized by the Board of Directors, which allows the Company to repurchase up to $1.0 billion of outstanding shares of Common Stock. This program does not obligate the Company to repurchase any specific amount of shares. As of September 30, 2024, $951.9 million of the approved share repurchase amount remained available.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1D2758"/>
        </w:rPr>
        <w:t>Critical Accounting Estimates</w:t>
      </w:r>
    </w:p>
    <w:p>
      <w:pPr>
        <w:spacing w:after="0" w:line="12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For a complete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9" w:name="page40"/>
    <w:bookmarkEnd w:id="39"/>
    <w:p>
      <w:pPr>
        <w:jc w:val="both"/>
        <w:spacing w:after="0" w:line="294" w:lineRule="auto"/>
        <w:rPr>
          <w:sz w:val="20"/>
          <w:szCs w:val="20"/>
          <w:color w:val="auto"/>
        </w:rPr>
      </w:pPr>
      <w:r>
        <w:rPr>
          <w:rFonts w:ascii="Arial" w:cs="Arial" w:eastAsia="Arial" w:hAnsi="Arial"/>
          <w:sz w:val="15"/>
          <w:szCs w:val="15"/>
          <w:color w:val="auto"/>
        </w:rPr>
        <w:t>discussion of our significant critical accounting estimates, see the “Critical Accounting Estimates” section in Part II, Item 7 of our Annual Report on Form 10-K for the year ended December 31, 2023 (the "2023 Annual Report on Form 10-K").</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significant changes to our critical accounting estimates during the nine months ended September 30, 2024.</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1D2758"/>
        </w:rPr>
        <w:t>Recently Issued Accounting Standards</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Refer to Part I, Item 1, Note 1 of the notes to our condensed consolidated financial statements included in this Quarterly Report on Form 10-Q for our assessment of recently issued and adopted accounting standards.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1D2758"/>
        </w:rPr>
        <w:t>Cautionary Note Regarding Forward-Looking Statements</w:t>
      </w:r>
    </w:p>
    <w:p>
      <w:pPr>
        <w:spacing w:after="0" w:line="7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believes that these forward-looking statements are based on reasonable assumptions, it can give no assurance that any such forward-looking statement will materialize. Important factors that may affect actual results or outcomes include, among others:</w:t>
      </w:r>
    </w:p>
    <w:p>
      <w:pPr>
        <w:spacing w:after="0" w:line="13" w:lineRule="exact"/>
        <w:rPr>
          <w:sz w:val="20"/>
          <w:szCs w:val="20"/>
          <w:color w:val="auto"/>
        </w:rPr>
      </w:pPr>
    </w:p>
    <w:p>
      <w:pPr>
        <w:ind w:left="620" w:hanging="307"/>
        <w:spacing w:after="0" w:line="295" w:lineRule="auto"/>
        <w:tabs>
          <w:tab w:leader="none" w:pos="609" w:val="left"/>
        </w:tabs>
        <w:numPr>
          <w:ilvl w:val="0"/>
          <w:numId w:val="11"/>
        </w:numPr>
        <w:rPr>
          <w:rFonts w:ascii="Arial" w:cs="Arial" w:eastAsia="Arial" w:hAnsi="Arial"/>
          <w:sz w:val="15"/>
          <w:szCs w:val="15"/>
          <w:color w:val="auto"/>
        </w:rPr>
      </w:pPr>
      <w:r>
        <w:rPr>
          <w:rFonts w:ascii="Arial" w:cs="Arial" w:eastAsia="Arial" w:hAnsi="Arial"/>
          <w:sz w:val="15"/>
          <w:szCs w:val="15"/>
          <w:color w:val="auto"/>
        </w:rPr>
        <w:t>impacts of various laws and regulations and recent pronouncements related to laws and regulations governing antitrust, climate-related disclosures, privacy, government contracts, anti-corruption and the environment;</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59"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effect of global or local economic conditions in the industries and markets in which the Company operates and any changes therein, including financial market conditions and levels of end market demand;</w:t>
      </w:r>
    </w:p>
    <w:p>
      <w:pPr>
        <w:spacing w:after="0" w:line="1"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11"/>
        </w:numPr>
        <w:rPr>
          <w:rFonts w:ascii="Arial" w:cs="Arial" w:eastAsia="Arial" w:hAnsi="Arial"/>
          <w:sz w:val="15"/>
          <w:szCs w:val="15"/>
          <w:color w:val="auto"/>
        </w:rPr>
      </w:pPr>
      <w:r>
        <w:rPr>
          <w:rFonts w:ascii="Arial" w:cs="Arial" w:eastAsia="Arial" w:hAnsi="Arial"/>
          <w:sz w:val="15"/>
          <w:szCs w:val="15"/>
          <w:color w:val="auto"/>
        </w:rPr>
        <w:t>risks associated with cybersecurity threats and IT systems disruptions, including our ability to manage the business in the event a cybersecurity incident or a disaster shuts down or materially impacts our management information systems;</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of tariffs, their enforcement and downstream consequences;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and portable storage industries;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inflationary pressures and fluctuations in interest rates and commodity prices;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59"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 base as a result of the global, national or local economic climate in which they operate and/or economic or financial disruptions to their industry;</w:t>
      </w:r>
    </w:p>
    <w:p>
      <w:pPr>
        <w:spacing w:after="0" w:line="2"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 fires, floods, hurricanes, earthquakes and terrorism;</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evolving public disclosure, financial reporting and corporate governance expectations;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fluctuations in fuel costs or a reduction in fuel supplies;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0" w:name="page41"/>
    <w:bookmarkEnd w:id="40"/>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our tax loss carryforwards and, as a result, utilize future tax savings;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service our debt and operate our business;</w:t>
      </w:r>
    </w:p>
    <w:p>
      <w:pPr>
        <w:spacing w:after="0" w:line="7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incur significant additional amounts of debt, which could further exacerbate the risks associated with our substantial indebtedness;</w:t>
      </w:r>
    </w:p>
    <w:p>
      <w:pPr>
        <w:spacing w:after="0" w:line="58"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our stock price volatility; and</w:t>
      </w:r>
    </w:p>
    <w:p>
      <w:pPr>
        <w:spacing w:after="0" w:line="71" w:lineRule="exact"/>
        <w:rPr>
          <w:rFonts w:ascii="Times New Roman" w:cs="Times New Roman" w:eastAsia="Times New Roman" w:hAnsi="Times New Roman"/>
          <w:sz w:val="15"/>
          <w:szCs w:val="15"/>
          <w:color w:val="auto"/>
        </w:rPr>
      </w:pPr>
    </w:p>
    <w:p>
      <w:pPr>
        <w:ind w:left="620" w:hanging="307"/>
        <w:spacing w:after="0" w:line="294"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2023 Annual Report on Form 10-K), which are available through the SEC’s EDGAR system at www.sec.gov and on our website.</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Any forward-looking statement speaks only at the date which it is made, and WillScot undertakes no obligation, and disclaims any obligation, to update or revise any forward-looking statements, whether as a result of new information, future events or otherwise, except as required by law.</w:t>
      </w:r>
    </w:p>
    <w:p>
      <w:pPr>
        <w:spacing w:after="0" w:line="163" w:lineRule="exact"/>
        <w:rPr>
          <w:sz w:val="20"/>
          <w:szCs w:val="20"/>
          <w:color w:val="auto"/>
        </w:rPr>
      </w:pPr>
    </w:p>
    <w:p>
      <w:pPr>
        <w:ind w:left="1740" w:right="1100" w:hanging="1855"/>
        <w:spacing w:after="0" w:line="281" w:lineRule="auto"/>
        <w:tabs>
          <w:tab w:leader="none" w:pos="1720" w:val="left"/>
        </w:tabs>
        <w:rPr>
          <w:sz w:val="20"/>
          <w:szCs w:val="20"/>
          <w:color w:val="auto"/>
        </w:rPr>
      </w:pPr>
      <w:r>
        <w:rPr>
          <w:rFonts w:ascii="Arial" w:cs="Arial" w:eastAsia="Arial" w:hAnsi="Arial"/>
          <w:sz w:val="38"/>
          <w:szCs w:val="38"/>
          <w:b w:val="1"/>
          <w:bCs w:val="1"/>
          <w:color w:val="auto"/>
        </w:rPr>
        <w:t>ITEM 3.</w:t>
        <w:tab/>
        <w:t>Quantitative and Qualitative Disclosures about Market Risk</w:t>
      </w:r>
    </w:p>
    <w:p>
      <w:pPr>
        <w:spacing w:after="0" w:line="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$1.5 billion in outstanding principal under the ABL Facility at September 30, 2024. To manage interest rate risk, in January 2024 and January 2023, respectively, we executed interest rate swap agreements relating to an aggregate of $500.0 million and $750.0 million in notional amount of variable-rate debt under our ABL Facility. The January 2024 and January 2023 swap agreements provide for us to pay a weighted average effective fixed interest rate of 3.70% and 3.44% per annum, respectively, and receive a variable interest rate equal to one-month term SOFR, with maturity dates of June 30, 2027. After taking into account the impact of the swaps, an increase in interest rates by 100 basis points on our ABL Facility would have increased quarter to date interest expense by approximately $0.7 million based on current outstanding borrowings.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currently generate approximately 94%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21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1" w:name="page42"/>
    <w:bookmarkEnd w:id="41"/>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6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September 30, 2024. Based upon that evaluation, our Chief Executive Officer and Chief Financial Officer concluded that our disclosure controls and procedures were effective as of September 30, 2024.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There were no changes in our internal control over financial reporting that occurred during the quarter ended September 30, 2024 that materially affected or are reasonably likely to materially affect, our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960"/>
        <w:spacing w:after="0"/>
        <w:rPr>
          <w:sz w:val="20"/>
          <w:szCs w:val="20"/>
          <w:color w:val="auto"/>
        </w:rPr>
      </w:pPr>
      <w:r>
        <w:rPr>
          <w:rFonts w:ascii="Arial" w:cs="Arial" w:eastAsia="Arial" w:hAnsi="Arial"/>
          <w:sz w:val="38"/>
          <w:szCs w:val="38"/>
          <w:b w:val="1"/>
          <w:bCs w:val="1"/>
          <w:color w:val="1D2758"/>
        </w:rPr>
        <w:t>PART II</w:t>
      </w:r>
    </w:p>
    <w:p>
      <w:pPr>
        <w:spacing w:after="0" w:line="388"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1.</w:t>
      </w:r>
      <w:r>
        <w:rPr>
          <w:sz w:val="20"/>
          <w:szCs w:val="20"/>
          <w:color w:val="auto"/>
        </w:rPr>
        <w:tab/>
      </w:r>
      <w:r>
        <w:rPr>
          <w:rFonts w:ascii="Arial" w:cs="Arial" w:eastAsia="Arial" w:hAnsi="Arial"/>
          <w:sz w:val="37"/>
          <w:szCs w:val="37"/>
          <w:b w:val="1"/>
          <w:bCs w:val="1"/>
          <w:color w:val="auto"/>
        </w:rPr>
        <w:t>Legal Proceedings</w:t>
      </w:r>
    </w:p>
    <w:p>
      <w:pPr>
        <w:spacing w:after="0" w:line="12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September 30, 2024,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200" w:lineRule="exact"/>
        <w:rPr>
          <w:sz w:val="20"/>
          <w:szCs w:val="20"/>
          <w:color w:val="auto"/>
        </w:rPr>
      </w:pPr>
    </w:p>
    <w:p>
      <w:pPr>
        <w:spacing w:after="0" w:line="220"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1A.</w:t>
      </w:r>
      <w:r>
        <w:rPr>
          <w:sz w:val="20"/>
          <w:szCs w:val="20"/>
          <w:color w:val="auto"/>
        </w:rPr>
        <w:tab/>
      </w:r>
      <w:r>
        <w:rPr>
          <w:rFonts w:ascii="Arial" w:cs="Arial" w:eastAsia="Arial" w:hAnsi="Arial"/>
          <w:sz w:val="37"/>
          <w:szCs w:val="37"/>
          <w:b w:val="1"/>
          <w:bCs w:val="1"/>
          <w:color w:val="auto"/>
        </w:rPr>
        <w:t>Risk Factors</w:t>
      </w:r>
    </w:p>
    <w:p>
      <w:pPr>
        <w:spacing w:after="0" w:line="12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2023 Annual Report on Form 10-K, which have not materially changed, except for risks associated with the completion of the McGrath acquisition, which are no longer applicable because the Company and McGrath mutually agreed to terminate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42" w:name="page43"/>
    <w:bookmarkEnd w:id="42"/>
    <w:p>
      <w:pPr>
        <w:ind w:left="1740" w:right="40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2.</w:t>
        <w:tab/>
        <w:t>Unregistered Sales of Equity Securities and Use of Proceeds</w:t>
      </w:r>
    </w:p>
    <w:p>
      <w:pPr>
        <w:ind w:left="620"/>
        <w:spacing w:after="0"/>
        <w:rPr>
          <w:sz w:val="20"/>
          <w:szCs w:val="20"/>
          <w:color w:val="auto"/>
        </w:rPr>
      </w:pPr>
      <w:r>
        <w:rPr>
          <w:rFonts w:ascii="Arial" w:cs="Arial" w:eastAsia="Arial" w:hAnsi="Arial"/>
          <w:sz w:val="15"/>
          <w:szCs w:val="15"/>
          <w:color w:val="auto"/>
        </w:rPr>
        <w:t>The following table summarizes our purchase of Common Stock during the third quarter of 2024.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shd w:val="clear" w:color="auto" w:fill="1D2758"/>
          </w:tcPr>
          <w:p>
            <w:pPr>
              <w:spacing w:after="0"/>
              <w:rPr>
                <w:sz w:val="14"/>
                <w:szCs w:val="14"/>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w:t>
            </w:r>
          </w:p>
        </w:tc>
        <w:tc>
          <w:tcPr>
            <w:tcW w:w="220" w:type="dxa"/>
            <w:vAlign w:val="bottom"/>
            <w:shd w:val="clear" w:color="auto" w:fill="1D2758"/>
          </w:tcPr>
          <w:p>
            <w:pPr>
              <w:spacing w:after="0"/>
              <w:rPr>
                <w:sz w:val="14"/>
                <w:szCs w:val="14"/>
                <w:color w:val="auto"/>
              </w:rPr>
            </w:pPr>
          </w:p>
        </w:tc>
        <w:tc>
          <w:tcPr>
            <w:tcW w:w="1260" w:type="dxa"/>
            <w:vAlign w:val="bottom"/>
            <w:shd w:val="clear" w:color="auto" w:fill="1D2758"/>
          </w:tcPr>
          <w:p>
            <w:pPr>
              <w:spacing w:after="0"/>
              <w:rPr>
                <w:sz w:val="14"/>
                <w:szCs w:val="14"/>
                <w:color w:val="auto"/>
              </w:rPr>
            </w:pP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220" w:type="dxa"/>
            <w:vAlign w:val="bottom"/>
            <w:shd w:val="clear" w:color="auto" w:fill="1D2758"/>
          </w:tcPr>
          <w:p>
            <w:pPr>
              <w:spacing w:after="0"/>
              <w:rPr>
                <w:sz w:val="14"/>
                <w:szCs w:val="14"/>
                <w:color w:val="auto"/>
              </w:rPr>
            </w:pPr>
          </w:p>
        </w:tc>
        <w:tc>
          <w:tcPr>
            <w:tcW w:w="200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Maximum Dollar Value of</w:t>
            </w:r>
          </w:p>
        </w:tc>
        <w:tc>
          <w:tcPr>
            <w:tcW w:w="0" w:type="dxa"/>
            <w:vAlign w:val="bottom"/>
          </w:tcPr>
          <w:p>
            <w:pPr>
              <w:spacing w:after="0"/>
              <w:rPr>
                <w:sz w:val="1"/>
                <w:szCs w:val="1"/>
                <w:color w:val="auto"/>
              </w:rPr>
            </w:pPr>
          </w:p>
        </w:tc>
      </w:tr>
      <w:tr>
        <w:trPr>
          <w:trHeight w:val="155"/>
        </w:trPr>
        <w:tc>
          <w:tcPr>
            <w:tcW w:w="3960" w:type="dxa"/>
            <w:vAlign w:val="bottom"/>
            <w:shd w:val="clear" w:color="auto" w:fill="1D2758"/>
          </w:tcPr>
          <w:p>
            <w:pPr>
              <w:spacing w:after="0"/>
              <w:rPr>
                <w:sz w:val="13"/>
                <w:szCs w:val="13"/>
                <w:color w:val="auto"/>
              </w:rPr>
            </w:pPr>
          </w:p>
        </w:tc>
        <w:tc>
          <w:tcPr>
            <w:tcW w:w="14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Shares and</w:t>
            </w:r>
          </w:p>
        </w:tc>
        <w:tc>
          <w:tcPr>
            <w:tcW w:w="220" w:type="dxa"/>
            <w:vAlign w:val="bottom"/>
            <w:shd w:val="clear" w:color="auto" w:fill="1D2758"/>
          </w:tcPr>
          <w:p>
            <w:pPr>
              <w:spacing w:after="0"/>
              <w:rPr>
                <w:sz w:val="13"/>
                <w:szCs w:val="13"/>
                <w:color w:val="auto"/>
              </w:rPr>
            </w:pPr>
          </w:p>
        </w:tc>
        <w:tc>
          <w:tcPr>
            <w:tcW w:w="1260" w:type="dxa"/>
            <w:vAlign w:val="bottom"/>
            <w:vMerge w:val="restart"/>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Average Price</w:t>
            </w:r>
          </w:p>
        </w:tc>
        <w:tc>
          <w:tcPr>
            <w:tcW w:w="2100" w:type="dxa"/>
            <w:vAlign w:val="bottom"/>
            <w:vMerge w:val="continue"/>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200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shd w:val="clear" w:color="auto" w:fill="1D2758"/>
          </w:tcPr>
          <w:p>
            <w:pPr>
              <w:spacing w:after="0"/>
              <w:rPr>
                <w:sz w:val="13"/>
                <w:szCs w:val="13"/>
                <w:color w:val="auto"/>
              </w:rPr>
            </w:pPr>
          </w:p>
        </w:tc>
        <w:tc>
          <w:tcPr>
            <w:tcW w:w="14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w:t>
            </w:r>
          </w:p>
        </w:tc>
        <w:tc>
          <w:tcPr>
            <w:tcW w:w="220" w:type="dxa"/>
            <w:vAlign w:val="bottom"/>
            <w:shd w:val="clear" w:color="auto" w:fill="1D2758"/>
          </w:tcPr>
          <w:p>
            <w:pPr>
              <w:spacing w:after="0"/>
              <w:rPr>
                <w:sz w:val="13"/>
                <w:szCs w:val="13"/>
                <w:color w:val="auto"/>
              </w:rPr>
            </w:pPr>
          </w:p>
        </w:tc>
        <w:tc>
          <w:tcPr>
            <w:tcW w:w="1260" w:type="dxa"/>
            <w:vAlign w:val="bottom"/>
            <w:vMerge w:val="continue"/>
            <w:shd w:val="clear" w:color="auto" w:fill="1D2758"/>
          </w:tcPr>
          <w:p>
            <w:pPr>
              <w:spacing w:after="0"/>
              <w:rPr>
                <w:sz w:val="13"/>
                <w:szCs w:val="13"/>
                <w:color w:val="auto"/>
              </w:rPr>
            </w:pPr>
          </w:p>
        </w:tc>
        <w:tc>
          <w:tcPr>
            <w:tcW w:w="21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 Purchased as</w:t>
            </w:r>
          </w:p>
        </w:tc>
        <w:tc>
          <w:tcPr>
            <w:tcW w:w="2220" w:type="dxa"/>
            <w:vAlign w:val="bottom"/>
            <w:gridSpan w:val="2"/>
            <w:shd w:val="clear" w:color="auto" w:fill="1D2758"/>
          </w:tcPr>
          <w:p>
            <w:pPr>
              <w:ind w:left="120"/>
              <w:spacing w:after="0" w:line="155" w:lineRule="exact"/>
              <w:rPr>
                <w:sz w:val="20"/>
                <w:szCs w:val="20"/>
                <w:color w:val="auto"/>
              </w:rPr>
            </w:pPr>
            <w:r>
              <w:rPr>
                <w:rFonts w:ascii="Arial" w:cs="Arial" w:eastAsia="Arial" w:hAnsi="Arial"/>
                <w:sz w:val="15"/>
                <w:szCs w:val="15"/>
                <w:b w:val="1"/>
                <w:bCs w:val="1"/>
                <w:color w:val="FFFFFF"/>
              </w:rPr>
              <w:t>Shares and Equivalents that</w:t>
            </w:r>
          </w:p>
        </w:tc>
        <w:tc>
          <w:tcPr>
            <w:tcW w:w="0" w:type="dxa"/>
            <w:vAlign w:val="bottom"/>
          </w:tcPr>
          <w:p>
            <w:pPr>
              <w:spacing w:after="0"/>
              <w:rPr>
                <w:sz w:val="1"/>
                <w:szCs w:val="1"/>
                <w:color w:val="auto"/>
              </w:rPr>
            </w:pPr>
          </w:p>
        </w:tc>
      </w:tr>
      <w:tr>
        <w:trPr>
          <w:trHeight w:val="155"/>
        </w:trPr>
        <w:tc>
          <w:tcPr>
            <w:tcW w:w="3960" w:type="dxa"/>
            <w:vAlign w:val="bottom"/>
            <w:vMerge w:val="restart"/>
            <w:shd w:val="clear" w:color="auto" w:fill="1D2758"/>
          </w:tcPr>
          <w:p>
            <w:pPr>
              <w:ind w:left="1740"/>
              <w:spacing w:after="0"/>
              <w:rPr>
                <w:sz w:val="20"/>
                <w:szCs w:val="20"/>
                <w:color w:val="auto"/>
              </w:rPr>
            </w:pPr>
            <w:r>
              <w:rPr>
                <w:rFonts w:ascii="Arial" w:cs="Arial" w:eastAsia="Arial" w:hAnsi="Arial"/>
                <w:sz w:val="15"/>
                <w:szCs w:val="15"/>
                <w:b w:val="1"/>
                <w:bCs w:val="1"/>
                <w:color w:val="FFFFFF"/>
              </w:rPr>
              <w:t>Period</w:t>
            </w:r>
          </w:p>
        </w:tc>
        <w:tc>
          <w:tcPr>
            <w:tcW w:w="14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Purchased (in</w:t>
            </w:r>
          </w:p>
        </w:tc>
        <w:tc>
          <w:tcPr>
            <w:tcW w:w="220" w:type="dxa"/>
            <w:vAlign w:val="bottom"/>
            <w:shd w:val="clear" w:color="auto" w:fill="1D2758"/>
          </w:tcPr>
          <w:p>
            <w:pPr>
              <w:spacing w:after="0"/>
              <w:rPr>
                <w:sz w:val="13"/>
                <w:szCs w:val="13"/>
                <w:color w:val="auto"/>
              </w:rPr>
            </w:pPr>
          </w:p>
        </w:tc>
        <w:tc>
          <w:tcPr>
            <w:tcW w:w="1260" w:type="dxa"/>
            <w:vAlign w:val="bottom"/>
            <w:shd w:val="clear" w:color="auto" w:fill="1D2758"/>
          </w:tcPr>
          <w:p>
            <w:pPr>
              <w:jc w:val="center"/>
              <w:ind w:right="183"/>
              <w:spacing w:after="0" w:line="155" w:lineRule="exact"/>
              <w:rPr>
                <w:sz w:val="20"/>
                <w:szCs w:val="20"/>
                <w:color w:val="auto"/>
              </w:rPr>
            </w:pPr>
            <w:r>
              <w:rPr>
                <w:rFonts w:ascii="Arial" w:cs="Arial" w:eastAsia="Arial" w:hAnsi="Arial"/>
                <w:sz w:val="15"/>
                <w:szCs w:val="15"/>
                <w:b w:val="1"/>
                <w:bCs w:val="1"/>
                <w:color w:val="FFFFFF"/>
              </w:rPr>
              <w:t>Paid</w:t>
            </w:r>
          </w:p>
        </w:tc>
        <w:tc>
          <w:tcPr>
            <w:tcW w:w="21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part of Publicly Announced</w:t>
            </w:r>
          </w:p>
        </w:tc>
        <w:tc>
          <w:tcPr>
            <w:tcW w:w="220" w:type="dxa"/>
            <w:vAlign w:val="bottom"/>
            <w:shd w:val="clear" w:color="auto" w:fill="1D2758"/>
          </w:tcPr>
          <w:p>
            <w:pPr>
              <w:spacing w:after="0"/>
              <w:rPr>
                <w:sz w:val="13"/>
                <w:szCs w:val="13"/>
                <w:color w:val="auto"/>
              </w:rPr>
            </w:pPr>
          </w:p>
        </w:tc>
        <w:tc>
          <w:tcPr>
            <w:tcW w:w="2000" w:type="dxa"/>
            <w:vAlign w:val="bottom"/>
            <w:shd w:val="clear" w:color="auto" w:fill="1D2758"/>
          </w:tcPr>
          <w:p>
            <w:pPr>
              <w:jc w:val="right"/>
              <w:ind w:right="163"/>
              <w:spacing w:after="0" w:line="155" w:lineRule="exact"/>
              <w:rPr>
                <w:sz w:val="20"/>
                <w:szCs w:val="20"/>
                <w:color w:val="auto"/>
              </w:rPr>
            </w:pPr>
            <w:r>
              <w:rPr>
                <w:rFonts w:ascii="Arial" w:cs="Arial" w:eastAsia="Arial" w:hAnsi="Arial"/>
                <w:sz w:val="15"/>
                <w:szCs w:val="15"/>
                <w:b w:val="1"/>
                <w:bCs w:val="1"/>
                <w:color w:val="FFFFFF"/>
              </w:rPr>
              <w:t>May Yet Be Purchased</w:t>
            </w:r>
          </w:p>
        </w:tc>
        <w:tc>
          <w:tcPr>
            <w:tcW w:w="0" w:type="dxa"/>
            <w:vAlign w:val="bottom"/>
          </w:tcPr>
          <w:p>
            <w:pPr>
              <w:spacing w:after="0"/>
              <w:rPr>
                <w:sz w:val="1"/>
                <w:szCs w:val="1"/>
                <w:color w:val="auto"/>
              </w:rPr>
            </w:pPr>
          </w:p>
        </w:tc>
      </w:tr>
      <w:tr>
        <w:trPr>
          <w:trHeight w:val="122"/>
        </w:trPr>
        <w:tc>
          <w:tcPr>
            <w:tcW w:w="3960" w:type="dxa"/>
            <w:vAlign w:val="bottom"/>
            <w:vMerge w:val="continue"/>
            <w:shd w:val="clear" w:color="auto" w:fill="1D2758"/>
          </w:tcPr>
          <w:p>
            <w:pPr>
              <w:spacing w:after="0"/>
              <w:rPr>
                <w:sz w:val="10"/>
                <w:szCs w:val="10"/>
                <w:color w:val="auto"/>
              </w:rPr>
            </w:pPr>
          </w:p>
        </w:tc>
        <w:tc>
          <w:tcPr>
            <w:tcW w:w="148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220" w:type="dxa"/>
            <w:vAlign w:val="bottom"/>
            <w:shd w:val="clear" w:color="auto" w:fill="1D2758"/>
          </w:tcPr>
          <w:p>
            <w:pPr>
              <w:spacing w:after="0"/>
              <w:rPr>
                <w:sz w:val="10"/>
                <w:szCs w:val="10"/>
                <w:color w:val="auto"/>
              </w:rPr>
            </w:pPr>
          </w:p>
        </w:tc>
        <w:tc>
          <w:tcPr>
            <w:tcW w:w="1260" w:type="dxa"/>
            <w:vAlign w:val="bottom"/>
            <w:vMerge w:val="restart"/>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per Share</w:t>
            </w: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2220" w:type="dxa"/>
            <w:vAlign w:val="bottom"/>
            <w:gridSpan w:val="2"/>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Under the Plans (in millions)</w:t>
            </w:r>
          </w:p>
        </w:tc>
        <w:tc>
          <w:tcPr>
            <w:tcW w:w="0" w:type="dxa"/>
            <w:vAlign w:val="bottom"/>
          </w:tcPr>
          <w:p>
            <w:pPr>
              <w:spacing w:after="0"/>
              <w:rPr>
                <w:sz w:val="1"/>
                <w:szCs w:val="1"/>
                <w:color w:val="auto"/>
              </w:rPr>
            </w:pPr>
          </w:p>
        </w:tc>
      </w:tr>
      <w:tr>
        <w:trPr>
          <w:trHeight w:val="84"/>
        </w:trPr>
        <w:tc>
          <w:tcPr>
            <w:tcW w:w="3960" w:type="dxa"/>
            <w:vAlign w:val="bottom"/>
            <w:shd w:val="clear" w:color="auto" w:fill="1D2758"/>
          </w:tcPr>
          <w:p>
            <w:pPr>
              <w:spacing w:after="0"/>
              <w:rPr>
                <w:sz w:val="7"/>
                <w:szCs w:val="7"/>
                <w:color w:val="auto"/>
              </w:rPr>
            </w:pPr>
          </w:p>
        </w:tc>
        <w:tc>
          <w:tcPr>
            <w:tcW w:w="1480" w:type="dxa"/>
            <w:vAlign w:val="bottom"/>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2100" w:type="dxa"/>
            <w:vAlign w:val="bottom"/>
            <w:vMerge w:val="continue"/>
            <w:shd w:val="clear" w:color="auto" w:fill="1D2758"/>
          </w:tcPr>
          <w:p>
            <w:pPr>
              <w:spacing w:after="0"/>
              <w:rPr>
                <w:sz w:val="7"/>
                <w:szCs w:val="7"/>
                <w:color w:val="auto"/>
              </w:rPr>
            </w:pPr>
          </w:p>
        </w:tc>
        <w:tc>
          <w:tcPr>
            <w:tcW w:w="2220" w:type="dxa"/>
            <w:vAlign w:val="bottom"/>
            <w:gridSpan w:val="2"/>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July 1, 2024 to July 31, 2024</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118.3</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38.66</w:t>
            </w: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118.3</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414.9</w:t>
            </w:r>
          </w:p>
        </w:tc>
        <w:tc>
          <w:tcPr>
            <w:tcW w:w="0" w:type="dxa"/>
            <w:vAlign w:val="bottom"/>
          </w:tcPr>
          <w:p>
            <w:pPr>
              <w:spacing w:after="0"/>
              <w:rPr>
                <w:sz w:val="1"/>
                <w:szCs w:val="1"/>
                <w:color w:val="auto"/>
              </w:rPr>
            </w:pPr>
          </w:p>
        </w:tc>
      </w:tr>
      <w:tr>
        <w:trPr>
          <w:trHeight w:val="205"/>
        </w:trPr>
        <w:tc>
          <w:tcPr>
            <w:tcW w:w="3960" w:type="dxa"/>
            <w:vAlign w:val="bottom"/>
          </w:tcPr>
          <w:p>
            <w:pPr>
              <w:ind w:left="20"/>
              <w:spacing w:after="0"/>
              <w:rPr>
                <w:sz w:val="20"/>
                <w:szCs w:val="20"/>
                <w:color w:val="auto"/>
              </w:rPr>
            </w:pPr>
            <w:r>
              <w:rPr>
                <w:rFonts w:ascii="Arial" w:cs="Arial" w:eastAsia="Arial" w:hAnsi="Arial"/>
                <w:sz w:val="15"/>
                <w:szCs w:val="15"/>
                <w:color w:val="auto"/>
              </w:rPr>
              <w:t>August 1, 2024 to August 31, 2024</w:t>
            </w:r>
          </w:p>
        </w:tc>
        <w:tc>
          <w:tcPr>
            <w:tcW w:w="1480" w:type="dxa"/>
            <w:vAlign w:val="bottom"/>
          </w:tcPr>
          <w:p>
            <w:pPr>
              <w:jc w:val="right"/>
              <w:spacing w:after="0"/>
              <w:rPr>
                <w:sz w:val="20"/>
                <w:szCs w:val="20"/>
                <w:color w:val="auto"/>
              </w:rPr>
            </w:pPr>
            <w:r>
              <w:rPr>
                <w:rFonts w:ascii="Arial" w:cs="Arial" w:eastAsia="Arial" w:hAnsi="Arial"/>
                <w:sz w:val="15"/>
                <w:szCs w:val="15"/>
                <w:color w:val="auto"/>
              </w:rPr>
              <w:t>248.9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3"/>
              <w:spacing w:after="0"/>
              <w:rPr>
                <w:sz w:val="20"/>
                <w:szCs w:val="20"/>
                <w:color w:val="auto"/>
              </w:rPr>
            </w:pPr>
            <w:r>
              <w:rPr>
                <w:rFonts w:ascii="Arial" w:cs="Arial" w:eastAsia="Arial" w:hAnsi="Arial"/>
                <w:sz w:val="15"/>
                <w:szCs w:val="15"/>
                <w:color w:val="auto"/>
              </w:rPr>
              <w:t>36.14</w:t>
            </w:r>
          </w:p>
        </w:tc>
        <w:tc>
          <w:tcPr>
            <w:tcW w:w="2100" w:type="dxa"/>
            <w:vAlign w:val="bottom"/>
          </w:tcPr>
          <w:p>
            <w:pPr>
              <w:jc w:val="right"/>
              <w:spacing w:after="0"/>
              <w:rPr>
                <w:sz w:val="20"/>
                <w:szCs w:val="20"/>
                <w:color w:val="auto"/>
              </w:rPr>
            </w:pPr>
            <w:r>
              <w:rPr>
                <w:rFonts w:ascii="Arial" w:cs="Arial" w:eastAsia="Arial" w:hAnsi="Arial"/>
                <w:sz w:val="15"/>
                <w:szCs w:val="15"/>
                <w:color w:val="auto"/>
              </w:rPr>
              <w:t>248.9</w:t>
            </w:r>
          </w:p>
        </w:tc>
        <w:tc>
          <w:tcPr>
            <w:tcW w:w="220" w:type="dxa"/>
            <w:vAlign w:val="bottom"/>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tcPr>
          <w:p>
            <w:pPr>
              <w:jc w:val="right"/>
              <w:spacing w:after="0"/>
              <w:rPr>
                <w:sz w:val="20"/>
                <w:szCs w:val="20"/>
                <w:color w:val="auto"/>
              </w:rPr>
            </w:pPr>
            <w:r>
              <w:rPr>
                <w:rFonts w:ascii="Arial" w:cs="Arial" w:eastAsia="Arial" w:hAnsi="Arial"/>
                <w:sz w:val="15"/>
                <w:szCs w:val="15"/>
                <w:color w:val="auto"/>
              </w:rPr>
              <w:t>405.9</w:t>
            </w:r>
          </w:p>
        </w:tc>
        <w:tc>
          <w:tcPr>
            <w:tcW w:w="0" w:type="dxa"/>
            <w:vAlign w:val="bottom"/>
          </w:tcPr>
          <w:p>
            <w:pPr>
              <w:spacing w:after="0"/>
              <w:rPr>
                <w:sz w:val="1"/>
                <w:szCs w:val="1"/>
                <w:color w:val="auto"/>
              </w:rPr>
            </w:pPr>
          </w:p>
        </w:tc>
      </w:tr>
      <w:tr>
        <w:trPr>
          <w:trHeight w:val="206"/>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September 1, 2024 to September 30, 2024</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1,220.6</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39.38</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1,220.6</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951.9</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Arial" w:cs="Arial" w:eastAsia="Arial" w:hAnsi="Arial"/>
                <w:sz w:val="15"/>
                <w:szCs w:val="15"/>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1,587.8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3"/>
              <w:spacing w:after="0"/>
              <w:rPr>
                <w:sz w:val="20"/>
                <w:szCs w:val="20"/>
                <w:color w:val="auto"/>
              </w:rPr>
            </w:pPr>
            <w:r>
              <w:rPr>
                <w:rFonts w:ascii="Arial" w:cs="Arial" w:eastAsia="Arial" w:hAnsi="Arial"/>
                <w:sz w:val="15"/>
                <w:szCs w:val="15"/>
                <w:color w:val="auto"/>
              </w:rPr>
              <w:t>38.82</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1,587.8</w:t>
            </w: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 share repurchase program authorizes the Company to repurchase its outstanding shares of Common Stock. In September 2024, the Board of Directors approved a reset of the share repurchase program authorizing the Company to repurchase up to $1.0 billion of its outstanding shares of Common Stock. As of September 30, 2024, $951.9 million of the $1.0 billion share repurchase authorization remained available for use.</w:t>
      </w:r>
    </w:p>
    <w:p>
      <w:pPr>
        <w:spacing w:after="0" w:line="184"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7"/>
          <w:szCs w:val="37"/>
          <w:b w:val="1"/>
          <w:bCs w:val="1"/>
          <w:color w:val="auto"/>
        </w:rPr>
        <w:t>Defaults Upon Senior Securities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33"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Mine Safety Disclosures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46"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5.</w:t>
      </w:r>
      <w:r>
        <w:rPr>
          <w:sz w:val="20"/>
          <w:szCs w:val="20"/>
          <w:color w:val="auto"/>
        </w:rPr>
        <w:tab/>
      </w:r>
      <w:r>
        <w:rPr>
          <w:rFonts w:ascii="Arial" w:cs="Arial" w:eastAsia="Arial" w:hAnsi="Arial"/>
          <w:sz w:val="37"/>
          <w:szCs w:val="37"/>
          <w:b w:val="1"/>
          <w:bCs w:val="1"/>
          <w:color w:val="auto"/>
        </w:rPr>
        <w:t>Other Information</w:t>
      </w:r>
    </w:p>
    <w:p>
      <w:pPr>
        <w:spacing w:after="0" w:line="12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three months ended September 30, 2024, no director or Section 16 officer of the Company adopted or terminated a "Rule 10b5-1 trading arrangement" or "non-Rule 10b5-1 trading arrangement," as each term is defined in Item 408(a) of Regulation S-K.</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Company’s proxy statement for its 2024 annual meeting of stockholders inadvertently provided incorrect dates for the submission of director nominations pursuant to the advance notice provision of the Company’s Amended and Restated Bylaws. The proxy statement should have stated that director nominations submitted pursuant to the advance notice provision must be received at the office of the Corporate Secretary no earlier than February 7, 2025, and no later than March 9, 2025. Notice of a nomination must also comply with requirements set forth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496"/>
        </w:trPr>
        <w:tc>
          <w:tcPr>
            <w:tcW w:w="1540" w:type="dxa"/>
            <w:vAlign w:val="bottom"/>
            <w:gridSpan w:val="2"/>
          </w:tcPr>
          <w:p>
            <w:pPr>
              <w:spacing w:after="0"/>
              <w:rPr>
                <w:sz w:val="20"/>
                <w:szCs w:val="20"/>
                <w:color w:val="auto"/>
              </w:rPr>
            </w:pPr>
            <w:r>
              <w:rPr>
                <w:rFonts w:ascii="Arial" w:cs="Arial" w:eastAsia="Arial" w:hAnsi="Arial"/>
                <w:sz w:val="38"/>
                <w:szCs w:val="38"/>
                <w:b w:val="1"/>
                <w:bCs w:val="1"/>
                <w:color w:val="auto"/>
              </w:rPr>
              <w:t>ITEM 6.</w:t>
            </w:r>
          </w:p>
        </w:tc>
        <w:tc>
          <w:tcPr>
            <w:tcW w:w="9700" w:type="dxa"/>
            <w:vAlign w:val="bottom"/>
          </w:tcPr>
          <w:p>
            <w:pPr>
              <w:ind w:left="200"/>
              <w:spacing w:after="0"/>
              <w:rPr>
                <w:sz w:val="20"/>
                <w:szCs w:val="20"/>
                <w:color w:val="auto"/>
              </w:rPr>
            </w:pPr>
            <w:r>
              <w:rPr>
                <w:rFonts w:ascii="Arial" w:cs="Arial" w:eastAsia="Arial" w:hAnsi="Arial"/>
                <w:sz w:val="38"/>
                <w:szCs w:val="38"/>
                <w:b w:val="1"/>
                <w:bCs w:val="1"/>
                <w:color w:val="auto"/>
              </w:rPr>
              <w:t>Exhibits</w:t>
            </w:r>
          </w:p>
        </w:tc>
        <w:tc>
          <w:tcPr>
            <w:tcW w:w="0" w:type="dxa"/>
            <w:vAlign w:val="bottom"/>
          </w:tcPr>
          <w:p>
            <w:pPr>
              <w:spacing w:after="0"/>
              <w:rPr>
                <w:sz w:val="1"/>
                <w:szCs w:val="1"/>
                <w:color w:val="auto"/>
              </w:rPr>
            </w:pPr>
          </w:p>
        </w:tc>
      </w:tr>
      <w:tr>
        <w:trPr>
          <w:trHeight w:val="206"/>
        </w:trPr>
        <w:tc>
          <w:tcPr>
            <w:tcW w:w="1160" w:type="dxa"/>
            <w:vAlign w:val="bottom"/>
            <w:shd w:val="clear" w:color="auto" w:fill="1D2758"/>
          </w:tcPr>
          <w:p>
            <w:pPr>
              <w:ind w:left="220"/>
              <w:spacing w:after="0"/>
              <w:rPr>
                <w:sz w:val="20"/>
                <w:szCs w:val="20"/>
                <w:color w:val="auto"/>
              </w:rPr>
            </w:pPr>
            <w:r>
              <w:rPr>
                <w:rFonts w:ascii="Arial" w:cs="Arial" w:eastAsia="Arial" w:hAnsi="Arial"/>
                <w:sz w:val="15"/>
                <w:szCs w:val="15"/>
                <w:b w:val="1"/>
                <w:bCs w:val="1"/>
                <w:color w:val="FFFFFF"/>
              </w:rPr>
              <w:t>Exhibit No.</w:t>
            </w:r>
          </w:p>
        </w:tc>
        <w:tc>
          <w:tcPr>
            <w:tcW w:w="380" w:type="dxa"/>
            <w:vAlign w:val="bottom"/>
            <w:shd w:val="clear" w:color="auto" w:fill="1D2758"/>
          </w:tcPr>
          <w:p>
            <w:pPr>
              <w:spacing w:after="0"/>
              <w:rPr>
                <w:sz w:val="17"/>
                <w:szCs w:val="17"/>
                <w:color w:val="auto"/>
              </w:rPr>
            </w:pPr>
          </w:p>
        </w:tc>
        <w:tc>
          <w:tcPr>
            <w:tcW w:w="9700" w:type="dxa"/>
            <w:vAlign w:val="bottom"/>
            <w:shd w:val="clear" w:color="auto" w:fill="1D2758"/>
          </w:tcPr>
          <w:p>
            <w:pPr>
              <w:ind w:left="4000"/>
              <w:spacing w:after="0"/>
              <w:rPr>
                <w:sz w:val="20"/>
                <w:szCs w:val="20"/>
                <w:color w:val="auto"/>
              </w:rPr>
            </w:pPr>
            <w:r>
              <w:rPr>
                <w:rFonts w:ascii="Arial" w:cs="Arial" w:eastAsia="Arial" w:hAnsi="Arial"/>
                <w:sz w:val="15"/>
                <w:szCs w:val="15"/>
                <w:b w:val="1"/>
                <w:bCs w:val="1"/>
                <w:color w:val="FFFFFF"/>
              </w:rPr>
              <w:t>Exhibit Description</w:t>
            </w:r>
          </w:p>
        </w:tc>
        <w:tc>
          <w:tcPr>
            <w:tcW w:w="0" w:type="dxa"/>
            <w:vAlign w:val="bottom"/>
          </w:tcPr>
          <w:p>
            <w:pPr>
              <w:spacing w:after="0"/>
              <w:rPr>
                <w:sz w:val="1"/>
                <w:szCs w:val="1"/>
                <w:color w:val="auto"/>
              </w:rPr>
            </w:pPr>
          </w:p>
        </w:tc>
      </w:tr>
      <w:tr>
        <w:trPr>
          <w:trHeight w:val="155"/>
        </w:trPr>
        <w:tc>
          <w:tcPr>
            <w:tcW w:w="1160" w:type="dxa"/>
            <w:vAlign w:val="bottom"/>
            <w:shd w:val="clear" w:color="auto" w:fill="DBDBDB"/>
          </w:tcPr>
          <w:p>
            <w:pPr>
              <w:spacing w:after="0"/>
              <w:rPr>
                <w:sz w:val="13"/>
                <w:szCs w:val="13"/>
                <w:color w:val="auto"/>
              </w:rPr>
            </w:pPr>
          </w:p>
        </w:tc>
        <w:tc>
          <w:tcPr>
            <w:tcW w:w="10080" w:type="dxa"/>
            <w:vAlign w:val="bottom"/>
            <w:gridSpan w:val="2"/>
            <w:shd w:val="clear" w:color="auto" w:fill="DBDBDB"/>
          </w:tcPr>
          <w:p>
            <w:pPr>
              <w:ind w:left="120"/>
              <w:spacing w:after="0" w:line="156" w:lineRule="exact"/>
              <w:rPr>
                <w:rFonts w:ascii="Arial" w:cs="Arial" w:eastAsia="Arial" w:hAnsi="Arial"/>
                <w:sz w:val="15"/>
                <w:szCs w:val="15"/>
                <w:color w:val="auto"/>
              </w:rPr>
            </w:pPr>
            <w:hyperlink r:id="rId64">
              <w:r>
                <w:rPr>
                  <w:rFonts w:ascii="Arial" w:cs="Arial" w:eastAsia="Arial" w:hAnsi="Arial"/>
                  <w:sz w:val="15"/>
                  <w:szCs w:val="15"/>
                  <w:color w:val="auto"/>
                </w:rPr>
                <w:t>Termination Agreement, dated as of September 17, 2024, by and among WillScot Holdings Corporation, Brunello Merger Sub I, Inc., Brunello</w:t>
              </w:r>
            </w:hyperlink>
          </w:p>
        </w:tc>
        <w:tc>
          <w:tcPr>
            <w:tcW w:w="0" w:type="dxa"/>
            <w:vAlign w:val="bottom"/>
          </w:tcPr>
          <w:p>
            <w:pPr>
              <w:spacing w:after="0"/>
              <w:rPr>
                <w:sz w:val="1"/>
                <w:szCs w:val="1"/>
                <w:color w:val="auto"/>
              </w:rPr>
            </w:pPr>
          </w:p>
        </w:tc>
      </w:tr>
      <w:tr>
        <w:trPr>
          <w:trHeight w:val="155"/>
        </w:trPr>
        <w:tc>
          <w:tcPr>
            <w:tcW w:w="1160" w:type="dxa"/>
            <w:vAlign w:val="bottom"/>
            <w:vMerge w:val="restart"/>
            <w:shd w:val="clear" w:color="auto" w:fill="DBDBDB"/>
          </w:tcPr>
          <w:p>
            <w:pPr>
              <w:ind w:left="20"/>
              <w:spacing w:after="0"/>
              <w:rPr>
                <w:rFonts w:ascii="Arial" w:cs="Arial" w:eastAsia="Arial" w:hAnsi="Arial"/>
                <w:sz w:val="15"/>
                <w:szCs w:val="15"/>
                <w:color w:val="auto"/>
              </w:rPr>
            </w:pPr>
            <w:hyperlink r:id="rId64">
              <w:r>
                <w:rPr>
                  <w:rFonts w:ascii="Arial" w:cs="Arial" w:eastAsia="Arial" w:hAnsi="Arial"/>
                  <w:sz w:val="15"/>
                  <w:szCs w:val="15"/>
                  <w:color w:val="auto"/>
                </w:rPr>
                <w:t>10.1</w:t>
              </w:r>
            </w:hyperlink>
          </w:p>
        </w:tc>
        <w:tc>
          <w:tcPr>
            <w:tcW w:w="10080" w:type="dxa"/>
            <w:vAlign w:val="bottom"/>
            <w:gridSpan w:val="2"/>
            <w:shd w:val="clear" w:color="auto" w:fill="DBDBDB"/>
          </w:tcPr>
          <w:p>
            <w:pPr>
              <w:ind w:left="120"/>
              <w:spacing w:after="0" w:line="155" w:lineRule="exact"/>
              <w:rPr>
                <w:rFonts w:ascii="Arial" w:cs="Arial" w:eastAsia="Arial" w:hAnsi="Arial"/>
                <w:sz w:val="15"/>
                <w:szCs w:val="15"/>
                <w:color w:val="auto"/>
              </w:rPr>
            </w:pPr>
            <w:hyperlink r:id="rId64">
              <w:r>
                <w:rPr>
                  <w:rFonts w:ascii="Arial" w:cs="Arial" w:eastAsia="Arial" w:hAnsi="Arial"/>
                  <w:sz w:val="15"/>
                  <w:szCs w:val="15"/>
                  <w:color w:val="auto"/>
                </w:rPr>
                <w:t>Merger Sub II, LLC and McGrath RentCorp (incorporated by reference to Exhibit 10.1 of the Company's Current Report on Form 8-K, filed</w:t>
              </w:r>
            </w:hyperlink>
          </w:p>
        </w:tc>
        <w:tc>
          <w:tcPr>
            <w:tcW w:w="0" w:type="dxa"/>
            <w:vAlign w:val="bottom"/>
          </w:tcPr>
          <w:p>
            <w:pPr>
              <w:spacing w:after="0"/>
              <w:rPr>
                <w:sz w:val="1"/>
                <w:szCs w:val="1"/>
                <w:color w:val="auto"/>
              </w:rPr>
            </w:pPr>
          </w:p>
        </w:tc>
      </w:tr>
      <w:tr>
        <w:trPr>
          <w:trHeight w:val="206"/>
        </w:trPr>
        <w:tc>
          <w:tcPr>
            <w:tcW w:w="1160" w:type="dxa"/>
            <w:vAlign w:val="bottom"/>
            <w:vMerge w:val="continue"/>
            <w:shd w:val="clear" w:color="auto" w:fill="DBDBDB"/>
          </w:tcPr>
          <w:p>
            <w:pPr>
              <w:spacing w:after="0"/>
              <w:rPr>
                <w:sz w:val="17"/>
                <w:szCs w:val="17"/>
                <w:color w:val="auto"/>
              </w:rPr>
            </w:pPr>
          </w:p>
        </w:tc>
        <w:tc>
          <w:tcPr>
            <w:tcW w:w="10080" w:type="dxa"/>
            <w:vAlign w:val="bottom"/>
            <w:gridSpan w:val="2"/>
            <w:shd w:val="clear" w:color="auto" w:fill="DBDBDB"/>
          </w:tcPr>
          <w:p>
            <w:pPr>
              <w:ind w:left="120"/>
              <w:spacing w:after="0"/>
              <w:rPr>
                <w:rFonts w:ascii="Arial" w:cs="Arial" w:eastAsia="Arial" w:hAnsi="Arial"/>
                <w:sz w:val="15"/>
                <w:szCs w:val="15"/>
                <w:color w:val="auto"/>
              </w:rPr>
            </w:pPr>
            <w:hyperlink r:id="rId64">
              <w:r>
                <w:rPr>
                  <w:rFonts w:ascii="Arial" w:cs="Arial" w:eastAsia="Arial" w:hAnsi="Arial"/>
                  <w:sz w:val="15"/>
                  <w:szCs w:val="15"/>
                  <w:color w:val="auto"/>
                </w:rPr>
                <w:t>September 18, 2024)</w:t>
              </w:r>
            </w:hyperlink>
          </w:p>
        </w:tc>
        <w:tc>
          <w:tcPr>
            <w:tcW w:w="0" w:type="dxa"/>
            <w:vAlign w:val="bottom"/>
          </w:tcPr>
          <w:p>
            <w:pPr>
              <w:spacing w:after="0"/>
              <w:rPr>
                <w:sz w:val="1"/>
                <w:szCs w:val="1"/>
                <w:color w:val="auto"/>
              </w:rPr>
            </w:pPr>
          </w:p>
        </w:tc>
      </w:tr>
      <w:tr>
        <w:trPr>
          <w:trHeight w:val="205"/>
        </w:trPr>
        <w:tc>
          <w:tcPr>
            <w:tcW w:w="1160" w:type="dxa"/>
            <w:vAlign w:val="bottom"/>
          </w:tcPr>
          <w:p>
            <w:pPr>
              <w:ind w:left="20"/>
              <w:spacing w:after="0"/>
              <w:rPr>
                <w:sz w:val="20"/>
                <w:szCs w:val="20"/>
                <w:color w:val="auto"/>
              </w:rPr>
            </w:pPr>
            <w:r>
              <w:rPr>
                <w:rFonts w:ascii="Arial" w:cs="Arial" w:eastAsia="Arial" w:hAnsi="Arial"/>
                <w:sz w:val="15"/>
                <w:szCs w:val="15"/>
                <w:color w:val="auto"/>
              </w:rPr>
              <w:t>31.1*</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7"/>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31.2*</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5"/>
        </w:trPr>
        <w:tc>
          <w:tcPr>
            <w:tcW w:w="1160" w:type="dxa"/>
            <w:vAlign w:val="bottom"/>
          </w:tcPr>
          <w:p>
            <w:pPr>
              <w:ind w:left="20"/>
              <w:spacing w:after="0"/>
              <w:rPr>
                <w:sz w:val="20"/>
                <w:szCs w:val="20"/>
                <w:color w:val="auto"/>
              </w:rPr>
            </w:pPr>
            <w:r>
              <w:rPr>
                <w:rFonts w:ascii="Arial" w:cs="Arial" w:eastAsia="Arial" w:hAnsi="Arial"/>
                <w:sz w:val="15"/>
                <w:szCs w:val="15"/>
                <w:color w:val="auto"/>
              </w:rPr>
              <w:t>32.1**</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7"/>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32.2**</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5"/>
                <w:szCs w:val="15"/>
                <w:color w:val="auto"/>
              </w:rPr>
              <w:t>101.INS</w:t>
            </w:r>
          </w:p>
        </w:tc>
        <w:tc>
          <w:tcPr>
            <w:tcW w:w="1008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05"/>
        </w:trPr>
        <w:tc>
          <w:tcPr>
            <w:tcW w:w="1160" w:type="dxa"/>
            <w:vAlign w:val="bottom"/>
            <w:vMerge w:val="continue"/>
          </w:tcPr>
          <w:p>
            <w:pPr>
              <w:spacing w:after="0"/>
              <w:rPr>
                <w:sz w:val="17"/>
                <w:szCs w:val="17"/>
                <w:color w:val="auto"/>
              </w:rPr>
            </w:pP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Inline XBRL document</w:t>
            </w:r>
          </w:p>
        </w:tc>
        <w:tc>
          <w:tcPr>
            <w:tcW w:w="0" w:type="dxa"/>
            <w:vAlign w:val="bottom"/>
          </w:tcPr>
          <w:p>
            <w:pPr>
              <w:spacing w:after="0"/>
              <w:rPr>
                <w:sz w:val="1"/>
                <w:szCs w:val="1"/>
                <w:color w:val="auto"/>
              </w:rPr>
            </w:pPr>
          </w:p>
        </w:tc>
      </w:tr>
      <w:tr>
        <w:trPr>
          <w:trHeight w:val="207"/>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101.SCH</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205"/>
        </w:trPr>
        <w:tc>
          <w:tcPr>
            <w:tcW w:w="1160" w:type="dxa"/>
            <w:vAlign w:val="bottom"/>
          </w:tcPr>
          <w:p>
            <w:pPr>
              <w:ind w:left="20"/>
              <w:spacing w:after="0"/>
              <w:rPr>
                <w:sz w:val="20"/>
                <w:szCs w:val="20"/>
                <w:color w:val="auto"/>
              </w:rPr>
            </w:pPr>
            <w:r>
              <w:rPr>
                <w:rFonts w:ascii="Arial" w:cs="Arial" w:eastAsia="Arial" w:hAnsi="Arial"/>
                <w:sz w:val="15"/>
                <w:szCs w:val="15"/>
                <w:color w:val="auto"/>
              </w:rPr>
              <w:t>101.CAL</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207"/>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101.DEF</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205"/>
        </w:trPr>
        <w:tc>
          <w:tcPr>
            <w:tcW w:w="1160" w:type="dxa"/>
            <w:vAlign w:val="bottom"/>
          </w:tcPr>
          <w:p>
            <w:pPr>
              <w:ind w:left="20"/>
              <w:spacing w:after="0"/>
              <w:rPr>
                <w:sz w:val="20"/>
                <w:szCs w:val="20"/>
                <w:color w:val="auto"/>
              </w:rPr>
            </w:pPr>
            <w:r>
              <w:rPr>
                <w:rFonts w:ascii="Arial" w:cs="Arial" w:eastAsia="Arial" w:hAnsi="Arial"/>
                <w:sz w:val="15"/>
                <w:szCs w:val="15"/>
                <w:color w:val="auto"/>
              </w:rPr>
              <w:t>101.LAB</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r>
        <w:trPr>
          <w:trHeight w:val="207"/>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101.PRE</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r>
        <w:trPr>
          <w:trHeight w:val="205"/>
        </w:trPr>
        <w:tc>
          <w:tcPr>
            <w:tcW w:w="1160" w:type="dxa"/>
            <w:vAlign w:val="bottom"/>
          </w:tcPr>
          <w:p>
            <w:pPr>
              <w:ind w:left="20"/>
              <w:spacing w:after="0"/>
              <w:rPr>
                <w:sz w:val="20"/>
                <w:szCs w:val="20"/>
                <w:color w:val="auto"/>
              </w:rPr>
            </w:pPr>
            <w:r>
              <w:rPr>
                <w:rFonts w:ascii="Arial" w:cs="Arial" w:eastAsia="Arial" w:hAnsi="Arial"/>
                <w:sz w:val="15"/>
                <w:szCs w:val="15"/>
                <w:color w:val="auto"/>
              </w:rPr>
              <w:t>104*</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Inline XBRL for the cover page of this Quarterly Report on Form 10-Q, included in the Exhibit 101 Inline XBRL Document Set.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58" w:lineRule="exact"/>
        <w:rPr>
          <w:sz w:val="20"/>
          <w:szCs w:val="20"/>
          <w:color w:val="auto"/>
        </w:rPr>
      </w:pPr>
    </w:p>
    <w:p>
      <w:pPr>
        <w:ind w:left="140" w:hanging="137"/>
        <w:spacing w:after="0"/>
        <w:tabs>
          <w:tab w:leader="none" w:pos="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0"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22"/>
          <w:szCs w:val="22"/>
          <w:color w:val="1D2758"/>
        </w:rPr>
        <w:t>Signature</w:t>
      </w:r>
    </w:p>
    <w:p>
      <w:pPr>
        <w:spacing w:after="0" w:line="101"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52"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660" w:type="dxa"/>
            <w:vAlign w:val="bottom"/>
          </w:tcPr>
          <w:p>
            <w:pPr>
              <w:spacing w:after="0"/>
              <w:rPr>
                <w:sz w:val="18"/>
                <w:szCs w:val="18"/>
                <w:color w:val="auto"/>
              </w:rPr>
            </w:pPr>
          </w:p>
        </w:tc>
        <w:tc>
          <w:tcPr>
            <w:tcW w:w="9760" w:type="dxa"/>
            <w:vAlign w:val="bottom"/>
            <w:gridSpan w:val="2"/>
          </w:tcPr>
          <w:p>
            <w:pPr>
              <w:ind w:left="3960"/>
              <w:spacing w:after="0"/>
              <w:rPr>
                <w:sz w:val="20"/>
                <w:szCs w:val="20"/>
                <w:color w:val="auto"/>
              </w:rPr>
            </w:pPr>
            <w:r>
              <w:rPr>
                <w:rFonts w:ascii="Arial" w:cs="Arial" w:eastAsia="Arial" w:hAnsi="Arial"/>
                <w:sz w:val="15"/>
                <w:szCs w:val="15"/>
                <w:b w:val="1"/>
                <w:bCs w:val="1"/>
                <w:color w:val="auto"/>
              </w:rPr>
              <w:t>WillScot Holdings Corporation</w:t>
            </w:r>
          </w:p>
        </w:tc>
      </w:tr>
      <w:tr>
        <w:trPr>
          <w:trHeight w:val="405"/>
        </w:trPr>
        <w:tc>
          <w:tcPr>
            <w:tcW w:w="660" w:type="dxa"/>
            <w:vAlign w:val="bottom"/>
          </w:tcPr>
          <w:p>
            <w:pPr>
              <w:spacing w:after="0"/>
              <w:rPr>
                <w:sz w:val="24"/>
                <w:szCs w:val="24"/>
                <w:color w:val="auto"/>
              </w:rPr>
            </w:pPr>
          </w:p>
        </w:tc>
        <w:tc>
          <w:tcPr>
            <w:tcW w:w="4540" w:type="dxa"/>
            <w:vAlign w:val="bottom"/>
          </w:tcPr>
          <w:p>
            <w:pPr>
              <w:ind w:left="3960"/>
              <w:spacing w:after="0"/>
              <w:rPr>
                <w:sz w:val="20"/>
                <w:szCs w:val="20"/>
                <w:color w:val="auto"/>
              </w:rPr>
            </w:pPr>
            <w:r>
              <w:rPr>
                <w:rFonts w:ascii="Arial" w:cs="Arial" w:eastAsia="Arial" w:hAnsi="Arial"/>
                <w:sz w:val="15"/>
                <w:szCs w:val="15"/>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TIMOTHY D. BOSWELL</w:t>
            </w:r>
          </w:p>
        </w:tc>
      </w:tr>
      <w:tr>
        <w:trPr>
          <w:trHeight w:val="199"/>
        </w:trPr>
        <w:tc>
          <w:tcPr>
            <w:tcW w:w="660" w:type="dxa"/>
            <w:vAlign w:val="bottom"/>
          </w:tcPr>
          <w:p>
            <w:pPr>
              <w:spacing w:after="0"/>
              <w:rPr>
                <w:sz w:val="20"/>
                <w:szCs w:val="20"/>
                <w:color w:val="auto"/>
              </w:rPr>
            </w:pPr>
            <w:r>
              <w:rPr>
                <w:rFonts w:ascii="Arial" w:cs="Arial" w:eastAsia="Arial" w:hAnsi="Arial"/>
                <w:sz w:val="15"/>
                <w:szCs w:val="15"/>
                <w:color w:val="auto"/>
              </w:rPr>
              <w:t>Dated:</w:t>
            </w:r>
          </w:p>
        </w:tc>
        <w:tc>
          <w:tcPr>
            <w:tcW w:w="4540" w:type="dxa"/>
            <w:vAlign w:val="bottom"/>
          </w:tcPr>
          <w:p>
            <w:pPr>
              <w:ind w:left="200"/>
              <w:spacing w:after="0"/>
              <w:rPr>
                <w:sz w:val="20"/>
                <w:szCs w:val="20"/>
                <w:color w:val="auto"/>
              </w:rPr>
            </w:pPr>
            <w:r>
              <w:rPr>
                <w:rFonts w:ascii="Arial" w:cs="Arial" w:eastAsia="Arial" w:hAnsi="Arial"/>
                <w:sz w:val="15"/>
                <w:szCs w:val="15"/>
                <w:color w:val="auto"/>
              </w:rPr>
              <w:t>October 30, 2024</w:t>
            </w:r>
          </w:p>
        </w:tc>
        <w:tc>
          <w:tcPr>
            <w:tcW w:w="5220" w:type="dxa"/>
            <w:vAlign w:val="bottom"/>
          </w:tcPr>
          <w:p>
            <w:pPr>
              <w:spacing w:after="0"/>
              <w:rPr>
                <w:sz w:val="20"/>
                <w:szCs w:val="20"/>
                <w:color w:val="auto"/>
              </w:rPr>
            </w:pPr>
            <w:r>
              <w:rPr>
                <w:rFonts w:ascii="Arial" w:cs="Arial" w:eastAsia="Arial" w:hAnsi="Arial"/>
                <w:sz w:val="15"/>
                <w:szCs w:val="15"/>
                <w:color w:val="auto"/>
              </w:rPr>
              <w:t>Timothy D. Boswell</w:t>
            </w:r>
          </w:p>
        </w:tc>
      </w:tr>
      <w:tr>
        <w:trPr>
          <w:trHeight w:val="157"/>
        </w:trPr>
        <w:tc>
          <w:tcPr>
            <w:tcW w:w="6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5220" w:type="dxa"/>
            <w:vAlign w:val="bottom"/>
          </w:tcPr>
          <w:p>
            <w:pPr>
              <w:spacing w:after="0" w:line="157" w:lineRule="exact"/>
              <w:rPr>
                <w:sz w:val="20"/>
                <w:szCs w:val="20"/>
                <w:color w:val="auto"/>
              </w:rPr>
            </w:pPr>
            <w:r>
              <w:rPr>
                <w:rFonts w:ascii="Arial" w:cs="Arial" w:eastAsia="Arial" w:hAnsi="Arial"/>
                <w:sz w:val="15"/>
                <w:szCs w:val="15"/>
                <w:i w:val="1"/>
                <w:iCs w:val="1"/>
                <w:color w:val="auto"/>
              </w:rPr>
              <w:t>President &amp; Chief Financial Officer</w:t>
            </w:r>
          </w:p>
        </w:tc>
      </w:tr>
      <w:tr>
        <w:trPr>
          <w:trHeight w:val="204"/>
        </w:trPr>
        <w:tc>
          <w:tcPr>
            <w:tcW w:w="6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5"/>
                <w:szCs w:val="15"/>
                <w:i w:val="1"/>
                <w:iCs w:val="1"/>
                <w:color w:val="auto"/>
              </w:rPr>
              <w:t>(Principal Financial Officer and Duly Authorized Signing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110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1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October 30, 2024</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Timothy D. Boswell, certify that:</w:t>
      </w:r>
    </w:p>
    <w:p>
      <w:pPr>
        <w:spacing w:after="0" w:line="279" w:lineRule="exact"/>
        <w:rPr>
          <w:sz w:val="20"/>
          <w:szCs w:val="20"/>
          <w:color w:val="auto"/>
        </w:rPr>
      </w:pPr>
    </w:p>
    <w:p>
      <w:pPr>
        <w:ind w:left="180" w:hanging="177"/>
        <w:spacing w:after="0"/>
        <w:tabs>
          <w:tab w:leader="none" w:pos="1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1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October 30, 2024</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President and 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September 30, 2024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October 30, 2024</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20955</wp:posOffset>
            </wp:positionV>
            <wp:extent cx="25215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52"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September 30, 2024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October 30, 2024</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20955</wp:posOffset>
            </wp:positionV>
            <wp:extent cx="25215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President and Chief Financial Officer (Principal Financial</w:t>
      </w:r>
    </w:p>
    <w:p>
      <w:pPr>
        <w:ind w:left="7240"/>
        <w:spacing w:after="0"/>
        <w:rPr>
          <w:sz w:val="20"/>
          <w:szCs w:val="20"/>
          <w:color w:val="auto"/>
        </w:rPr>
      </w:pPr>
      <w:r>
        <w:rPr>
          <w:rFonts w:ascii="Arial" w:cs="Arial" w:eastAsia="Arial" w:hAnsi="Arial"/>
          <w:sz w:val="15"/>
          <w:szCs w:val="15"/>
          <w:i w:val="1"/>
          <w:iCs w:val="1"/>
          <w:color w:val="auto"/>
        </w:rPr>
        <w:t>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2"/>
    </w:lvl>
  </w:abstractNum>
  <w:abstractNum w:abstractNumId="3">
    <w:nsid w:val="216231B"/>
    <w:multiLevelType w:val="hybridMultilevel"/>
    <w:lvl w:ilvl="0">
      <w:lvlJc w:val="left"/>
      <w:lvlText w:val="(%1)"/>
      <w:numFmt w:val="lowerLetter"/>
      <w:start w:val="2"/>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64" Type="http://schemas.openxmlformats.org/officeDocument/2006/relationships/hyperlink" Target="https://www.sec.gov/Archives/edgar/data/1647088/000164708824000149/ex101-termina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2024-10-30T16:21:43Z</dcterms:created>
  <dcterms:modified xsi:type="dcterms:W3CDTF">2024-10-30T16:21:43Z</dcterms:modified>
</cp:coreProperties>
</file>