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205105</wp:posOffset>
            </wp:positionH>
            <wp:positionV relativeFrom="page">
              <wp:posOffset>498475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465455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98" w:lineRule="exact"/>
        <w:rPr>
          <w:sz w:val="24"/>
          <w:szCs w:val="24"/>
          <w:color w:val="auto"/>
        </w:rPr>
      </w:pPr>
    </w:p>
    <w:p>
      <w:pPr>
        <w:ind w:left="4120" w:right="2680" w:hanging="3408"/>
        <w:spacing w:after="0" w:line="345" w:lineRule="auto"/>
        <w:tabs>
          <w:tab w:leader="none" w:pos="1522" w:val="left"/>
        </w:tabs>
        <w:numPr>
          <w:ilvl w:val="0"/>
          <w:numId w:val="1"/>
        </w:numPr>
        <w:rPr>
          <w:rFonts w:ascii="MS PGothic" w:cs="MS PGothic" w:eastAsia="MS PGothic" w:hAnsi="MS PGothic"/>
          <w:sz w:val="17"/>
          <w:szCs w:val="17"/>
          <w:color w:val="auto"/>
        </w:rPr>
      </w:pPr>
      <w:r>
        <w:rPr>
          <w:rFonts w:ascii="Arial" w:cs="Arial" w:eastAsia="Arial" w:hAnsi="Arial"/>
          <w:sz w:val="14"/>
          <w:szCs w:val="14"/>
          <w:b w:val="1"/>
          <w:bCs w:val="1"/>
          <w:color w:val="auto"/>
        </w:rPr>
        <w:t>QUARTERLY REPORT PURSUANT TO SECTION 13 OR 15(d) OF THE SECURITIES EXCHANGE ACT OF 1934 For the quarterly period ended March 31, 2023</w:t>
      </w:r>
    </w:p>
    <w:p>
      <w:pPr>
        <w:spacing w:after="0" w:line="122" w:lineRule="exact"/>
        <w:rPr>
          <w:sz w:val="24"/>
          <w:szCs w:val="24"/>
          <w:color w:val="auto"/>
        </w:rPr>
      </w:pPr>
    </w:p>
    <w:p>
      <w:pPr>
        <w:ind w:left="3920" w:right="2680" w:hanging="3208"/>
        <w:spacing w:after="0" w:line="345" w:lineRule="auto"/>
        <w:tabs>
          <w:tab w:leader="none" w:pos="1517" w:val="left"/>
        </w:tabs>
        <w:numPr>
          <w:ilvl w:val="0"/>
          <w:numId w:val="2"/>
        </w:numPr>
        <w:rPr>
          <w:rFonts w:ascii="MS PGothic" w:cs="MS PGothic" w:eastAsia="MS PGothic" w:hAnsi="MS PGothic"/>
          <w:sz w:val="17"/>
          <w:szCs w:val="17"/>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spacing w:after="0" w:line="32"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4"/>
          <w:szCs w:val="14"/>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2040255</wp:posOffset>
            </wp:positionH>
            <wp:positionV relativeFrom="paragraph">
              <wp:posOffset>75565</wp:posOffset>
            </wp:positionV>
            <wp:extent cx="3069590" cy="75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69590" cy="753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WILLSCOT MOBILE MINI HOLDINGS CORP.</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3940" w:type="dxa"/>
            <w:vAlign w:val="bottom"/>
          </w:tcPr>
          <w:p>
            <w:pPr>
              <w:spacing w:after="0"/>
              <w:rPr>
                <w:sz w:val="15"/>
                <w:szCs w:val="15"/>
                <w:color w:val="auto"/>
              </w:rPr>
            </w:pPr>
          </w:p>
        </w:tc>
        <w:tc>
          <w:tcPr>
            <w:tcW w:w="3700" w:type="dxa"/>
            <w:vAlign w:val="bottom"/>
          </w:tcPr>
          <w:p>
            <w:pPr>
              <w:jc w:val="center"/>
              <w:ind w:right="271"/>
              <w:spacing w:after="0"/>
              <w:rPr>
                <w:sz w:val="20"/>
                <w:szCs w:val="20"/>
                <w:color w:val="auto"/>
              </w:rPr>
            </w:pPr>
            <w:r>
              <w:rPr>
                <w:rFonts w:ascii="Arial" w:cs="Arial" w:eastAsia="Arial" w:hAnsi="Arial"/>
                <w:sz w:val="14"/>
                <w:szCs w:val="14"/>
                <w:color w:val="auto"/>
                <w:w w:val="97"/>
              </w:rPr>
              <w:t>(Exact name of registrant as specified in its charter)</w:t>
            </w:r>
          </w:p>
        </w:tc>
        <w:tc>
          <w:tcPr>
            <w:tcW w:w="3600" w:type="dxa"/>
            <w:vAlign w:val="bottom"/>
          </w:tcPr>
          <w:p>
            <w:pPr>
              <w:spacing w:after="0"/>
              <w:rPr>
                <w:sz w:val="15"/>
                <w:szCs w:val="15"/>
                <w:color w:val="auto"/>
              </w:rPr>
            </w:pPr>
          </w:p>
        </w:tc>
      </w:tr>
      <w:tr>
        <w:trPr>
          <w:trHeight w:val="188"/>
        </w:trPr>
        <w:tc>
          <w:tcPr>
            <w:tcW w:w="3940" w:type="dxa"/>
            <w:vAlign w:val="bottom"/>
          </w:tcPr>
          <w:p>
            <w:pPr>
              <w:jc w:val="center"/>
              <w:ind w:right="51"/>
              <w:spacing w:after="0"/>
              <w:rPr>
                <w:sz w:val="20"/>
                <w:szCs w:val="20"/>
                <w:color w:val="auto"/>
              </w:rPr>
            </w:pPr>
            <w:r>
              <w:rPr>
                <w:rFonts w:ascii="Arial" w:cs="Arial" w:eastAsia="Arial" w:hAnsi="Arial"/>
                <w:sz w:val="14"/>
                <w:szCs w:val="14"/>
                <w:b w:val="1"/>
                <w:bCs w:val="1"/>
                <w:color w:val="auto"/>
              </w:rPr>
              <w:t>Delaware</w:t>
            </w:r>
          </w:p>
        </w:tc>
        <w:tc>
          <w:tcPr>
            <w:tcW w:w="3700" w:type="dxa"/>
            <w:vAlign w:val="bottom"/>
          </w:tcPr>
          <w:p>
            <w:pPr>
              <w:spacing w:after="0"/>
              <w:rPr>
                <w:sz w:val="16"/>
                <w:szCs w:val="16"/>
                <w:color w:val="auto"/>
              </w:rPr>
            </w:pPr>
          </w:p>
        </w:tc>
        <w:tc>
          <w:tcPr>
            <w:tcW w:w="3600" w:type="dxa"/>
            <w:vAlign w:val="bottom"/>
          </w:tcPr>
          <w:p>
            <w:pPr>
              <w:jc w:val="right"/>
              <w:ind w:right="1471"/>
              <w:spacing w:after="0"/>
              <w:rPr>
                <w:sz w:val="20"/>
                <w:szCs w:val="20"/>
                <w:color w:val="auto"/>
              </w:rPr>
            </w:pPr>
            <w:r>
              <w:rPr>
                <w:rFonts w:ascii="Arial" w:cs="Arial" w:eastAsia="Arial" w:hAnsi="Arial"/>
                <w:sz w:val="14"/>
                <w:szCs w:val="14"/>
                <w:b w:val="1"/>
                <w:bCs w:val="1"/>
                <w:color w:val="auto"/>
              </w:rPr>
              <w:t>82-3430194</w:t>
            </w:r>
          </w:p>
        </w:tc>
      </w:tr>
      <w:tr>
        <w:trPr>
          <w:trHeight w:val="187"/>
        </w:trPr>
        <w:tc>
          <w:tcPr>
            <w:tcW w:w="3940" w:type="dxa"/>
            <w:vAlign w:val="bottom"/>
          </w:tcPr>
          <w:p>
            <w:pPr>
              <w:jc w:val="center"/>
              <w:ind w:right="51"/>
              <w:spacing w:after="0"/>
              <w:rPr>
                <w:sz w:val="20"/>
                <w:szCs w:val="20"/>
                <w:color w:val="auto"/>
              </w:rPr>
            </w:pPr>
            <w:r>
              <w:rPr>
                <w:rFonts w:ascii="Arial" w:cs="Arial" w:eastAsia="Arial" w:hAnsi="Arial"/>
                <w:sz w:val="14"/>
                <w:szCs w:val="14"/>
                <w:color w:val="auto"/>
                <w:w w:val="97"/>
              </w:rPr>
              <w:t>(State or other jurisdiction of incorporation)</w:t>
            </w:r>
          </w:p>
        </w:tc>
        <w:tc>
          <w:tcPr>
            <w:tcW w:w="3700" w:type="dxa"/>
            <w:vAlign w:val="bottom"/>
          </w:tcPr>
          <w:p>
            <w:pPr>
              <w:spacing w:after="0"/>
              <w:rPr>
                <w:sz w:val="16"/>
                <w:szCs w:val="16"/>
                <w:color w:val="auto"/>
              </w:rPr>
            </w:pPr>
          </w:p>
        </w:tc>
        <w:tc>
          <w:tcPr>
            <w:tcW w:w="3600" w:type="dxa"/>
            <w:vAlign w:val="bottom"/>
          </w:tcPr>
          <w:p>
            <w:pPr>
              <w:jc w:val="center"/>
              <w:ind w:right="131"/>
              <w:spacing w:after="0"/>
              <w:rPr>
                <w:sz w:val="20"/>
                <w:szCs w:val="20"/>
                <w:color w:val="auto"/>
              </w:rPr>
            </w:pPr>
            <w:r>
              <w:rPr>
                <w:rFonts w:ascii="Arial" w:cs="Arial" w:eastAsia="Arial" w:hAnsi="Arial"/>
                <w:sz w:val="14"/>
                <w:szCs w:val="14"/>
                <w:color w:val="auto"/>
                <w:w w:val="98"/>
              </w:rPr>
              <w:t>(I.R.S. Employer Identification No.)</w:t>
            </w:r>
          </w:p>
        </w:tc>
      </w:tr>
      <w:tr>
        <w:trPr>
          <w:trHeight w:val="256"/>
        </w:trPr>
        <w:tc>
          <w:tcPr>
            <w:tcW w:w="3940" w:type="dxa"/>
            <w:vAlign w:val="bottom"/>
          </w:tcPr>
          <w:p>
            <w:pPr>
              <w:spacing w:after="0"/>
              <w:rPr>
                <w:sz w:val="22"/>
                <w:szCs w:val="22"/>
                <w:color w:val="auto"/>
              </w:rPr>
            </w:pPr>
          </w:p>
        </w:tc>
        <w:tc>
          <w:tcPr>
            <w:tcW w:w="3700" w:type="dxa"/>
            <w:vAlign w:val="bottom"/>
          </w:tcPr>
          <w:p>
            <w:pPr>
              <w:jc w:val="center"/>
              <w:ind w:right="271"/>
              <w:spacing w:after="0"/>
              <w:rPr>
                <w:sz w:val="20"/>
                <w:szCs w:val="20"/>
                <w:color w:val="auto"/>
              </w:rPr>
            </w:pPr>
            <w:r>
              <w:rPr>
                <w:rFonts w:ascii="Arial" w:cs="Arial" w:eastAsia="Arial" w:hAnsi="Arial"/>
                <w:sz w:val="14"/>
                <w:szCs w:val="14"/>
                <w:b w:val="1"/>
                <w:bCs w:val="1"/>
                <w:color w:val="auto"/>
                <w:w w:val="97"/>
              </w:rPr>
              <w:t>4646 E Van Buren St., Suite 400</w:t>
            </w:r>
          </w:p>
        </w:tc>
        <w:tc>
          <w:tcPr>
            <w:tcW w:w="3600" w:type="dxa"/>
            <w:vAlign w:val="bottom"/>
          </w:tcPr>
          <w:p>
            <w:pPr>
              <w:spacing w:after="0"/>
              <w:rPr>
                <w:sz w:val="22"/>
                <w:szCs w:val="22"/>
                <w:color w:val="auto"/>
              </w:rPr>
            </w:pPr>
          </w:p>
        </w:tc>
      </w:tr>
      <w:tr>
        <w:trPr>
          <w:trHeight w:val="170"/>
        </w:trPr>
        <w:tc>
          <w:tcPr>
            <w:tcW w:w="3940" w:type="dxa"/>
            <w:vAlign w:val="bottom"/>
          </w:tcPr>
          <w:p>
            <w:pPr>
              <w:spacing w:after="0"/>
              <w:rPr>
                <w:sz w:val="14"/>
                <w:szCs w:val="14"/>
                <w:color w:val="auto"/>
              </w:rPr>
            </w:pPr>
          </w:p>
        </w:tc>
        <w:tc>
          <w:tcPr>
            <w:tcW w:w="3700" w:type="dxa"/>
            <w:vAlign w:val="bottom"/>
          </w:tcPr>
          <w:p>
            <w:pPr>
              <w:jc w:val="center"/>
              <w:ind w:right="251"/>
              <w:spacing w:after="0"/>
              <w:rPr>
                <w:sz w:val="20"/>
                <w:szCs w:val="20"/>
                <w:color w:val="auto"/>
              </w:rPr>
            </w:pPr>
            <w:r>
              <w:rPr>
                <w:rFonts w:ascii="Arial" w:cs="Arial" w:eastAsia="Arial" w:hAnsi="Arial"/>
                <w:sz w:val="14"/>
                <w:szCs w:val="14"/>
                <w:b w:val="1"/>
                <w:bCs w:val="1"/>
                <w:color w:val="auto"/>
                <w:w w:val="98"/>
              </w:rPr>
              <w:t>Phoenix, Arizona 85008</w:t>
            </w:r>
          </w:p>
        </w:tc>
        <w:tc>
          <w:tcPr>
            <w:tcW w:w="3600" w:type="dxa"/>
            <w:vAlign w:val="bottom"/>
          </w:tcPr>
          <w:p>
            <w:pPr>
              <w:spacing w:after="0"/>
              <w:rPr>
                <w:sz w:val="14"/>
                <w:szCs w:val="14"/>
                <w:color w:val="auto"/>
              </w:rPr>
            </w:pPr>
          </w:p>
        </w:tc>
      </w:tr>
      <w:tr>
        <w:trPr>
          <w:trHeight w:val="180"/>
        </w:trPr>
        <w:tc>
          <w:tcPr>
            <w:tcW w:w="7640" w:type="dxa"/>
            <w:vAlign w:val="bottom"/>
            <w:gridSpan w:val="2"/>
          </w:tcPr>
          <w:p>
            <w:pPr>
              <w:jc w:val="center"/>
              <w:ind w:left="3531"/>
              <w:spacing w:after="0"/>
              <w:rPr>
                <w:sz w:val="20"/>
                <w:szCs w:val="20"/>
                <w:color w:val="auto"/>
              </w:rPr>
            </w:pPr>
            <w:r>
              <w:rPr>
                <w:rFonts w:ascii="Arial" w:cs="Arial" w:eastAsia="Arial" w:hAnsi="Arial"/>
                <w:sz w:val="14"/>
                <w:szCs w:val="14"/>
                <w:color w:val="auto"/>
                <w:w w:val="98"/>
              </w:rPr>
              <w:t>(Address, including zip code, of principal executive offices)</w:t>
            </w:r>
          </w:p>
        </w:tc>
        <w:tc>
          <w:tcPr>
            <w:tcW w:w="3600" w:type="dxa"/>
            <w:vAlign w:val="bottom"/>
          </w:tcPr>
          <w:p>
            <w:pPr>
              <w:spacing w:after="0"/>
              <w:rPr>
                <w:sz w:val="15"/>
                <w:szCs w:val="15"/>
                <w:color w:val="auto"/>
              </w:rPr>
            </w:pPr>
          </w:p>
        </w:tc>
      </w:tr>
      <w:tr>
        <w:trPr>
          <w:trHeight w:val="374"/>
        </w:trPr>
        <w:tc>
          <w:tcPr>
            <w:tcW w:w="3940" w:type="dxa"/>
            <w:vAlign w:val="bottom"/>
          </w:tcPr>
          <w:p>
            <w:pPr>
              <w:spacing w:after="0"/>
              <w:rPr>
                <w:sz w:val="24"/>
                <w:szCs w:val="24"/>
                <w:color w:val="auto"/>
              </w:rPr>
            </w:pPr>
          </w:p>
        </w:tc>
        <w:tc>
          <w:tcPr>
            <w:tcW w:w="3700" w:type="dxa"/>
            <w:vAlign w:val="bottom"/>
          </w:tcPr>
          <w:p>
            <w:pPr>
              <w:jc w:val="center"/>
              <w:ind w:right="251"/>
              <w:spacing w:after="0"/>
              <w:rPr>
                <w:sz w:val="20"/>
                <w:szCs w:val="20"/>
                <w:color w:val="auto"/>
              </w:rPr>
            </w:pPr>
            <w:r>
              <w:rPr>
                <w:rFonts w:ascii="Arial" w:cs="Arial" w:eastAsia="Arial" w:hAnsi="Arial"/>
                <w:sz w:val="14"/>
                <w:szCs w:val="14"/>
                <w:b w:val="1"/>
                <w:bCs w:val="1"/>
                <w:color w:val="auto"/>
                <w:w w:val="98"/>
              </w:rPr>
              <w:t>(480) 894-6311</w:t>
            </w:r>
          </w:p>
        </w:tc>
        <w:tc>
          <w:tcPr>
            <w:tcW w:w="3600" w:type="dxa"/>
            <w:vAlign w:val="bottom"/>
          </w:tcPr>
          <w:p>
            <w:pPr>
              <w:spacing w:after="0"/>
              <w:rPr>
                <w:sz w:val="24"/>
                <w:szCs w:val="24"/>
                <w:color w:val="auto"/>
              </w:rPr>
            </w:pPr>
          </w:p>
        </w:tc>
      </w:tr>
      <w:tr>
        <w:trPr>
          <w:trHeight w:val="180"/>
        </w:trPr>
        <w:tc>
          <w:tcPr>
            <w:tcW w:w="3940" w:type="dxa"/>
            <w:vAlign w:val="bottom"/>
          </w:tcPr>
          <w:p>
            <w:pPr>
              <w:spacing w:after="0"/>
              <w:rPr>
                <w:sz w:val="15"/>
                <w:szCs w:val="15"/>
                <w:color w:val="auto"/>
              </w:rPr>
            </w:pPr>
          </w:p>
        </w:tc>
        <w:tc>
          <w:tcPr>
            <w:tcW w:w="3700" w:type="dxa"/>
            <w:vAlign w:val="bottom"/>
          </w:tcPr>
          <w:p>
            <w:pPr>
              <w:jc w:val="center"/>
              <w:ind w:right="251"/>
              <w:spacing w:after="0"/>
              <w:rPr>
                <w:sz w:val="20"/>
                <w:szCs w:val="20"/>
                <w:color w:val="auto"/>
              </w:rPr>
            </w:pPr>
            <w:r>
              <w:rPr>
                <w:rFonts w:ascii="Arial" w:cs="Arial" w:eastAsia="Arial" w:hAnsi="Arial"/>
                <w:sz w:val="14"/>
                <w:szCs w:val="14"/>
                <w:color w:val="auto"/>
                <w:w w:val="97"/>
              </w:rPr>
              <w:t>(Registrant’s telephone number, including area code)</w:t>
            </w:r>
          </w:p>
        </w:tc>
        <w:tc>
          <w:tcPr>
            <w:tcW w:w="3600" w:type="dxa"/>
            <w:vAlign w:val="bottom"/>
          </w:tcPr>
          <w:p>
            <w:pPr>
              <w:spacing w:after="0"/>
              <w:rPr>
                <w:sz w:val="15"/>
                <w:szCs w:val="15"/>
                <w:color w:val="auto"/>
              </w:rPr>
            </w:pPr>
          </w:p>
        </w:tc>
      </w:tr>
      <w:tr>
        <w:trPr>
          <w:trHeight w:val="271"/>
        </w:trPr>
        <w:tc>
          <w:tcPr>
            <w:tcW w:w="7640" w:type="dxa"/>
            <w:vAlign w:val="bottom"/>
            <w:gridSpan w:val="2"/>
          </w:tcPr>
          <w:p>
            <w:pPr>
              <w:jc w:val="center"/>
              <w:ind w:left="3531"/>
              <w:spacing w:after="0"/>
              <w:rPr>
                <w:sz w:val="20"/>
                <w:szCs w:val="20"/>
                <w:color w:val="auto"/>
              </w:rPr>
            </w:pPr>
            <w:r>
              <w:rPr>
                <w:rFonts w:ascii="Arial" w:cs="Arial" w:eastAsia="Arial" w:hAnsi="Arial"/>
                <w:sz w:val="14"/>
                <w:szCs w:val="14"/>
                <w:color w:val="auto"/>
                <w:w w:val="98"/>
              </w:rPr>
              <w:t>(Former Name or Former Address, if Changed Since Last Report)</w:t>
            </w:r>
          </w:p>
        </w:tc>
        <w:tc>
          <w:tcPr>
            <w:tcW w:w="3600" w:type="dxa"/>
            <w:vAlign w:val="bottom"/>
          </w:tcPr>
          <w:p>
            <w:pPr>
              <w:spacing w:after="0"/>
              <w:rPr>
                <w:sz w:val="23"/>
                <w:szCs w:val="23"/>
                <w:color w:val="auto"/>
              </w:rPr>
            </w:pPr>
          </w:p>
        </w:tc>
      </w:tr>
      <w:tr>
        <w:trPr>
          <w:trHeight w:val="400"/>
        </w:trPr>
        <w:tc>
          <w:tcPr>
            <w:tcW w:w="394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7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3"/>
        </w:trPr>
        <w:tc>
          <w:tcPr>
            <w:tcW w:w="3940" w:type="dxa"/>
            <w:vAlign w:val="bottom"/>
            <w:tcBorders>
              <w:bottom w:val="single" w:sz="8" w:color="auto"/>
            </w:tcBorders>
          </w:tcPr>
          <w:p>
            <w:pPr>
              <w:jc w:val="center"/>
              <w:ind w:left="1011"/>
              <w:spacing w:after="0"/>
              <w:rPr>
                <w:sz w:val="20"/>
                <w:szCs w:val="20"/>
                <w:color w:val="auto"/>
              </w:rPr>
            </w:pPr>
            <w:r>
              <w:rPr>
                <w:rFonts w:ascii="Arial" w:cs="Arial" w:eastAsia="Arial" w:hAnsi="Arial"/>
                <w:sz w:val="14"/>
                <w:szCs w:val="14"/>
                <w:b w:val="1"/>
                <w:bCs w:val="1"/>
                <w:color w:val="auto"/>
                <w:w w:val="97"/>
              </w:rPr>
              <w:t>Title of each class</w:t>
            </w:r>
          </w:p>
        </w:tc>
        <w:tc>
          <w:tcPr>
            <w:tcW w:w="3700" w:type="dxa"/>
            <w:vAlign w:val="bottom"/>
            <w:tcBorders>
              <w:bottom w:val="single" w:sz="8" w:color="auto"/>
            </w:tcBorders>
          </w:tcPr>
          <w:p>
            <w:pPr>
              <w:jc w:val="center"/>
              <w:ind w:left="311"/>
              <w:spacing w:after="0"/>
              <w:rPr>
                <w:sz w:val="20"/>
                <w:szCs w:val="20"/>
                <w:color w:val="auto"/>
              </w:rPr>
            </w:pPr>
            <w:r>
              <w:rPr>
                <w:rFonts w:ascii="Arial" w:cs="Arial" w:eastAsia="Arial" w:hAnsi="Arial"/>
                <w:sz w:val="14"/>
                <w:szCs w:val="14"/>
                <w:b w:val="1"/>
                <w:bCs w:val="1"/>
                <w:color w:val="auto"/>
                <w:w w:val="97"/>
              </w:rPr>
              <w:t>Trading Symbol(s)</w:t>
            </w:r>
          </w:p>
        </w:tc>
        <w:tc>
          <w:tcPr>
            <w:tcW w:w="3600" w:type="dxa"/>
            <w:vAlign w:val="bottom"/>
            <w:tcBorders>
              <w:bottom w:val="single" w:sz="8" w:color="auto"/>
            </w:tcBorders>
          </w:tcPr>
          <w:p>
            <w:pPr>
              <w:jc w:val="center"/>
              <w:ind w:right="631"/>
              <w:spacing w:after="0"/>
              <w:rPr>
                <w:sz w:val="20"/>
                <w:szCs w:val="20"/>
                <w:color w:val="auto"/>
              </w:rPr>
            </w:pPr>
            <w:r>
              <w:rPr>
                <w:rFonts w:ascii="Arial" w:cs="Arial" w:eastAsia="Arial" w:hAnsi="Arial"/>
                <w:sz w:val="14"/>
                <w:szCs w:val="14"/>
                <w:b w:val="1"/>
                <w:bCs w:val="1"/>
                <w:color w:val="auto"/>
                <w:w w:val="98"/>
              </w:rPr>
              <w:t>Name of each exchange on which registered</w:t>
            </w:r>
          </w:p>
        </w:tc>
      </w:tr>
      <w:tr>
        <w:trPr>
          <w:trHeight w:val="179"/>
        </w:trPr>
        <w:tc>
          <w:tcPr>
            <w:tcW w:w="3940" w:type="dxa"/>
            <w:vAlign w:val="bottom"/>
          </w:tcPr>
          <w:p>
            <w:pPr>
              <w:jc w:val="center"/>
              <w:ind w:left="1011"/>
              <w:spacing w:after="0"/>
              <w:rPr>
                <w:sz w:val="20"/>
                <w:szCs w:val="20"/>
                <w:color w:val="auto"/>
              </w:rPr>
            </w:pPr>
            <w:r>
              <w:rPr>
                <w:rFonts w:ascii="Arial" w:cs="Arial" w:eastAsia="Arial" w:hAnsi="Arial"/>
                <w:sz w:val="14"/>
                <w:szCs w:val="14"/>
                <w:color w:val="auto"/>
                <w:w w:val="98"/>
              </w:rPr>
              <w:t>Common Stock, par value $0.0001 per share</w:t>
            </w:r>
          </w:p>
        </w:tc>
        <w:tc>
          <w:tcPr>
            <w:tcW w:w="3700" w:type="dxa"/>
            <w:vAlign w:val="bottom"/>
          </w:tcPr>
          <w:p>
            <w:pPr>
              <w:jc w:val="center"/>
              <w:ind w:left="311"/>
              <w:spacing w:after="0"/>
              <w:rPr>
                <w:sz w:val="20"/>
                <w:szCs w:val="20"/>
                <w:color w:val="auto"/>
              </w:rPr>
            </w:pPr>
            <w:r>
              <w:rPr>
                <w:rFonts w:ascii="Arial" w:cs="Arial" w:eastAsia="Arial" w:hAnsi="Arial"/>
                <w:sz w:val="14"/>
                <w:szCs w:val="14"/>
                <w:color w:val="auto"/>
                <w:w w:val="97"/>
              </w:rPr>
              <w:t>WSC</w:t>
            </w:r>
          </w:p>
        </w:tc>
        <w:tc>
          <w:tcPr>
            <w:tcW w:w="3600" w:type="dxa"/>
            <w:vAlign w:val="bottom"/>
          </w:tcPr>
          <w:p>
            <w:pPr>
              <w:jc w:val="center"/>
              <w:ind w:right="631"/>
              <w:spacing w:after="0"/>
              <w:rPr>
                <w:sz w:val="20"/>
                <w:szCs w:val="20"/>
                <w:color w:val="auto"/>
              </w:rPr>
            </w:pPr>
            <w:r>
              <w:rPr>
                <w:rFonts w:ascii="Arial" w:cs="Arial" w:eastAsia="Arial" w:hAnsi="Arial"/>
                <w:sz w:val="14"/>
                <w:szCs w:val="14"/>
                <w:color w:val="auto"/>
                <w:w w:val="97"/>
              </w:rPr>
              <w:t>The Nasdaq Capital Market</w:t>
            </w:r>
          </w:p>
        </w:tc>
      </w:tr>
    </w:tbl>
    <w:p>
      <w:pPr>
        <w:spacing w:after="0" w:line="361" w:lineRule="exact"/>
        <w:rPr>
          <w:sz w:val="24"/>
          <w:szCs w:val="24"/>
          <w:color w:val="auto"/>
        </w:rPr>
      </w:pPr>
    </w:p>
    <w:p>
      <w:pPr>
        <w:jc w:val="both"/>
        <w:ind w:firstLine="619"/>
        <w:spacing w:after="0" w:line="180"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1" w:lineRule="exact"/>
        <w:rPr>
          <w:sz w:val="24"/>
          <w:szCs w:val="24"/>
          <w:color w:val="auto"/>
        </w:rPr>
      </w:pPr>
    </w:p>
    <w:p>
      <w:pPr>
        <w:jc w:val="both"/>
        <w:ind w:firstLine="619"/>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7" w:lineRule="exact"/>
        <w:rPr>
          <w:sz w:val="24"/>
          <w:szCs w:val="24"/>
          <w:color w:val="auto"/>
        </w:rPr>
      </w:pPr>
    </w:p>
    <w:p>
      <w:pPr>
        <w:jc w:val="both"/>
        <w:ind w:firstLine="619"/>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25" w:right="339" w:bottom="1440" w:gutter="0" w:footer="0" w:header="0"/>
        </w:sectPr>
      </w:pPr>
    </w:p>
    <w:p>
      <w:pPr>
        <w:spacing w:after="0" w:line="29" w:lineRule="exact"/>
        <w:rPr>
          <w:sz w:val="24"/>
          <w:szCs w:val="24"/>
          <w:color w:val="auto"/>
        </w:rPr>
      </w:pPr>
    </w:p>
    <w:p>
      <w:pPr>
        <w:ind w:left="6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jc w:val="center"/>
        <w:ind w:right="384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66" w:lineRule="exact"/>
        <w:rPr>
          <w:sz w:val="24"/>
          <w:szCs w:val="24"/>
          <w:color w:val="auto"/>
        </w:rPr>
      </w:pPr>
    </w:p>
    <w:p>
      <w:pPr>
        <w:sectPr>
          <w:pgSz w:w="11900" w:h="16838" w:orient="portrait"/>
          <w:cols w:equalWidth="0" w:num="2">
            <w:col w:w="5540" w:space="720"/>
            <w:col w:w="4980"/>
          </w:cols>
          <w:pgMar w:left="320" w:top="925" w:right="339" w:bottom="1440" w:gutter="0" w:footer="0" w:header="0"/>
          <w:type w:val="continuous"/>
        </w:sectPr>
      </w:pPr>
    </w:p>
    <w:p>
      <w:pPr>
        <w:ind w:left="68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57" w:lineRule="exact"/>
        <w:rPr>
          <w:sz w:val="24"/>
          <w:szCs w:val="24"/>
          <w:color w:val="auto"/>
        </w:rPr>
      </w:pPr>
    </w:p>
    <w:p>
      <w:pPr>
        <w:sectPr>
          <w:pgSz w:w="11900" w:h="16838" w:orient="portrait"/>
          <w:cols w:equalWidth="0" w:num="2">
            <w:col w:w="5540" w:space="720"/>
            <w:col w:w="4980"/>
          </w:cols>
          <w:pgMar w:left="320" w:top="925" w:right="339" w:bottom="1440" w:gutter="0" w:footer="0" w:header="0"/>
          <w:type w:val="continuous"/>
        </w:sectPr>
      </w:pPr>
    </w:p>
    <w:p>
      <w:pPr>
        <w:ind w:left="62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40"/>
          </w:cols>
          <w:pgMar w:left="320" w:top="925" w:right="339" w:bottom="1440" w:gutter="0" w:footer="0" w:header="0"/>
          <w:type w:val="continuous"/>
        </w:sectPr>
      </w:pPr>
    </w:p>
    <w:p>
      <w:pPr>
        <w:spacing w:after="0" w:line="200" w:lineRule="exact"/>
        <w:rPr>
          <w:sz w:val="24"/>
          <w:szCs w:val="24"/>
          <w:color w:val="auto"/>
        </w:rPr>
      </w:pPr>
    </w:p>
    <w:p>
      <w:pPr>
        <w:ind w:firstLine="619"/>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 w:lineRule="exact"/>
        <w:rPr>
          <w:sz w:val="24"/>
          <w:szCs w:val="24"/>
          <w:color w:val="auto"/>
        </w:rPr>
      </w:pPr>
    </w:p>
    <w:p>
      <w:pPr>
        <w:ind w:left="620" w:right="3600"/>
        <w:spacing w:after="0" w:line="21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Shares of Common Stock, par value $0.0001 per share, outstanding: 202,317,982 shares at April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901065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7138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1D2758"/>
        </w:rPr>
        <w:t>WILLSCOT MOBILE MINI HOLDINGS CORP.</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D2758"/>
        </w:rPr>
        <w:t>Quarterly Report on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Table of Contents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38670" cy="2374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83"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5"/>
          <w:szCs w:val="15"/>
          <w:color w:val="auto"/>
        </w:rPr>
        <w:t>Item 1</w:t>
      </w:r>
      <w:r>
        <w:rPr>
          <w:sz w:val="20"/>
          <w:szCs w:val="20"/>
          <w:color w:val="auto"/>
        </w:rPr>
        <w:tab/>
      </w:r>
      <w:r>
        <w:rPr>
          <w:rFonts w:ascii="Arial" w:cs="Arial" w:eastAsia="Arial" w:hAnsi="Arial"/>
          <w:sz w:val="15"/>
          <w:szCs w:val="15"/>
          <w:color w:val="auto"/>
        </w:rPr>
        <w:t>Financial Statements (unaudited, except as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138670" cy="237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81"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Balance Sheets as of March 31, 2023 and December 31, 2022 (audited)</w:t>
      </w:r>
    </w:p>
    <w:p>
      <w:pPr>
        <w:spacing w:after="0" w:line="201"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Statements of Operations for the Three Months Ended March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138670" cy="237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81"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Statements of Comprehensive Income for the Three Months Ended March 31, 2023 and 2022</w:t>
      </w:r>
    </w:p>
    <w:p>
      <w:pPr>
        <w:spacing w:after="0" w:line="201" w:lineRule="exact"/>
        <w:rPr>
          <w:sz w:val="20"/>
          <w:szCs w:val="20"/>
          <w:color w:val="auto"/>
        </w:rPr>
      </w:pPr>
    </w:p>
    <w:p>
      <w:pPr>
        <w:ind w:left="1600" w:right="1820"/>
        <w:spacing w:after="0" w:line="330" w:lineRule="auto"/>
        <w:rPr>
          <w:sz w:val="20"/>
          <w:szCs w:val="20"/>
          <w:color w:val="auto"/>
        </w:rPr>
      </w:pPr>
      <w:r>
        <w:rPr>
          <w:rFonts w:ascii="Arial" w:cs="Arial" w:eastAsia="Arial" w:hAnsi="Arial"/>
          <w:sz w:val="15"/>
          <w:szCs w:val="15"/>
          <w:color w:val="auto"/>
        </w:rPr>
        <w:t>Condensed Consolidated Statements of Changes in Equity for the Three Months Ended March 31, 2023 and 2022 Condensed Consolidated Statements of Cash Flows for the Three Months Ended March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-170180</wp:posOffset>
            </wp:positionV>
            <wp:extent cx="7138670" cy="237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86"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138670" cy="237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81"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5"/>
          <w:szCs w:val="15"/>
          <w:color w:val="auto"/>
        </w:rPr>
        <w:t>Item 2</w:t>
      </w:r>
      <w:r>
        <w:rPr>
          <w:sz w:val="20"/>
          <w:szCs w:val="20"/>
          <w:color w:val="auto"/>
        </w:rPr>
        <w:tab/>
      </w:r>
      <w:r>
        <w:rPr>
          <w:rFonts w:ascii="Arial" w:cs="Arial" w:eastAsia="Arial" w:hAnsi="Arial"/>
          <w:sz w:val="15"/>
          <w:szCs w:val="15"/>
          <w:color w:val="auto"/>
        </w:rPr>
        <w:t>Management’s Discussion and Analysis of Financial Condition and Results of Operations</w:t>
      </w:r>
    </w:p>
    <w:p>
      <w:pPr>
        <w:spacing w:after="0" w:line="201"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5"/>
          <w:szCs w:val="15"/>
          <w:color w:val="auto"/>
        </w:rPr>
        <w:t>Item 3</w:t>
      </w:r>
      <w:r>
        <w:rPr>
          <w:sz w:val="20"/>
          <w:szCs w:val="20"/>
          <w:color w:val="auto"/>
        </w:rPr>
        <w:tab/>
      </w:r>
      <w:r>
        <w:rPr>
          <w:rFonts w:ascii="Arial" w:cs="Arial" w:eastAsia="Arial" w:hAnsi="Arial"/>
          <w:sz w:val="15"/>
          <w:szCs w:val="15"/>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138670" cy="2374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81" w:lineRule="exact"/>
        <w:rPr>
          <w:sz w:val="20"/>
          <w:szCs w:val="20"/>
          <w:color w:val="auto"/>
        </w:rPr>
      </w:pPr>
    </w:p>
    <w:p>
      <w:pPr>
        <w:ind w:left="400"/>
        <w:spacing w:after="0"/>
        <w:tabs>
          <w:tab w:leader="none" w:pos="1240" w:val="left"/>
        </w:tabs>
        <w:rPr>
          <w:sz w:val="20"/>
          <w:szCs w:val="20"/>
          <w:color w:val="auto"/>
        </w:rPr>
      </w:pPr>
      <w:r>
        <w:rPr>
          <w:rFonts w:ascii="Arial" w:cs="Arial" w:eastAsia="Arial" w:hAnsi="Arial"/>
          <w:sz w:val="15"/>
          <w:szCs w:val="15"/>
          <w:color w:val="auto"/>
        </w:rPr>
        <w:t>Item 4</w:t>
      </w:r>
      <w:r>
        <w:rPr>
          <w:sz w:val="20"/>
          <w:szCs w:val="20"/>
          <w:color w:val="auto"/>
        </w:rPr>
        <w:tab/>
      </w:r>
      <w:r>
        <w:rPr>
          <w:rFonts w:ascii="Arial" w:cs="Arial" w:eastAsia="Arial" w:hAnsi="Arial"/>
          <w:sz w:val="15"/>
          <w:szCs w:val="15"/>
          <w:color w:val="auto"/>
        </w:rPr>
        <w:t>Controls and Procedures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PART II Other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1</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Legal Proceedings</w:t>
            </w:r>
          </w:p>
        </w:tc>
      </w:tr>
      <w:tr>
        <w:trPr>
          <w:trHeight w:val="150"/>
        </w:trPr>
        <w:tc>
          <w:tcPr>
            <w:tcW w:w="1100" w:type="dxa"/>
            <w:vAlign w:val="bottom"/>
            <w:shd w:val="clear" w:color="auto" w:fill="DBDBDB"/>
          </w:tcPr>
          <w:p>
            <w:pPr>
              <w:spacing w:after="0"/>
              <w:rPr>
                <w:sz w:val="13"/>
                <w:szCs w:val="13"/>
                <w:color w:val="auto"/>
              </w:rPr>
            </w:pPr>
          </w:p>
        </w:tc>
        <w:tc>
          <w:tcPr>
            <w:tcW w:w="10140" w:type="dxa"/>
            <w:vAlign w:val="bottom"/>
            <w:shd w:val="clear" w:color="auto" w:fill="DBDBDB"/>
          </w:tcPr>
          <w:p>
            <w:pPr>
              <w:spacing w:after="0"/>
              <w:rPr>
                <w:sz w:val="13"/>
                <w:szCs w:val="13"/>
                <w:color w:val="auto"/>
              </w:rPr>
            </w:pPr>
          </w:p>
        </w:tc>
      </w:tr>
      <w:tr>
        <w:trPr>
          <w:trHeight w:val="205"/>
        </w:trPr>
        <w:tc>
          <w:tcPr>
            <w:tcW w:w="1100" w:type="dxa"/>
            <w:vAlign w:val="bottom"/>
          </w:tcPr>
          <w:p>
            <w:pPr>
              <w:ind w:left="400"/>
              <w:spacing w:after="0"/>
              <w:rPr>
                <w:sz w:val="20"/>
                <w:szCs w:val="20"/>
                <w:color w:val="auto"/>
              </w:rPr>
            </w:pPr>
            <w:r>
              <w:rPr>
                <w:rFonts w:ascii="Arial" w:cs="Arial" w:eastAsia="Arial" w:hAnsi="Arial"/>
                <w:sz w:val="15"/>
                <w:szCs w:val="15"/>
                <w:color w:val="auto"/>
              </w:rPr>
              <w:t>Item 1A</w:t>
            </w:r>
          </w:p>
        </w:tc>
        <w:tc>
          <w:tcPr>
            <w:tcW w:w="10140" w:type="dxa"/>
            <w:vAlign w:val="bottom"/>
          </w:tcPr>
          <w:p>
            <w:pPr>
              <w:ind w:left="160"/>
              <w:spacing w:after="0"/>
              <w:rPr>
                <w:sz w:val="20"/>
                <w:szCs w:val="20"/>
                <w:color w:val="auto"/>
              </w:rPr>
            </w:pPr>
            <w:r>
              <w:rPr>
                <w:rFonts w:ascii="Arial" w:cs="Arial" w:eastAsia="Arial" w:hAnsi="Arial"/>
                <w:sz w:val="15"/>
                <w:szCs w:val="15"/>
                <w:color w:val="auto"/>
              </w:rPr>
              <w:t>Risk Factors</w:t>
            </w:r>
          </w:p>
        </w:tc>
      </w:tr>
      <w:tr>
        <w:trPr>
          <w:trHeight w:val="169"/>
        </w:trPr>
        <w:tc>
          <w:tcPr>
            <w:tcW w:w="1100" w:type="dxa"/>
            <w:vAlign w:val="bottom"/>
          </w:tcPr>
          <w:p>
            <w:pPr>
              <w:spacing w:after="0"/>
              <w:rPr>
                <w:sz w:val="14"/>
                <w:szCs w:val="14"/>
                <w:color w:val="auto"/>
              </w:rPr>
            </w:pPr>
          </w:p>
        </w:tc>
        <w:tc>
          <w:tcPr>
            <w:tcW w:w="10140" w:type="dxa"/>
            <w:vAlign w:val="bottom"/>
          </w:tcPr>
          <w:p>
            <w:pPr>
              <w:spacing w:after="0"/>
              <w:rPr>
                <w:sz w:val="14"/>
                <w:szCs w:val="14"/>
                <w:color w:val="auto"/>
              </w:rPr>
            </w:pPr>
          </w:p>
        </w:tc>
      </w:tr>
      <w:tr>
        <w:trPr>
          <w:trHeight w:val="205"/>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2</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Unregistered Sales of Equity Securities and Use of Proceeds</w:t>
            </w:r>
          </w:p>
        </w:tc>
      </w:tr>
      <w:tr>
        <w:trPr>
          <w:trHeight w:val="169"/>
        </w:trPr>
        <w:tc>
          <w:tcPr>
            <w:tcW w:w="1100" w:type="dxa"/>
            <w:vAlign w:val="bottom"/>
            <w:shd w:val="clear" w:color="auto" w:fill="DBDBDB"/>
          </w:tcPr>
          <w:p>
            <w:pPr>
              <w:spacing w:after="0"/>
              <w:rPr>
                <w:sz w:val="14"/>
                <w:szCs w:val="14"/>
                <w:color w:val="auto"/>
              </w:rPr>
            </w:pPr>
          </w:p>
        </w:tc>
        <w:tc>
          <w:tcPr>
            <w:tcW w:w="10140" w:type="dxa"/>
            <w:vAlign w:val="bottom"/>
            <w:shd w:val="clear" w:color="auto" w:fill="DBDBDB"/>
          </w:tcPr>
          <w:p>
            <w:pPr>
              <w:spacing w:after="0"/>
              <w:rPr>
                <w:sz w:val="14"/>
                <w:szCs w:val="14"/>
                <w:color w:val="auto"/>
              </w:rPr>
            </w:pPr>
          </w:p>
        </w:tc>
      </w:tr>
      <w:tr>
        <w:trPr>
          <w:trHeight w:val="205"/>
        </w:trPr>
        <w:tc>
          <w:tcPr>
            <w:tcW w:w="1100" w:type="dxa"/>
            <w:vAlign w:val="bottom"/>
          </w:tcPr>
          <w:p>
            <w:pPr>
              <w:ind w:left="400"/>
              <w:spacing w:after="0"/>
              <w:rPr>
                <w:sz w:val="20"/>
                <w:szCs w:val="20"/>
                <w:color w:val="auto"/>
              </w:rPr>
            </w:pPr>
            <w:r>
              <w:rPr>
                <w:rFonts w:ascii="Arial" w:cs="Arial" w:eastAsia="Arial" w:hAnsi="Arial"/>
                <w:sz w:val="15"/>
                <w:szCs w:val="15"/>
                <w:color w:val="auto"/>
              </w:rPr>
              <w:t>Item 3</w:t>
            </w:r>
          </w:p>
        </w:tc>
        <w:tc>
          <w:tcPr>
            <w:tcW w:w="10140" w:type="dxa"/>
            <w:vAlign w:val="bottom"/>
          </w:tcPr>
          <w:p>
            <w:pPr>
              <w:ind w:left="160"/>
              <w:spacing w:after="0"/>
              <w:rPr>
                <w:sz w:val="20"/>
                <w:szCs w:val="20"/>
                <w:color w:val="auto"/>
              </w:rPr>
            </w:pPr>
            <w:r>
              <w:rPr>
                <w:rFonts w:ascii="Arial" w:cs="Arial" w:eastAsia="Arial" w:hAnsi="Arial"/>
                <w:sz w:val="15"/>
                <w:szCs w:val="15"/>
                <w:color w:val="auto"/>
              </w:rPr>
              <w:t>Defaults Upon Senior Securities</w:t>
            </w:r>
          </w:p>
        </w:tc>
      </w:tr>
      <w:tr>
        <w:trPr>
          <w:trHeight w:val="169"/>
        </w:trPr>
        <w:tc>
          <w:tcPr>
            <w:tcW w:w="1100" w:type="dxa"/>
            <w:vAlign w:val="bottom"/>
          </w:tcPr>
          <w:p>
            <w:pPr>
              <w:spacing w:after="0"/>
              <w:rPr>
                <w:sz w:val="14"/>
                <w:szCs w:val="14"/>
                <w:color w:val="auto"/>
              </w:rPr>
            </w:pPr>
          </w:p>
        </w:tc>
        <w:tc>
          <w:tcPr>
            <w:tcW w:w="10140" w:type="dxa"/>
            <w:vAlign w:val="bottom"/>
          </w:tcPr>
          <w:p>
            <w:pPr>
              <w:spacing w:after="0"/>
              <w:rPr>
                <w:sz w:val="14"/>
                <w:szCs w:val="14"/>
                <w:color w:val="auto"/>
              </w:rPr>
            </w:pPr>
          </w:p>
        </w:tc>
      </w:tr>
      <w:tr>
        <w:trPr>
          <w:trHeight w:val="205"/>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4</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Mine Safety Disclosures</w:t>
            </w:r>
          </w:p>
        </w:tc>
      </w:tr>
      <w:tr>
        <w:trPr>
          <w:trHeight w:val="169"/>
        </w:trPr>
        <w:tc>
          <w:tcPr>
            <w:tcW w:w="1100" w:type="dxa"/>
            <w:vAlign w:val="bottom"/>
            <w:shd w:val="clear" w:color="auto" w:fill="DBDBDB"/>
          </w:tcPr>
          <w:p>
            <w:pPr>
              <w:spacing w:after="0"/>
              <w:rPr>
                <w:sz w:val="14"/>
                <w:szCs w:val="14"/>
                <w:color w:val="auto"/>
              </w:rPr>
            </w:pPr>
          </w:p>
        </w:tc>
        <w:tc>
          <w:tcPr>
            <w:tcW w:w="10140" w:type="dxa"/>
            <w:vAlign w:val="bottom"/>
            <w:shd w:val="clear" w:color="auto" w:fill="DBDBDB"/>
          </w:tcPr>
          <w:p>
            <w:pPr>
              <w:spacing w:after="0"/>
              <w:rPr>
                <w:sz w:val="14"/>
                <w:szCs w:val="14"/>
                <w:color w:val="auto"/>
              </w:rPr>
            </w:pPr>
          </w:p>
        </w:tc>
      </w:tr>
      <w:tr>
        <w:trPr>
          <w:trHeight w:val="205"/>
        </w:trPr>
        <w:tc>
          <w:tcPr>
            <w:tcW w:w="1100" w:type="dxa"/>
            <w:vAlign w:val="bottom"/>
          </w:tcPr>
          <w:p>
            <w:pPr>
              <w:ind w:left="400"/>
              <w:spacing w:after="0"/>
              <w:rPr>
                <w:sz w:val="20"/>
                <w:szCs w:val="20"/>
                <w:color w:val="auto"/>
              </w:rPr>
            </w:pPr>
            <w:r>
              <w:rPr>
                <w:rFonts w:ascii="Arial" w:cs="Arial" w:eastAsia="Arial" w:hAnsi="Arial"/>
                <w:sz w:val="15"/>
                <w:szCs w:val="15"/>
                <w:color w:val="auto"/>
              </w:rPr>
              <w:t>Item 5</w:t>
            </w:r>
          </w:p>
        </w:tc>
        <w:tc>
          <w:tcPr>
            <w:tcW w:w="10140" w:type="dxa"/>
            <w:vAlign w:val="bottom"/>
          </w:tcPr>
          <w:p>
            <w:pPr>
              <w:ind w:left="160"/>
              <w:spacing w:after="0"/>
              <w:rPr>
                <w:sz w:val="20"/>
                <w:szCs w:val="20"/>
                <w:color w:val="auto"/>
              </w:rPr>
            </w:pPr>
            <w:r>
              <w:rPr>
                <w:rFonts w:ascii="Arial" w:cs="Arial" w:eastAsia="Arial" w:hAnsi="Arial"/>
                <w:sz w:val="15"/>
                <w:szCs w:val="15"/>
                <w:color w:val="auto"/>
              </w:rPr>
              <w:t>Other Information</w:t>
            </w:r>
          </w:p>
        </w:tc>
      </w:tr>
      <w:tr>
        <w:trPr>
          <w:trHeight w:val="169"/>
        </w:trPr>
        <w:tc>
          <w:tcPr>
            <w:tcW w:w="1100" w:type="dxa"/>
            <w:vAlign w:val="bottom"/>
          </w:tcPr>
          <w:p>
            <w:pPr>
              <w:spacing w:after="0"/>
              <w:rPr>
                <w:sz w:val="14"/>
                <w:szCs w:val="14"/>
                <w:color w:val="auto"/>
              </w:rPr>
            </w:pPr>
          </w:p>
        </w:tc>
        <w:tc>
          <w:tcPr>
            <w:tcW w:w="10140" w:type="dxa"/>
            <w:vAlign w:val="bottom"/>
          </w:tcPr>
          <w:p>
            <w:pPr>
              <w:spacing w:after="0"/>
              <w:rPr>
                <w:sz w:val="14"/>
                <w:szCs w:val="14"/>
                <w:color w:val="auto"/>
              </w:rPr>
            </w:pPr>
          </w:p>
        </w:tc>
      </w:tr>
      <w:tr>
        <w:trPr>
          <w:trHeight w:val="205"/>
        </w:trPr>
        <w:tc>
          <w:tcPr>
            <w:tcW w:w="1100" w:type="dxa"/>
            <w:vAlign w:val="bottom"/>
            <w:shd w:val="clear" w:color="auto" w:fill="DBDBDB"/>
          </w:tcPr>
          <w:p>
            <w:pPr>
              <w:ind w:left="400"/>
              <w:spacing w:after="0"/>
              <w:rPr>
                <w:sz w:val="20"/>
                <w:szCs w:val="20"/>
                <w:color w:val="auto"/>
              </w:rPr>
            </w:pPr>
            <w:r>
              <w:rPr>
                <w:rFonts w:ascii="Arial" w:cs="Arial" w:eastAsia="Arial" w:hAnsi="Arial"/>
                <w:sz w:val="15"/>
                <w:szCs w:val="15"/>
                <w:color w:val="auto"/>
              </w:rPr>
              <w:t>Item 6</w:t>
            </w:r>
          </w:p>
        </w:tc>
        <w:tc>
          <w:tcPr>
            <w:tcW w:w="101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Exhibits</w:t>
            </w:r>
          </w:p>
        </w:tc>
      </w:tr>
      <w:tr>
        <w:trPr>
          <w:trHeight w:val="169"/>
        </w:trPr>
        <w:tc>
          <w:tcPr>
            <w:tcW w:w="1100" w:type="dxa"/>
            <w:vAlign w:val="bottom"/>
            <w:shd w:val="clear" w:color="auto" w:fill="DBDBDB"/>
          </w:tcPr>
          <w:p>
            <w:pPr>
              <w:spacing w:after="0"/>
              <w:rPr>
                <w:sz w:val="14"/>
                <w:szCs w:val="14"/>
                <w:color w:val="auto"/>
              </w:rPr>
            </w:pPr>
          </w:p>
        </w:tc>
        <w:tc>
          <w:tcPr>
            <w:tcW w:w="10140" w:type="dxa"/>
            <w:vAlign w:val="bottom"/>
            <w:shd w:val="clear" w:color="auto" w:fill="DBDBDB"/>
          </w:tcPr>
          <w:p>
            <w:pPr>
              <w:spacing w:after="0"/>
              <w:rPr>
                <w:sz w:val="14"/>
                <w:szCs w:val="14"/>
                <w:color w:val="auto"/>
              </w:rPr>
            </w:pPr>
          </w:p>
        </w:tc>
      </w:tr>
      <w:tr>
        <w:trPr>
          <w:trHeight w:val="214"/>
        </w:trPr>
        <w:tc>
          <w:tcPr>
            <w:tcW w:w="1100" w:type="dxa"/>
            <w:vAlign w:val="bottom"/>
          </w:tcPr>
          <w:p>
            <w:pPr>
              <w:ind w:left="20"/>
              <w:spacing w:after="0"/>
              <w:rPr>
                <w:sz w:val="20"/>
                <w:szCs w:val="20"/>
                <w:color w:val="auto"/>
              </w:rPr>
            </w:pPr>
            <w:r>
              <w:rPr>
                <w:rFonts w:ascii="Arial" w:cs="Arial" w:eastAsia="Arial" w:hAnsi="Arial"/>
                <w:sz w:val="15"/>
                <w:szCs w:val="15"/>
                <w:b w:val="1"/>
                <w:bCs w:val="1"/>
                <w:color w:val="auto"/>
              </w:rPr>
              <w:t>SIGNATURE</w:t>
            </w:r>
          </w:p>
        </w:tc>
        <w:tc>
          <w:tcPr>
            <w:tcW w:w="101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212725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475"/>
        </w:trPr>
        <w:tc>
          <w:tcPr>
            <w:tcW w:w="3480" w:type="dxa"/>
            <w:vAlign w:val="bottom"/>
          </w:tcPr>
          <w:p>
            <w:pPr>
              <w:ind w:left="2180"/>
              <w:spacing w:after="0"/>
              <w:rPr>
                <w:sz w:val="20"/>
                <w:szCs w:val="20"/>
                <w:color w:val="auto"/>
              </w:rPr>
            </w:pPr>
            <w:r>
              <w:rPr>
                <w:rFonts w:ascii="Arial" w:cs="Arial" w:eastAsia="Arial" w:hAnsi="Arial"/>
                <w:sz w:val="34"/>
                <w:szCs w:val="34"/>
                <w:b w:val="1"/>
                <w:bCs w:val="1"/>
                <w:color w:val="auto"/>
              </w:rPr>
              <w:t>ITEM 1.</w:t>
            </w:r>
          </w:p>
        </w:tc>
        <w:tc>
          <w:tcPr>
            <w:tcW w:w="4300" w:type="dxa"/>
            <w:vAlign w:val="bottom"/>
            <w:gridSpan w:val="2"/>
          </w:tcPr>
          <w:p>
            <w:pPr>
              <w:jc w:val="right"/>
              <w:ind w:right="503"/>
              <w:spacing w:after="0"/>
              <w:rPr>
                <w:sz w:val="20"/>
                <w:szCs w:val="20"/>
                <w:color w:val="auto"/>
              </w:rPr>
            </w:pPr>
            <w:r>
              <w:rPr>
                <w:rFonts w:ascii="Arial" w:cs="Arial" w:eastAsia="Arial" w:hAnsi="Arial"/>
                <w:sz w:val="34"/>
                <w:szCs w:val="34"/>
                <w:b w:val="1"/>
                <w:bCs w:val="1"/>
                <w:color w:val="auto"/>
              </w:rPr>
              <w:t>Financial Statements</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3480" w:type="dxa"/>
            <w:vAlign w:val="bottom"/>
          </w:tcPr>
          <w:p>
            <w:pPr>
              <w:spacing w:after="0"/>
              <w:rPr>
                <w:sz w:val="24"/>
                <w:szCs w:val="24"/>
                <w:color w:val="auto"/>
              </w:rPr>
            </w:pPr>
          </w:p>
        </w:tc>
        <w:tc>
          <w:tcPr>
            <w:tcW w:w="4300" w:type="dxa"/>
            <w:vAlign w:val="bottom"/>
            <w:gridSpan w:val="2"/>
          </w:tcPr>
          <w:p>
            <w:pPr>
              <w:jc w:val="right"/>
              <w:ind w:right="303"/>
              <w:spacing w:after="0"/>
              <w:rPr>
                <w:sz w:val="20"/>
                <w:szCs w:val="20"/>
                <w:color w:val="auto"/>
              </w:rPr>
            </w:pPr>
            <w:r>
              <w:rPr>
                <w:rFonts w:ascii="Arial" w:cs="Arial" w:eastAsia="Arial" w:hAnsi="Arial"/>
                <w:sz w:val="22"/>
                <w:szCs w:val="22"/>
                <w:color w:val="1D2758"/>
              </w:rPr>
              <w:t>WillScot Mobile Mini Holdings Corp.</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480" w:type="dxa"/>
            <w:vAlign w:val="bottom"/>
          </w:tcPr>
          <w:p>
            <w:pPr>
              <w:spacing w:after="0"/>
              <w:rPr>
                <w:sz w:val="24"/>
                <w:szCs w:val="24"/>
                <w:color w:val="auto"/>
              </w:rPr>
            </w:pPr>
          </w:p>
        </w:tc>
        <w:tc>
          <w:tcPr>
            <w:tcW w:w="4300" w:type="dxa"/>
            <w:vAlign w:val="bottom"/>
            <w:gridSpan w:val="2"/>
          </w:tcPr>
          <w:p>
            <w:pPr>
              <w:jc w:val="right"/>
              <w:ind w:right="3"/>
              <w:spacing w:after="0"/>
              <w:rPr>
                <w:sz w:val="20"/>
                <w:szCs w:val="20"/>
                <w:color w:val="auto"/>
              </w:rPr>
            </w:pPr>
            <w:r>
              <w:rPr>
                <w:rFonts w:ascii="Arial" w:cs="Arial" w:eastAsia="Arial" w:hAnsi="Arial"/>
                <w:sz w:val="22"/>
                <w:szCs w:val="22"/>
                <w:color w:val="1D2758"/>
              </w:rPr>
              <w:t>Condensed Consolidated Balance Sheets</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4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share data)</w:t>
            </w:r>
          </w:p>
        </w:tc>
        <w:tc>
          <w:tcPr>
            <w:tcW w:w="2720" w:type="dxa"/>
            <w:vAlign w:val="bottom"/>
            <w:shd w:val="clear" w:color="auto" w:fill="1D2758"/>
          </w:tcPr>
          <w:p>
            <w:pPr>
              <w:spacing w:after="0"/>
              <w:rPr>
                <w:sz w:val="24"/>
                <w:szCs w:val="24"/>
                <w:color w:val="auto"/>
              </w:rPr>
            </w:pPr>
          </w:p>
        </w:tc>
        <w:tc>
          <w:tcPr>
            <w:tcW w:w="2560" w:type="dxa"/>
            <w:vAlign w:val="bottom"/>
            <w:gridSpan w:val="3"/>
            <w:vMerge w:val="restart"/>
            <w:shd w:val="clear" w:color="auto" w:fill="1D2758"/>
          </w:tcPr>
          <w:p>
            <w:pPr>
              <w:ind w:left="240"/>
              <w:spacing w:after="0"/>
              <w:rPr>
                <w:sz w:val="20"/>
                <w:szCs w:val="20"/>
                <w:color w:val="auto"/>
              </w:rPr>
            </w:pPr>
            <w:r>
              <w:rPr>
                <w:rFonts w:ascii="Arial" w:cs="Arial" w:eastAsia="Arial" w:hAnsi="Arial"/>
                <w:sz w:val="15"/>
                <w:szCs w:val="15"/>
                <w:b w:val="1"/>
                <w:bCs w:val="1"/>
                <w:color w:val="FFFFFF"/>
              </w:rPr>
              <w:t>March 31, 2023 (unaudited)</w:t>
            </w:r>
          </w:p>
        </w:tc>
        <w:tc>
          <w:tcPr>
            <w:tcW w:w="340" w:type="dxa"/>
            <w:vAlign w:val="bottom"/>
            <w:shd w:val="clear" w:color="auto" w:fill="1D2758"/>
          </w:tcPr>
          <w:p>
            <w:pPr>
              <w:spacing w:after="0"/>
              <w:rPr>
                <w:sz w:val="24"/>
                <w:szCs w:val="24"/>
                <w:color w:val="auto"/>
              </w:rPr>
            </w:pPr>
          </w:p>
        </w:tc>
        <w:tc>
          <w:tcPr>
            <w:tcW w:w="2140" w:type="dxa"/>
            <w:vAlign w:val="bottom"/>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December 31, 2022</w:t>
            </w:r>
          </w:p>
        </w:tc>
        <w:tc>
          <w:tcPr>
            <w:tcW w:w="0" w:type="dxa"/>
            <w:vAlign w:val="bottom"/>
          </w:tcPr>
          <w:p>
            <w:pPr>
              <w:spacing w:after="0"/>
              <w:rPr>
                <w:sz w:val="1"/>
                <w:szCs w:val="1"/>
                <w:color w:val="auto"/>
              </w:rPr>
            </w:pPr>
          </w:p>
        </w:tc>
      </w:tr>
      <w:tr>
        <w:trPr>
          <w:trHeight w:val="97"/>
        </w:trPr>
        <w:tc>
          <w:tcPr>
            <w:tcW w:w="3480" w:type="dxa"/>
            <w:vAlign w:val="bottom"/>
            <w:vMerge w:val="continue"/>
            <w:shd w:val="clear" w:color="auto" w:fill="1D2758"/>
          </w:tcPr>
          <w:p>
            <w:pPr>
              <w:spacing w:after="0"/>
              <w:rPr>
                <w:sz w:val="8"/>
                <w:szCs w:val="8"/>
                <w:color w:val="auto"/>
              </w:rPr>
            </w:pPr>
          </w:p>
        </w:tc>
        <w:tc>
          <w:tcPr>
            <w:tcW w:w="2720" w:type="dxa"/>
            <w:vAlign w:val="bottom"/>
            <w:shd w:val="clear" w:color="auto" w:fill="1D2758"/>
          </w:tcPr>
          <w:p>
            <w:pPr>
              <w:spacing w:after="0"/>
              <w:rPr>
                <w:sz w:val="8"/>
                <w:szCs w:val="8"/>
                <w:color w:val="auto"/>
              </w:rPr>
            </w:pPr>
          </w:p>
        </w:tc>
        <w:tc>
          <w:tcPr>
            <w:tcW w:w="2560" w:type="dxa"/>
            <w:vAlign w:val="bottom"/>
            <w:gridSpan w:val="3"/>
            <w:vMerge w:val="continue"/>
            <w:shd w:val="clear" w:color="auto" w:fill="1D2758"/>
          </w:tcPr>
          <w:p>
            <w:pPr>
              <w:spacing w:after="0"/>
              <w:rPr>
                <w:sz w:val="8"/>
                <w:szCs w:val="8"/>
                <w:color w:val="auto"/>
              </w:rPr>
            </w:pPr>
          </w:p>
        </w:tc>
        <w:tc>
          <w:tcPr>
            <w:tcW w:w="340" w:type="dxa"/>
            <w:vAlign w:val="bottom"/>
            <w:shd w:val="clear" w:color="auto" w:fill="1D2758"/>
          </w:tcPr>
          <w:p>
            <w:pPr>
              <w:spacing w:after="0"/>
              <w:rPr>
                <w:sz w:val="8"/>
                <w:szCs w:val="8"/>
                <w:color w:val="auto"/>
              </w:rPr>
            </w:pPr>
          </w:p>
        </w:tc>
        <w:tc>
          <w:tcPr>
            <w:tcW w:w="214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3480" w:type="dxa"/>
            <w:vAlign w:val="bottom"/>
            <w:shd w:val="clear" w:color="auto" w:fill="DDDDDD"/>
          </w:tcPr>
          <w:p>
            <w:pPr>
              <w:ind w:left="20"/>
              <w:spacing w:after="0"/>
              <w:rPr>
                <w:sz w:val="20"/>
                <w:szCs w:val="20"/>
                <w:color w:val="auto"/>
              </w:rPr>
            </w:pPr>
            <w:r>
              <w:rPr>
                <w:rFonts w:ascii="Arial" w:cs="Arial" w:eastAsia="Arial" w:hAnsi="Arial"/>
                <w:sz w:val="15"/>
                <w:szCs w:val="15"/>
                <w:color w:val="auto"/>
              </w:rPr>
              <w:t>Assets</w:t>
            </w:r>
          </w:p>
        </w:tc>
        <w:tc>
          <w:tcPr>
            <w:tcW w:w="2720" w:type="dxa"/>
            <w:vAlign w:val="bottom"/>
            <w:shd w:val="clear" w:color="auto" w:fill="DDDDDD"/>
          </w:tcPr>
          <w:p>
            <w:pPr>
              <w:spacing w:after="0"/>
              <w:rPr>
                <w:sz w:val="17"/>
                <w:szCs w:val="17"/>
                <w:color w:val="auto"/>
              </w:rPr>
            </w:pPr>
          </w:p>
        </w:tc>
        <w:tc>
          <w:tcPr>
            <w:tcW w:w="1580" w:type="dxa"/>
            <w:vAlign w:val="bottom"/>
            <w:shd w:val="clear" w:color="auto" w:fill="DDDDDD"/>
          </w:tcPr>
          <w:p>
            <w:pPr>
              <w:spacing w:after="0"/>
              <w:rPr>
                <w:sz w:val="17"/>
                <w:szCs w:val="17"/>
                <w:color w:val="auto"/>
              </w:rPr>
            </w:pPr>
          </w:p>
        </w:tc>
        <w:tc>
          <w:tcPr>
            <w:tcW w:w="90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14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80" w:type="dxa"/>
            <w:vAlign w:val="bottom"/>
          </w:tcPr>
          <w:p>
            <w:pPr>
              <w:ind w:left="220"/>
              <w:spacing w:after="0"/>
              <w:rPr>
                <w:sz w:val="20"/>
                <w:szCs w:val="20"/>
                <w:color w:val="auto"/>
              </w:rPr>
            </w:pPr>
            <w:r>
              <w:rPr>
                <w:rFonts w:ascii="Arial" w:cs="Arial" w:eastAsia="Arial" w:hAnsi="Arial"/>
                <w:sz w:val="15"/>
                <w:szCs w:val="15"/>
                <w:color w:val="auto"/>
              </w:rPr>
              <w:t>Cash and cash equivalents</w:t>
            </w:r>
          </w:p>
        </w:tc>
        <w:tc>
          <w:tcPr>
            <w:tcW w:w="2720" w:type="dxa"/>
            <w:vAlign w:val="bottom"/>
          </w:tcPr>
          <w:p>
            <w:pPr>
              <w:spacing w:after="0"/>
              <w:rPr>
                <w:sz w:val="17"/>
                <w:szCs w:val="17"/>
                <w:color w:val="auto"/>
              </w:rPr>
            </w:pPr>
          </w:p>
        </w:tc>
        <w:tc>
          <w:tcPr>
            <w:tcW w:w="1580" w:type="dxa"/>
            <w:vAlign w:val="bottom"/>
          </w:tcPr>
          <w:p>
            <w:pPr>
              <w:jc w:val="right"/>
              <w:ind w:right="140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15,918</w:t>
            </w:r>
          </w:p>
        </w:tc>
        <w:tc>
          <w:tcPr>
            <w:tcW w:w="80" w:type="dxa"/>
            <w:vAlign w:val="bottom"/>
          </w:tcPr>
          <w:p>
            <w:pPr>
              <w:spacing w:after="0"/>
              <w:rPr>
                <w:sz w:val="17"/>
                <w:szCs w:val="17"/>
                <w:color w:val="auto"/>
              </w:rPr>
            </w:pP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2140" w:type="dxa"/>
            <w:vAlign w:val="bottom"/>
          </w:tcPr>
          <w:p>
            <w:pPr>
              <w:jc w:val="right"/>
              <w:spacing w:after="0"/>
              <w:rPr>
                <w:sz w:val="20"/>
                <w:szCs w:val="20"/>
                <w:color w:val="auto"/>
              </w:rPr>
            </w:pPr>
            <w:r>
              <w:rPr>
                <w:rFonts w:ascii="Arial" w:cs="Arial" w:eastAsia="Arial" w:hAnsi="Arial"/>
                <w:sz w:val="15"/>
                <w:szCs w:val="15"/>
                <w:color w:val="auto"/>
              </w:rPr>
              <w:t>7,390</w:t>
            </w:r>
          </w:p>
        </w:tc>
        <w:tc>
          <w:tcPr>
            <w:tcW w:w="0" w:type="dxa"/>
            <w:vAlign w:val="bottom"/>
          </w:tcPr>
          <w:p>
            <w:pPr>
              <w:spacing w:after="0"/>
              <w:rPr>
                <w:sz w:val="1"/>
                <w:szCs w:val="1"/>
                <w:color w:val="auto"/>
              </w:rPr>
            </w:pPr>
          </w:p>
        </w:tc>
      </w:tr>
      <w:tr>
        <w:trPr>
          <w:trHeight w:val="156"/>
        </w:trPr>
        <w:tc>
          <w:tcPr>
            <w:tcW w:w="6200" w:type="dxa"/>
            <w:vAlign w:val="bottom"/>
            <w:gridSpan w:val="2"/>
            <w:shd w:val="clear" w:color="auto" w:fill="DDDDDD"/>
          </w:tcPr>
          <w:p>
            <w:pPr>
              <w:ind w:left="220"/>
              <w:spacing w:after="0" w:line="156" w:lineRule="exact"/>
              <w:rPr>
                <w:sz w:val="20"/>
                <w:szCs w:val="20"/>
                <w:color w:val="auto"/>
              </w:rPr>
            </w:pPr>
            <w:r>
              <w:rPr>
                <w:rFonts w:ascii="Arial" w:cs="Arial" w:eastAsia="Arial" w:hAnsi="Arial"/>
                <w:sz w:val="15"/>
                <w:szCs w:val="15"/>
                <w:color w:val="auto"/>
              </w:rPr>
              <w:t>Trade receivables, net of allowances for credit losses at March 31, 2023 and</w:t>
            </w:r>
          </w:p>
        </w:tc>
        <w:tc>
          <w:tcPr>
            <w:tcW w:w="1580" w:type="dxa"/>
            <w:vAlign w:val="bottom"/>
            <w:shd w:val="clear" w:color="auto" w:fill="DDDDDD"/>
          </w:tcPr>
          <w:p>
            <w:pPr>
              <w:spacing w:after="0"/>
              <w:rPr>
                <w:sz w:val="13"/>
                <w:szCs w:val="13"/>
                <w:color w:val="auto"/>
              </w:rPr>
            </w:pPr>
          </w:p>
        </w:tc>
        <w:tc>
          <w:tcPr>
            <w:tcW w:w="900" w:type="dxa"/>
            <w:vAlign w:val="bottom"/>
            <w:vMerge w:val="restart"/>
            <w:shd w:val="clear" w:color="auto" w:fill="DDDDDD"/>
          </w:tcPr>
          <w:p>
            <w:pPr>
              <w:jc w:val="right"/>
              <w:spacing w:after="0"/>
              <w:rPr>
                <w:sz w:val="20"/>
                <w:szCs w:val="20"/>
                <w:color w:val="auto"/>
              </w:rPr>
            </w:pPr>
            <w:r>
              <w:rPr>
                <w:rFonts w:ascii="Arial" w:cs="Arial" w:eastAsia="Arial" w:hAnsi="Arial"/>
                <w:sz w:val="15"/>
                <w:szCs w:val="15"/>
                <w:color w:val="auto"/>
              </w:rPr>
              <w:t>415,344</w:t>
            </w:r>
          </w:p>
        </w:tc>
        <w:tc>
          <w:tcPr>
            <w:tcW w:w="80" w:type="dxa"/>
            <w:vAlign w:val="bottom"/>
            <w:shd w:val="clear" w:color="auto" w:fill="DDDDDD"/>
          </w:tcPr>
          <w:p>
            <w:pPr>
              <w:spacing w:after="0"/>
              <w:rPr>
                <w:sz w:val="13"/>
                <w:szCs w:val="13"/>
                <w:color w:val="auto"/>
              </w:rPr>
            </w:pPr>
          </w:p>
        </w:tc>
        <w:tc>
          <w:tcPr>
            <w:tcW w:w="340" w:type="dxa"/>
            <w:vAlign w:val="bottom"/>
            <w:shd w:val="clear" w:color="auto" w:fill="DDDDDD"/>
          </w:tcPr>
          <w:p>
            <w:pPr>
              <w:spacing w:after="0"/>
              <w:rPr>
                <w:sz w:val="13"/>
                <w:szCs w:val="13"/>
                <w:color w:val="auto"/>
              </w:rPr>
            </w:pPr>
          </w:p>
        </w:tc>
        <w:tc>
          <w:tcPr>
            <w:tcW w:w="2140" w:type="dxa"/>
            <w:vAlign w:val="bottom"/>
            <w:vMerge w:val="restart"/>
            <w:shd w:val="clear" w:color="auto" w:fill="DDDDDD"/>
          </w:tcPr>
          <w:p>
            <w:pPr>
              <w:jc w:val="right"/>
              <w:spacing w:after="0"/>
              <w:rPr>
                <w:sz w:val="20"/>
                <w:szCs w:val="20"/>
                <w:color w:val="auto"/>
              </w:rPr>
            </w:pPr>
            <w:r>
              <w:rPr>
                <w:rFonts w:ascii="Arial" w:cs="Arial" w:eastAsia="Arial" w:hAnsi="Arial"/>
                <w:sz w:val="15"/>
                <w:szCs w:val="15"/>
                <w:color w:val="auto"/>
              </w:rPr>
              <w:t>409,766</w:t>
            </w:r>
          </w:p>
        </w:tc>
        <w:tc>
          <w:tcPr>
            <w:tcW w:w="0" w:type="dxa"/>
            <w:vAlign w:val="bottom"/>
          </w:tcPr>
          <w:p>
            <w:pPr>
              <w:spacing w:after="0"/>
              <w:rPr>
                <w:sz w:val="1"/>
                <w:szCs w:val="1"/>
                <w:color w:val="auto"/>
              </w:rPr>
            </w:pPr>
          </w:p>
        </w:tc>
      </w:tr>
      <w:tr>
        <w:trPr>
          <w:trHeight w:val="206"/>
        </w:trPr>
        <w:tc>
          <w:tcPr>
            <w:tcW w:w="620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December 31, 2022 of $61,402 and $57,048, respectively</w:t>
            </w:r>
          </w:p>
        </w:tc>
        <w:tc>
          <w:tcPr>
            <w:tcW w:w="1580" w:type="dxa"/>
            <w:vAlign w:val="bottom"/>
            <w:shd w:val="clear" w:color="auto" w:fill="DDDDDD"/>
          </w:tcPr>
          <w:p>
            <w:pPr>
              <w:spacing w:after="0"/>
              <w:rPr>
                <w:sz w:val="17"/>
                <w:szCs w:val="17"/>
                <w:color w:val="auto"/>
              </w:rPr>
            </w:pPr>
          </w:p>
        </w:tc>
        <w:tc>
          <w:tcPr>
            <w:tcW w:w="900" w:type="dxa"/>
            <w:vAlign w:val="bottom"/>
            <w:vMerge w:val="continue"/>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14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80" w:type="dxa"/>
            <w:vAlign w:val="bottom"/>
          </w:tcPr>
          <w:p>
            <w:pPr>
              <w:ind w:left="220"/>
              <w:spacing w:after="0"/>
              <w:rPr>
                <w:sz w:val="20"/>
                <w:szCs w:val="20"/>
                <w:color w:val="auto"/>
              </w:rPr>
            </w:pPr>
            <w:r>
              <w:rPr>
                <w:rFonts w:ascii="Arial" w:cs="Arial" w:eastAsia="Arial" w:hAnsi="Arial"/>
                <w:sz w:val="15"/>
                <w:szCs w:val="15"/>
                <w:color w:val="auto"/>
              </w:rPr>
              <w:t>Inventories</w:t>
            </w:r>
          </w:p>
        </w:tc>
        <w:tc>
          <w:tcPr>
            <w:tcW w:w="2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42,007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41,030</w:t>
            </w:r>
          </w:p>
        </w:tc>
        <w:tc>
          <w:tcPr>
            <w:tcW w:w="0" w:type="dxa"/>
            <w:vAlign w:val="bottom"/>
          </w:tcPr>
          <w:p>
            <w:pPr>
              <w:spacing w:after="0"/>
              <w:rPr>
                <w:sz w:val="1"/>
                <w:szCs w:val="1"/>
                <w:color w:val="auto"/>
              </w:rPr>
            </w:pPr>
          </w:p>
        </w:tc>
      </w:tr>
      <w:tr>
        <w:trPr>
          <w:trHeight w:val="207"/>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2720" w:type="dxa"/>
            <w:vAlign w:val="bottom"/>
            <w:shd w:val="clear" w:color="auto" w:fill="DDDDDD"/>
          </w:tcPr>
          <w:p>
            <w:pPr>
              <w:spacing w:after="0"/>
              <w:rPr>
                <w:sz w:val="18"/>
                <w:szCs w:val="18"/>
                <w:color w:val="auto"/>
              </w:rPr>
            </w:pPr>
          </w:p>
        </w:tc>
        <w:tc>
          <w:tcPr>
            <w:tcW w:w="1580" w:type="dxa"/>
            <w:vAlign w:val="bottom"/>
            <w:shd w:val="clear" w:color="auto" w:fill="DDDDDD"/>
          </w:tcPr>
          <w:p>
            <w:pPr>
              <w:spacing w:after="0"/>
              <w:rPr>
                <w:sz w:val="18"/>
                <w:szCs w:val="18"/>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42,684</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31,635</w:t>
            </w:r>
          </w:p>
        </w:tc>
        <w:tc>
          <w:tcPr>
            <w:tcW w:w="0" w:type="dxa"/>
            <w:vAlign w:val="bottom"/>
          </w:tcPr>
          <w:p>
            <w:pPr>
              <w:spacing w:after="0"/>
              <w:rPr>
                <w:sz w:val="1"/>
                <w:szCs w:val="1"/>
                <w:color w:val="auto"/>
              </w:rPr>
            </w:pPr>
          </w:p>
        </w:tc>
      </w:tr>
      <w:tr>
        <w:trPr>
          <w:trHeight w:val="205"/>
        </w:trPr>
        <w:tc>
          <w:tcPr>
            <w:tcW w:w="348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Assets held for sale - current</w:t>
            </w:r>
          </w:p>
        </w:tc>
        <w:tc>
          <w:tcPr>
            <w:tcW w:w="2720" w:type="dxa"/>
            <w:vAlign w:val="bottom"/>
            <w:tcBorders>
              <w:bottom w:val="single" w:sz="8" w:color="DDDDDD"/>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8,924</w:t>
            </w:r>
          </w:p>
        </w:tc>
        <w:tc>
          <w:tcPr>
            <w:tcW w:w="8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31,220</w:t>
            </w:r>
          </w:p>
        </w:tc>
        <w:tc>
          <w:tcPr>
            <w:tcW w:w="0" w:type="dxa"/>
            <w:vAlign w:val="bottom"/>
          </w:tcPr>
          <w:p>
            <w:pPr>
              <w:spacing w:after="0"/>
              <w:rPr>
                <w:sz w:val="1"/>
                <w:szCs w:val="1"/>
                <w:color w:val="auto"/>
              </w:rPr>
            </w:pPr>
          </w:p>
        </w:tc>
      </w:tr>
      <w:tr>
        <w:trPr>
          <w:trHeight w:val="200"/>
        </w:trPr>
        <w:tc>
          <w:tcPr>
            <w:tcW w:w="3480" w:type="dxa"/>
            <w:vAlign w:val="bottom"/>
            <w:shd w:val="clear" w:color="auto" w:fill="DDDDDD"/>
          </w:tcPr>
          <w:p>
            <w:pPr>
              <w:ind w:left="440"/>
              <w:spacing w:after="0"/>
              <w:rPr>
                <w:sz w:val="20"/>
                <w:szCs w:val="20"/>
                <w:color w:val="auto"/>
              </w:rPr>
            </w:pPr>
            <w:r>
              <w:rPr>
                <w:rFonts w:ascii="Arial" w:cs="Arial" w:eastAsia="Arial" w:hAnsi="Arial"/>
                <w:sz w:val="15"/>
                <w:szCs w:val="15"/>
                <w:color w:val="auto"/>
              </w:rPr>
              <w:t>Total current assets</w:t>
            </w:r>
          </w:p>
        </w:tc>
        <w:tc>
          <w:tcPr>
            <w:tcW w:w="2720" w:type="dxa"/>
            <w:vAlign w:val="bottom"/>
            <w:shd w:val="clear" w:color="auto" w:fill="DDDDDD"/>
          </w:tcPr>
          <w:p>
            <w:pPr>
              <w:spacing w:after="0"/>
              <w:rPr>
                <w:sz w:val="17"/>
                <w:szCs w:val="17"/>
                <w:color w:val="auto"/>
              </w:rPr>
            </w:pPr>
          </w:p>
        </w:tc>
        <w:tc>
          <w:tcPr>
            <w:tcW w:w="1580" w:type="dxa"/>
            <w:vAlign w:val="bottom"/>
            <w:shd w:val="clear" w:color="auto" w:fill="DDDDDD"/>
          </w:tcPr>
          <w:p>
            <w:pPr>
              <w:spacing w:after="0"/>
              <w:rPr>
                <w:sz w:val="17"/>
                <w:szCs w:val="17"/>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524,877</w:t>
            </w:r>
          </w:p>
        </w:tc>
        <w:tc>
          <w:tcPr>
            <w:tcW w:w="8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521,041</w:t>
            </w:r>
          </w:p>
        </w:tc>
        <w:tc>
          <w:tcPr>
            <w:tcW w:w="0" w:type="dxa"/>
            <w:vAlign w:val="bottom"/>
          </w:tcPr>
          <w:p>
            <w:pPr>
              <w:spacing w:after="0"/>
              <w:rPr>
                <w:sz w:val="1"/>
                <w:szCs w:val="1"/>
                <w:color w:val="auto"/>
              </w:rPr>
            </w:pPr>
          </w:p>
        </w:tc>
      </w:tr>
      <w:tr>
        <w:trPr>
          <w:trHeight w:val="205"/>
        </w:trPr>
        <w:tc>
          <w:tcPr>
            <w:tcW w:w="3480" w:type="dxa"/>
            <w:vAlign w:val="bottom"/>
          </w:tcPr>
          <w:p>
            <w:pPr>
              <w:ind w:left="220"/>
              <w:spacing w:after="0"/>
              <w:rPr>
                <w:sz w:val="20"/>
                <w:szCs w:val="20"/>
                <w:color w:val="auto"/>
              </w:rPr>
            </w:pPr>
            <w:r>
              <w:rPr>
                <w:rFonts w:ascii="Arial" w:cs="Arial" w:eastAsia="Arial" w:hAnsi="Arial"/>
                <w:sz w:val="15"/>
                <w:szCs w:val="15"/>
                <w:color w:val="auto"/>
              </w:rPr>
              <w:t>Rental equipment, net</w:t>
            </w:r>
          </w:p>
        </w:tc>
        <w:tc>
          <w:tcPr>
            <w:tcW w:w="2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3,128,061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3,077,287</w:t>
            </w:r>
          </w:p>
        </w:tc>
        <w:tc>
          <w:tcPr>
            <w:tcW w:w="0" w:type="dxa"/>
            <w:vAlign w:val="bottom"/>
          </w:tcPr>
          <w:p>
            <w:pPr>
              <w:spacing w:after="0"/>
              <w:rPr>
                <w:sz w:val="1"/>
                <w:szCs w:val="1"/>
                <w:color w:val="auto"/>
              </w:rPr>
            </w:pPr>
          </w:p>
        </w:tc>
      </w:tr>
      <w:tr>
        <w:trPr>
          <w:trHeight w:val="207"/>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Property, plant and equipment, net</w:t>
            </w:r>
          </w:p>
        </w:tc>
        <w:tc>
          <w:tcPr>
            <w:tcW w:w="2720" w:type="dxa"/>
            <w:vAlign w:val="bottom"/>
            <w:shd w:val="clear" w:color="auto" w:fill="DDDDDD"/>
          </w:tcPr>
          <w:p>
            <w:pPr>
              <w:spacing w:after="0"/>
              <w:rPr>
                <w:sz w:val="18"/>
                <w:szCs w:val="18"/>
                <w:color w:val="auto"/>
              </w:rPr>
            </w:pPr>
          </w:p>
        </w:tc>
        <w:tc>
          <w:tcPr>
            <w:tcW w:w="1580" w:type="dxa"/>
            <w:vAlign w:val="bottom"/>
            <w:shd w:val="clear" w:color="auto" w:fill="DDDDDD"/>
          </w:tcPr>
          <w:p>
            <w:pPr>
              <w:spacing w:after="0"/>
              <w:rPr>
                <w:sz w:val="18"/>
                <w:szCs w:val="18"/>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305,608</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304,659</w:t>
            </w:r>
          </w:p>
        </w:tc>
        <w:tc>
          <w:tcPr>
            <w:tcW w:w="0" w:type="dxa"/>
            <w:vAlign w:val="bottom"/>
          </w:tcPr>
          <w:p>
            <w:pPr>
              <w:spacing w:after="0"/>
              <w:rPr>
                <w:sz w:val="1"/>
                <w:szCs w:val="1"/>
                <w:color w:val="auto"/>
              </w:rPr>
            </w:pPr>
          </w:p>
        </w:tc>
      </w:tr>
      <w:tr>
        <w:trPr>
          <w:trHeight w:val="205"/>
        </w:trPr>
        <w:tc>
          <w:tcPr>
            <w:tcW w:w="3480" w:type="dxa"/>
            <w:vAlign w:val="bottom"/>
          </w:tcPr>
          <w:p>
            <w:pPr>
              <w:ind w:left="220"/>
              <w:spacing w:after="0"/>
              <w:rPr>
                <w:sz w:val="20"/>
                <w:szCs w:val="20"/>
                <w:color w:val="auto"/>
              </w:rPr>
            </w:pPr>
            <w:r>
              <w:rPr>
                <w:rFonts w:ascii="Arial" w:cs="Arial" w:eastAsia="Arial" w:hAnsi="Arial"/>
                <w:sz w:val="15"/>
                <w:szCs w:val="15"/>
                <w:color w:val="auto"/>
              </w:rPr>
              <w:t>Operating lease assets</w:t>
            </w:r>
          </w:p>
        </w:tc>
        <w:tc>
          <w:tcPr>
            <w:tcW w:w="2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219,926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219,405</w:t>
            </w:r>
          </w:p>
        </w:tc>
        <w:tc>
          <w:tcPr>
            <w:tcW w:w="0" w:type="dxa"/>
            <w:vAlign w:val="bottom"/>
          </w:tcPr>
          <w:p>
            <w:pPr>
              <w:spacing w:after="0"/>
              <w:rPr>
                <w:sz w:val="1"/>
                <w:szCs w:val="1"/>
                <w:color w:val="auto"/>
              </w:rPr>
            </w:pPr>
          </w:p>
        </w:tc>
      </w:tr>
      <w:tr>
        <w:trPr>
          <w:trHeight w:val="207"/>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Goodwill</w:t>
            </w:r>
          </w:p>
        </w:tc>
        <w:tc>
          <w:tcPr>
            <w:tcW w:w="2720" w:type="dxa"/>
            <w:vAlign w:val="bottom"/>
            <w:shd w:val="clear" w:color="auto" w:fill="DDDDDD"/>
          </w:tcPr>
          <w:p>
            <w:pPr>
              <w:spacing w:after="0"/>
              <w:rPr>
                <w:sz w:val="18"/>
                <w:szCs w:val="18"/>
                <w:color w:val="auto"/>
              </w:rPr>
            </w:pPr>
          </w:p>
        </w:tc>
        <w:tc>
          <w:tcPr>
            <w:tcW w:w="1580" w:type="dxa"/>
            <w:vAlign w:val="bottom"/>
            <w:shd w:val="clear" w:color="auto" w:fill="DDDDDD"/>
          </w:tcPr>
          <w:p>
            <w:pPr>
              <w:spacing w:after="0"/>
              <w:rPr>
                <w:sz w:val="18"/>
                <w:szCs w:val="18"/>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1,011,513</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1,011,429</w:t>
            </w:r>
          </w:p>
        </w:tc>
        <w:tc>
          <w:tcPr>
            <w:tcW w:w="0" w:type="dxa"/>
            <w:vAlign w:val="bottom"/>
          </w:tcPr>
          <w:p>
            <w:pPr>
              <w:spacing w:after="0"/>
              <w:rPr>
                <w:sz w:val="1"/>
                <w:szCs w:val="1"/>
                <w:color w:val="auto"/>
              </w:rPr>
            </w:pPr>
          </w:p>
        </w:tc>
      </w:tr>
      <w:tr>
        <w:trPr>
          <w:trHeight w:val="205"/>
        </w:trPr>
        <w:tc>
          <w:tcPr>
            <w:tcW w:w="3480" w:type="dxa"/>
            <w:vAlign w:val="bottom"/>
          </w:tcPr>
          <w:p>
            <w:pPr>
              <w:ind w:left="220"/>
              <w:spacing w:after="0"/>
              <w:rPr>
                <w:sz w:val="20"/>
                <w:szCs w:val="20"/>
                <w:color w:val="auto"/>
              </w:rPr>
            </w:pPr>
            <w:r>
              <w:rPr>
                <w:rFonts w:ascii="Arial" w:cs="Arial" w:eastAsia="Arial" w:hAnsi="Arial"/>
                <w:sz w:val="15"/>
                <w:szCs w:val="15"/>
                <w:color w:val="auto"/>
              </w:rPr>
              <w:t>Intangible assets, net</w:t>
            </w:r>
          </w:p>
        </w:tc>
        <w:tc>
          <w:tcPr>
            <w:tcW w:w="2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413,188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419,125</w:t>
            </w:r>
          </w:p>
        </w:tc>
        <w:tc>
          <w:tcPr>
            <w:tcW w:w="0" w:type="dxa"/>
            <w:vAlign w:val="bottom"/>
          </w:tcPr>
          <w:p>
            <w:pPr>
              <w:spacing w:after="0"/>
              <w:rPr>
                <w:sz w:val="1"/>
                <w:szCs w:val="1"/>
                <w:color w:val="auto"/>
              </w:rPr>
            </w:pPr>
          </w:p>
        </w:tc>
      </w:tr>
      <w:tr>
        <w:trPr>
          <w:trHeight w:val="207"/>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Other non-current assets</w:t>
            </w:r>
          </w:p>
        </w:tc>
        <w:tc>
          <w:tcPr>
            <w:tcW w:w="2720" w:type="dxa"/>
            <w:vAlign w:val="bottom"/>
            <w:shd w:val="clear" w:color="auto" w:fill="DDDDDD"/>
          </w:tcPr>
          <w:p>
            <w:pPr>
              <w:spacing w:after="0"/>
              <w:rPr>
                <w:sz w:val="18"/>
                <w:szCs w:val="18"/>
                <w:color w:val="auto"/>
              </w:rPr>
            </w:pPr>
          </w:p>
        </w:tc>
        <w:tc>
          <w:tcPr>
            <w:tcW w:w="1580" w:type="dxa"/>
            <w:vAlign w:val="bottom"/>
            <w:shd w:val="clear" w:color="auto" w:fill="DDDDDD"/>
          </w:tcPr>
          <w:p>
            <w:pPr>
              <w:spacing w:after="0"/>
              <w:rPr>
                <w:sz w:val="18"/>
                <w:szCs w:val="18"/>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6,578</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6,683</w:t>
            </w:r>
          </w:p>
        </w:tc>
        <w:tc>
          <w:tcPr>
            <w:tcW w:w="0" w:type="dxa"/>
            <w:vAlign w:val="bottom"/>
          </w:tcPr>
          <w:p>
            <w:pPr>
              <w:spacing w:after="0"/>
              <w:rPr>
                <w:sz w:val="1"/>
                <w:szCs w:val="1"/>
                <w:color w:val="auto"/>
              </w:rPr>
            </w:pPr>
          </w:p>
        </w:tc>
      </w:tr>
      <w:tr>
        <w:trPr>
          <w:trHeight w:val="205"/>
        </w:trPr>
        <w:tc>
          <w:tcPr>
            <w:tcW w:w="3480" w:type="dxa"/>
            <w:vAlign w:val="bottom"/>
          </w:tcPr>
          <w:p>
            <w:pPr>
              <w:ind w:left="220"/>
              <w:spacing w:after="0"/>
              <w:rPr>
                <w:sz w:val="20"/>
                <w:szCs w:val="20"/>
                <w:color w:val="auto"/>
              </w:rPr>
            </w:pPr>
            <w:r>
              <w:rPr>
                <w:rFonts w:ascii="Arial" w:cs="Arial" w:eastAsia="Arial" w:hAnsi="Arial"/>
                <w:sz w:val="15"/>
                <w:szCs w:val="15"/>
                <w:color w:val="auto"/>
              </w:rPr>
              <w:t>Assets held for sale - non-current</w:t>
            </w:r>
          </w:p>
        </w:tc>
        <w:tc>
          <w:tcPr>
            <w:tcW w:w="2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268,022</w:t>
            </w:r>
          </w:p>
        </w:tc>
        <w:tc>
          <w:tcPr>
            <w:tcW w:w="0" w:type="dxa"/>
            <w:vAlign w:val="bottom"/>
          </w:tcPr>
          <w:p>
            <w:pPr>
              <w:spacing w:after="0"/>
              <w:rPr>
                <w:sz w:val="1"/>
                <w:szCs w:val="1"/>
                <w:color w:val="auto"/>
              </w:rPr>
            </w:pPr>
          </w:p>
        </w:tc>
      </w:tr>
      <w:tr>
        <w:trPr>
          <w:trHeight w:val="200"/>
        </w:trPr>
        <w:tc>
          <w:tcPr>
            <w:tcW w:w="3480" w:type="dxa"/>
            <w:vAlign w:val="bottom"/>
            <w:tcBorders>
              <w:top w:val="single" w:sz="8" w:color="DDDDDD"/>
            </w:tcBorders>
            <w:shd w:val="clear" w:color="auto" w:fill="DDDDDD"/>
          </w:tcPr>
          <w:p>
            <w:pPr>
              <w:ind w:left="440"/>
              <w:spacing w:after="0"/>
              <w:rPr>
                <w:sz w:val="20"/>
                <w:szCs w:val="20"/>
                <w:color w:val="auto"/>
              </w:rPr>
            </w:pPr>
            <w:r>
              <w:rPr>
                <w:rFonts w:ascii="Arial" w:cs="Arial" w:eastAsia="Arial" w:hAnsi="Arial"/>
                <w:sz w:val="15"/>
                <w:szCs w:val="15"/>
                <w:color w:val="auto"/>
              </w:rPr>
              <w:t>Total long-term assets</w:t>
            </w:r>
          </w:p>
        </w:tc>
        <w:tc>
          <w:tcPr>
            <w:tcW w:w="2720" w:type="dxa"/>
            <w:vAlign w:val="bottom"/>
            <w:tcBorders>
              <w:top w:val="single" w:sz="8" w:color="DDDDDD"/>
            </w:tcBorders>
            <w:shd w:val="clear" w:color="auto" w:fill="DDDDDD"/>
          </w:tcPr>
          <w:p>
            <w:pPr>
              <w:spacing w:after="0"/>
              <w:rPr>
                <w:sz w:val="17"/>
                <w:szCs w:val="17"/>
                <w:color w:val="auto"/>
              </w:rPr>
            </w:pPr>
          </w:p>
        </w:tc>
        <w:tc>
          <w:tcPr>
            <w:tcW w:w="1580" w:type="dxa"/>
            <w:vAlign w:val="bottom"/>
            <w:tcBorders>
              <w:top w:val="single" w:sz="8" w:color="auto"/>
              <w:bottom w:val="single" w:sz="8" w:color="auto"/>
            </w:tcBorders>
            <w:shd w:val="clear" w:color="auto" w:fill="DDDDDD"/>
          </w:tcPr>
          <w:p>
            <w:pPr>
              <w:spacing w:after="0"/>
              <w:rPr>
                <w:sz w:val="17"/>
                <w:szCs w:val="17"/>
                <w:color w:val="auto"/>
              </w:rPr>
            </w:pPr>
          </w:p>
        </w:tc>
        <w:tc>
          <w:tcPr>
            <w:tcW w:w="9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5,084,874</w:t>
            </w:r>
          </w:p>
        </w:tc>
        <w:tc>
          <w:tcPr>
            <w:tcW w:w="80" w:type="dxa"/>
            <w:vAlign w:val="bottom"/>
            <w:tcBorders>
              <w:top w:val="single" w:sz="8" w:color="DDDDDD"/>
            </w:tcBorders>
            <w:shd w:val="clear" w:color="auto" w:fill="DDDDDD"/>
          </w:tcPr>
          <w:p>
            <w:pPr>
              <w:spacing w:after="0"/>
              <w:rPr>
                <w:sz w:val="17"/>
                <w:szCs w:val="17"/>
                <w:color w:val="auto"/>
              </w:rPr>
            </w:pPr>
          </w:p>
        </w:tc>
        <w:tc>
          <w:tcPr>
            <w:tcW w:w="340" w:type="dxa"/>
            <w:vAlign w:val="bottom"/>
            <w:tcBorders>
              <w:top w:val="single" w:sz="8" w:color="auto"/>
              <w:bottom w:val="single" w:sz="8" w:color="auto"/>
            </w:tcBorders>
            <w:shd w:val="clear" w:color="auto" w:fill="DDDDDD"/>
          </w:tcPr>
          <w:p>
            <w:pPr>
              <w:spacing w:after="0"/>
              <w:rPr>
                <w:sz w:val="17"/>
                <w:szCs w:val="17"/>
                <w:color w:val="auto"/>
              </w:rPr>
            </w:pPr>
          </w:p>
        </w:tc>
        <w:tc>
          <w:tcPr>
            <w:tcW w:w="2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5,306,610</w:t>
            </w:r>
          </w:p>
        </w:tc>
        <w:tc>
          <w:tcPr>
            <w:tcW w:w="0" w:type="dxa"/>
            <w:vAlign w:val="bottom"/>
          </w:tcPr>
          <w:p>
            <w:pPr>
              <w:spacing w:after="0"/>
              <w:rPr>
                <w:sz w:val="1"/>
                <w:szCs w:val="1"/>
                <w:color w:val="auto"/>
              </w:rPr>
            </w:pPr>
          </w:p>
        </w:tc>
      </w:tr>
      <w:tr>
        <w:trPr>
          <w:trHeight w:val="198"/>
        </w:trPr>
        <w:tc>
          <w:tcPr>
            <w:tcW w:w="3480" w:type="dxa"/>
            <w:vAlign w:val="bottom"/>
          </w:tcPr>
          <w:p>
            <w:pPr>
              <w:ind w:left="20"/>
              <w:spacing w:after="0"/>
              <w:rPr>
                <w:sz w:val="20"/>
                <w:szCs w:val="20"/>
                <w:color w:val="auto"/>
              </w:rPr>
            </w:pPr>
            <w:r>
              <w:rPr>
                <w:rFonts w:ascii="Arial" w:cs="Arial" w:eastAsia="Arial" w:hAnsi="Arial"/>
                <w:sz w:val="15"/>
                <w:szCs w:val="15"/>
                <w:color w:val="auto"/>
              </w:rPr>
              <w:t>Total assets</w:t>
            </w:r>
          </w:p>
        </w:tc>
        <w:tc>
          <w:tcPr>
            <w:tcW w:w="2720" w:type="dxa"/>
            <w:vAlign w:val="bottom"/>
          </w:tcPr>
          <w:p>
            <w:pPr>
              <w:spacing w:after="0"/>
              <w:rPr>
                <w:sz w:val="17"/>
                <w:szCs w:val="17"/>
                <w:color w:val="auto"/>
              </w:rPr>
            </w:pPr>
          </w:p>
        </w:tc>
        <w:tc>
          <w:tcPr>
            <w:tcW w:w="1580" w:type="dxa"/>
            <w:vAlign w:val="bottom"/>
            <w:tcBorders>
              <w:bottom w:val="single" w:sz="8" w:color="auto"/>
            </w:tcBorders>
          </w:tcPr>
          <w:p>
            <w:pPr>
              <w:jc w:val="right"/>
              <w:ind w:right="140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5,609,751</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5,827,651</w:t>
            </w:r>
          </w:p>
        </w:tc>
        <w:tc>
          <w:tcPr>
            <w:tcW w:w="0" w:type="dxa"/>
            <w:vAlign w:val="bottom"/>
          </w:tcPr>
          <w:p>
            <w:pPr>
              <w:spacing w:after="0"/>
              <w:rPr>
                <w:sz w:val="1"/>
                <w:szCs w:val="1"/>
                <w:color w:val="auto"/>
              </w:rPr>
            </w:pPr>
          </w:p>
        </w:tc>
      </w:tr>
      <w:tr>
        <w:trPr>
          <w:trHeight w:val="20"/>
        </w:trPr>
        <w:tc>
          <w:tcPr>
            <w:tcW w:w="3480" w:type="dxa"/>
            <w:vAlign w:val="bottom"/>
            <w:tcBorders>
              <w:bottom w:val="single" w:sz="8" w:color="DDDDDD"/>
            </w:tcBorders>
          </w:tcPr>
          <w:p>
            <w:pPr>
              <w:spacing w:after="0" w:line="20" w:lineRule="exact"/>
              <w:rPr>
                <w:sz w:val="1"/>
                <w:szCs w:val="1"/>
                <w:color w:val="auto"/>
              </w:rPr>
            </w:pPr>
          </w:p>
        </w:tc>
        <w:tc>
          <w:tcPr>
            <w:tcW w:w="2720" w:type="dxa"/>
            <w:vAlign w:val="bottom"/>
            <w:tcBorders>
              <w:bottom w:val="single" w:sz="8" w:color="DDDDDD"/>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480" w:type="dxa"/>
            <w:vAlign w:val="bottom"/>
            <w:shd w:val="clear" w:color="auto" w:fill="DDDDDD"/>
          </w:tcPr>
          <w:p>
            <w:pPr>
              <w:ind w:left="20"/>
              <w:spacing w:after="0"/>
              <w:rPr>
                <w:sz w:val="20"/>
                <w:szCs w:val="20"/>
                <w:color w:val="auto"/>
              </w:rPr>
            </w:pPr>
            <w:r>
              <w:rPr>
                <w:rFonts w:ascii="Arial" w:cs="Arial" w:eastAsia="Arial" w:hAnsi="Arial"/>
                <w:sz w:val="15"/>
                <w:szCs w:val="15"/>
                <w:color w:val="auto"/>
              </w:rPr>
              <w:t>Liabilities and equity</w:t>
            </w:r>
          </w:p>
        </w:tc>
        <w:tc>
          <w:tcPr>
            <w:tcW w:w="2720" w:type="dxa"/>
            <w:vAlign w:val="bottom"/>
            <w:shd w:val="clear" w:color="auto" w:fill="DDDDDD"/>
          </w:tcPr>
          <w:p>
            <w:pPr>
              <w:spacing w:after="0"/>
              <w:rPr>
                <w:sz w:val="15"/>
                <w:szCs w:val="15"/>
                <w:color w:val="auto"/>
              </w:rPr>
            </w:pPr>
          </w:p>
        </w:tc>
        <w:tc>
          <w:tcPr>
            <w:tcW w:w="1580" w:type="dxa"/>
            <w:vAlign w:val="bottom"/>
            <w:shd w:val="clear" w:color="auto" w:fill="DDDDDD"/>
          </w:tcPr>
          <w:p>
            <w:pPr>
              <w:spacing w:after="0"/>
              <w:rPr>
                <w:sz w:val="15"/>
                <w:szCs w:val="15"/>
                <w:color w:val="auto"/>
              </w:rPr>
            </w:pPr>
          </w:p>
        </w:tc>
        <w:tc>
          <w:tcPr>
            <w:tcW w:w="90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340" w:type="dxa"/>
            <w:vAlign w:val="bottom"/>
            <w:shd w:val="clear" w:color="auto" w:fill="DDDDDD"/>
          </w:tcPr>
          <w:p>
            <w:pPr>
              <w:spacing w:after="0"/>
              <w:rPr>
                <w:sz w:val="15"/>
                <w:szCs w:val="15"/>
                <w:color w:val="auto"/>
              </w:rPr>
            </w:pPr>
          </w:p>
        </w:tc>
        <w:tc>
          <w:tcPr>
            <w:tcW w:w="214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480" w:type="dxa"/>
            <w:vAlign w:val="bottom"/>
          </w:tcPr>
          <w:p>
            <w:pPr>
              <w:ind w:left="220"/>
              <w:spacing w:after="0"/>
              <w:rPr>
                <w:sz w:val="20"/>
                <w:szCs w:val="20"/>
                <w:color w:val="auto"/>
              </w:rPr>
            </w:pPr>
            <w:r>
              <w:rPr>
                <w:rFonts w:ascii="Arial" w:cs="Arial" w:eastAsia="Arial" w:hAnsi="Arial"/>
                <w:sz w:val="15"/>
                <w:szCs w:val="15"/>
                <w:color w:val="auto"/>
              </w:rPr>
              <w:t>Accounts payable</w:t>
            </w:r>
          </w:p>
        </w:tc>
        <w:tc>
          <w:tcPr>
            <w:tcW w:w="2720" w:type="dxa"/>
            <w:vAlign w:val="bottom"/>
          </w:tcPr>
          <w:p>
            <w:pPr>
              <w:spacing w:after="0"/>
              <w:rPr>
                <w:sz w:val="17"/>
                <w:szCs w:val="17"/>
                <w:color w:val="auto"/>
              </w:rPr>
            </w:pPr>
          </w:p>
        </w:tc>
        <w:tc>
          <w:tcPr>
            <w:tcW w:w="1580" w:type="dxa"/>
            <w:vAlign w:val="bottom"/>
          </w:tcPr>
          <w:p>
            <w:pPr>
              <w:jc w:val="right"/>
              <w:ind w:right="140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92,057</w:t>
            </w:r>
          </w:p>
        </w:tc>
        <w:tc>
          <w:tcPr>
            <w:tcW w:w="80" w:type="dxa"/>
            <w:vAlign w:val="bottom"/>
          </w:tcPr>
          <w:p>
            <w:pPr>
              <w:spacing w:after="0"/>
              <w:rPr>
                <w:sz w:val="17"/>
                <w:szCs w:val="17"/>
                <w:color w:val="auto"/>
              </w:rPr>
            </w:pP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2140" w:type="dxa"/>
            <w:vAlign w:val="bottom"/>
          </w:tcPr>
          <w:p>
            <w:pPr>
              <w:jc w:val="right"/>
              <w:spacing w:after="0"/>
              <w:rPr>
                <w:sz w:val="20"/>
                <w:szCs w:val="20"/>
                <w:color w:val="auto"/>
              </w:rPr>
            </w:pPr>
            <w:r>
              <w:rPr>
                <w:rFonts w:ascii="Arial" w:cs="Arial" w:eastAsia="Arial" w:hAnsi="Arial"/>
                <w:sz w:val="15"/>
                <w:szCs w:val="15"/>
                <w:color w:val="auto"/>
              </w:rPr>
              <w:t>108,071</w:t>
            </w:r>
          </w:p>
        </w:tc>
        <w:tc>
          <w:tcPr>
            <w:tcW w:w="0" w:type="dxa"/>
            <w:vAlign w:val="bottom"/>
          </w:tcPr>
          <w:p>
            <w:pPr>
              <w:spacing w:after="0"/>
              <w:rPr>
                <w:sz w:val="1"/>
                <w:szCs w:val="1"/>
                <w:color w:val="auto"/>
              </w:rPr>
            </w:pPr>
          </w:p>
        </w:tc>
      </w:tr>
      <w:tr>
        <w:trPr>
          <w:trHeight w:val="207"/>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Accrued expenses</w:t>
            </w:r>
          </w:p>
        </w:tc>
        <w:tc>
          <w:tcPr>
            <w:tcW w:w="2720" w:type="dxa"/>
            <w:vAlign w:val="bottom"/>
            <w:shd w:val="clear" w:color="auto" w:fill="DDDDDD"/>
          </w:tcPr>
          <w:p>
            <w:pPr>
              <w:spacing w:after="0"/>
              <w:rPr>
                <w:sz w:val="18"/>
                <w:szCs w:val="18"/>
                <w:color w:val="auto"/>
              </w:rPr>
            </w:pPr>
          </w:p>
        </w:tc>
        <w:tc>
          <w:tcPr>
            <w:tcW w:w="1580" w:type="dxa"/>
            <w:vAlign w:val="bottom"/>
            <w:shd w:val="clear" w:color="auto" w:fill="DDDDDD"/>
          </w:tcPr>
          <w:p>
            <w:pPr>
              <w:spacing w:after="0"/>
              <w:rPr>
                <w:sz w:val="18"/>
                <w:szCs w:val="18"/>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120,838</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110,820</w:t>
            </w:r>
          </w:p>
        </w:tc>
        <w:tc>
          <w:tcPr>
            <w:tcW w:w="0" w:type="dxa"/>
            <w:vAlign w:val="bottom"/>
          </w:tcPr>
          <w:p>
            <w:pPr>
              <w:spacing w:after="0"/>
              <w:rPr>
                <w:sz w:val="1"/>
                <w:szCs w:val="1"/>
                <w:color w:val="auto"/>
              </w:rPr>
            </w:pPr>
          </w:p>
        </w:tc>
      </w:tr>
      <w:tr>
        <w:trPr>
          <w:trHeight w:val="205"/>
        </w:trPr>
        <w:tc>
          <w:tcPr>
            <w:tcW w:w="3480" w:type="dxa"/>
            <w:vAlign w:val="bottom"/>
          </w:tcPr>
          <w:p>
            <w:pPr>
              <w:ind w:left="220"/>
              <w:spacing w:after="0"/>
              <w:rPr>
                <w:sz w:val="20"/>
                <w:szCs w:val="20"/>
                <w:color w:val="auto"/>
              </w:rPr>
            </w:pPr>
            <w:r>
              <w:rPr>
                <w:rFonts w:ascii="Arial" w:cs="Arial" w:eastAsia="Arial" w:hAnsi="Arial"/>
                <w:sz w:val="15"/>
                <w:szCs w:val="15"/>
                <w:color w:val="auto"/>
              </w:rPr>
              <w:t>Accrued employee benefits</w:t>
            </w:r>
          </w:p>
        </w:tc>
        <w:tc>
          <w:tcPr>
            <w:tcW w:w="2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28,803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56,340</w:t>
            </w:r>
          </w:p>
        </w:tc>
        <w:tc>
          <w:tcPr>
            <w:tcW w:w="0" w:type="dxa"/>
            <w:vAlign w:val="bottom"/>
          </w:tcPr>
          <w:p>
            <w:pPr>
              <w:spacing w:after="0"/>
              <w:rPr>
                <w:sz w:val="1"/>
                <w:szCs w:val="1"/>
                <w:color w:val="auto"/>
              </w:rPr>
            </w:pPr>
          </w:p>
        </w:tc>
      </w:tr>
      <w:tr>
        <w:trPr>
          <w:trHeight w:val="207"/>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Deferred revenue and customer deposits</w:t>
            </w:r>
          </w:p>
        </w:tc>
        <w:tc>
          <w:tcPr>
            <w:tcW w:w="2720" w:type="dxa"/>
            <w:vAlign w:val="bottom"/>
            <w:shd w:val="clear" w:color="auto" w:fill="DDDDDD"/>
          </w:tcPr>
          <w:p>
            <w:pPr>
              <w:spacing w:after="0"/>
              <w:rPr>
                <w:sz w:val="18"/>
                <w:szCs w:val="18"/>
                <w:color w:val="auto"/>
              </w:rPr>
            </w:pPr>
          </w:p>
        </w:tc>
        <w:tc>
          <w:tcPr>
            <w:tcW w:w="1580" w:type="dxa"/>
            <w:vAlign w:val="bottom"/>
            <w:shd w:val="clear" w:color="auto" w:fill="DDDDDD"/>
          </w:tcPr>
          <w:p>
            <w:pPr>
              <w:spacing w:after="0"/>
              <w:rPr>
                <w:sz w:val="18"/>
                <w:szCs w:val="18"/>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199,274</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203,793</w:t>
            </w:r>
          </w:p>
        </w:tc>
        <w:tc>
          <w:tcPr>
            <w:tcW w:w="0" w:type="dxa"/>
            <w:vAlign w:val="bottom"/>
          </w:tcPr>
          <w:p>
            <w:pPr>
              <w:spacing w:after="0"/>
              <w:rPr>
                <w:sz w:val="1"/>
                <w:szCs w:val="1"/>
                <w:color w:val="auto"/>
              </w:rPr>
            </w:pPr>
          </w:p>
        </w:tc>
      </w:tr>
      <w:tr>
        <w:trPr>
          <w:trHeight w:val="205"/>
        </w:trPr>
        <w:tc>
          <w:tcPr>
            <w:tcW w:w="3480" w:type="dxa"/>
            <w:vAlign w:val="bottom"/>
          </w:tcPr>
          <w:p>
            <w:pPr>
              <w:ind w:left="220"/>
              <w:spacing w:after="0"/>
              <w:rPr>
                <w:sz w:val="20"/>
                <w:szCs w:val="20"/>
                <w:color w:val="auto"/>
              </w:rPr>
            </w:pPr>
            <w:r>
              <w:rPr>
                <w:rFonts w:ascii="Arial" w:cs="Arial" w:eastAsia="Arial" w:hAnsi="Arial"/>
                <w:sz w:val="15"/>
                <w:szCs w:val="15"/>
                <w:color w:val="auto"/>
              </w:rPr>
              <w:t>Operating lease liabilities - current</w:t>
            </w:r>
          </w:p>
        </w:tc>
        <w:tc>
          <w:tcPr>
            <w:tcW w:w="2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51,076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50,499</w:t>
            </w:r>
          </w:p>
        </w:tc>
        <w:tc>
          <w:tcPr>
            <w:tcW w:w="0" w:type="dxa"/>
            <w:vAlign w:val="bottom"/>
          </w:tcPr>
          <w:p>
            <w:pPr>
              <w:spacing w:after="0"/>
              <w:rPr>
                <w:sz w:val="1"/>
                <w:szCs w:val="1"/>
                <w:color w:val="auto"/>
              </w:rPr>
            </w:pPr>
          </w:p>
        </w:tc>
      </w:tr>
      <w:tr>
        <w:trPr>
          <w:trHeight w:val="207"/>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Current portion of long-term debt</w:t>
            </w:r>
          </w:p>
        </w:tc>
        <w:tc>
          <w:tcPr>
            <w:tcW w:w="2720" w:type="dxa"/>
            <w:vAlign w:val="bottom"/>
            <w:shd w:val="clear" w:color="auto" w:fill="DDDDDD"/>
          </w:tcPr>
          <w:p>
            <w:pPr>
              <w:spacing w:after="0"/>
              <w:rPr>
                <w:sz w:val="18"/>
                <w:szCs w:val="18"/>
                <w:color w:val="auto"/>
              </w:rPr>
            </w:pPr>
          </w:p>
        </w:tc>
        <w:tc>
          <w:tcPr>
            <w:tcW w:w="1580" w:type="dxa"/>
            <w:vAlign w:val="bottom"/>
            <w:shd w:val="clear" w:color="auto" w:fill="DDDDDD"/>
          </w:tcPr>
          <w:p>
            <w:pPr>
              <w:spacing w:after="0"/>
              <w:rPr>
                <w:sz w:val="18"/>
                <w:szCs w:val="18"/>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13,514</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13,324</w:t>
            </w:r>
          </w:p>
        </w:tc>
        <w:tc>
          <w:tcPr>
            <w:tcW w:w="0" w:type="dxa"/>
            <w:vAlign w:val="bottom"/>
          </w:tcPr>
          <w:p>
            <w:pPr>
              <w:spacing w:after="0"/>
              <w:rPr>
                <w:sz w:val="1"/>
                <w:szCs w:val="1"/>
                <w:color w:val="auto"/>
              </w:rPr>
            </w:pPr>
          </w:p>
        </w:tc>
      </w:tr>
      <w:tr>
        <w:trPr>
          <w:trHeight w:val="205"/>
        </w:trPr>
        <w:tc>
          <w:tcPr>
            <w:tcW w:w="3480" w:type="dxa"/>
            <w:vAlign w:val="bottom"/>
          </w:tcPr>
          <w:p>
            <w:pPr>
              <w:ind w:left="220"/>
              <w:spacing w:after="0"/>
              <w:rPr>
                <w:sz w:val="20"/>
                <w:szCs w:val="20"/>
                <w:color w:val="auto"/>
              </w:rPr>
            </w:pPr>
            <w:r>
              <w:rPr>
                <w:rFonts w:ascii="Arial" w:cs="Arial" w:eastAsia="Arial" w:hAnsi="Arial"/>
                <w:sz w:val="15"/>
                <w:szCs w:val="15"/>
                <w:color w:val="auto"/>
              </w:rPr>
              <w:t>Liabilities held for sale - current</w:t>
            </w:r>
          </w:p>
        </w:tc>
        <w:tc>
          <w:tcPr>
            <w:tcW w:w="2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19,095</w:t>
            </w:r>
          </w:p>
        </w:tc>
        <w:tc>
          <w:tcPr>
            <w:tcW w:w="0" w:type="dxa"/>
            <w:vAlign w:val="bottom"/>
          </w:tcPr>
          <w:p>
            <w:pPr>
              <w:spacing w:after="0"/>
              <w:rPr>
                <w:sz w:val="1"/>
                <w:szCs w:val="1"/>
                <w:color w:val="auto"/>
              </w:rPr>
            </w:pPr>
          </w:p>
        </w:tc>
      </w:tr>
      <w:tr>
        <w:trPr>
          <w:trHeight w:val="200"/>
        </w:trPr>
        <w:tc>
          <w:tcPr>
            <w:tcW w:w="3480" w:type="dxa"/>
            <w:vAlign w:val="bottom"/>
            <w:tcBorders>
              <w:top w:val="single" w:sz="8" w:color="DDDDDD"/>
            </w:tcBorders>
            <w:shd w:val="clear" w:color="auto" w:fill="DDDDDD"/>
          </w:tcPr>
          <w:p>
            <w:pPr>
              <w:ind w:left="440"/>
              <w:spacing w:after="0"/>
              <w:rPr>
                <w:sz w:val="20"/>
                <w:szCs w:val="20"/>
                <w:color w:val="auto"/>
              </w:rPr>
            </w:pPr>
            <w:r>
              <w:rPr>
                <w:rFonts w:ascii="Arial" w:cs="Arial" w:eastAsia="Arial" w:hAnsi="Arial"/>
                <w:sz w:val="15"/>
                <w:szCs w:val="15"/>
                <w:color w:val="auto"/>
              </w:rPr>
              <w:t>Total current liabilities</w:t>
            </w:r>
          </w:p>
        </w:tc>
        <w:tc>
          <w:tcPr>
            <w:tcW w:w="2720" w:type="dxa"/>
            <w:vAlign w:val="bottom"/>
            <w:tcBorders>
              <w:top w:val="single" w:sz="8" w:color="DDDDDD"/>
            </w:tcBorders>
            <w:shd w:val="clear" w:color="auto" w:fill="DDDDDD"/>
          </w:tcPr>
          <w:p>
            <w:pPr>
              <w:spacing w:after="0"/>
              <w:rPr>
                <w:sz w:val="17"/>
                <w:szCs w:val="17"/>
                <w:color w:val="auto"/>
              </w:rPr>
            </w:pPr>
          </w:p>
        </w:tc>
        <w:tc>
          <w:tcPr>
            <w:tcW w:w="1580" w:type="dxa"/>
            <w:vAlign w:val="bottom"/>
            <w:tcBorders>
              <w:top w:val="single" w:sz="8" w:color="auto"/>
            </w:tcBorders>
            <w:shd w:val="clear" w:color="auto" w:fill="DDDDDD"/>
          </w:tcPr>
          <w:p>
            <w:pPr>
              <w:spacing w:after="0"/>
              <w:rPr>
                <w:sz w:val="17"/>
                <w:szCs w:val="17"/>
                <w:color w:val="auto"/>
              </w:rPr>
            </w:pPr>
          </w:p>
        </w:tc>
        <w:tc>
          <w:tcPr>
            <w:tcW w:w="90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505,562</w:t>
            </w:r>
          </w:p>
        </w:tc>
        <w:tc>
          <w:tcPr>
            <w:tcW w:w="80" w:type="dxa"/>
            <w:vAlign w:val="bottom"/>
            <w:tcBorders>
              <w:top w:val="single" w:sz="8" w:color="DDDDDD"/>
            </w:tcBorders>
            <w:shd w:val="clear" w:color="auto" w:fill="DDDDDD"/>
          </w:tcPr>
          <w:p>
            <w:pPr>
              <w:spacing w:after="0"/>
              <w:rPr>
                <w:sz w:val="17"/>
                <w:szCs w:val="17"/>
                <w:color w:val="auto"/>
              </w:rPr>
            </w:pPr>
          </w:p>
        </w:tc>
        <w:tc>
          <w:tcPr>
            <w:tcW w:w="340" w:type="dxa"/>
            <w:vAlign w:val="bottom"/>
            <w:tcBorders>
              <w:top w:val="single" w:sz="8" w:color="auto"/>
            </w:tcBorders>
            <w:shd w:val="clear" w:color="auto" w:fill="DDDDDD"/>
          </w:tcPr>
          <w:p>
            <w:pPr>
              <w:spacing w:after="0"/>
              <w:rPr>
                <w:sz w:val="17"/>
                <w:szCs w:val="17"/>
                <w:color w:val="auto"/>
              </w:rPr>
            </w:pPr>
          </w:p>
        </w:tc>
        <w:tc>
          <w:tcPr>
            <w:tcW w:w="21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561,942</w:t>
            </w:r>
          </w:p>
        </w:tc>
        <w:tc>
          <w:tcPr>
            <w:tcW w:w="0" w:type="dxa"/>
            <w:vAlign w:val="bottom"/>
          </w:tcPr>
          <w:p>
            <w:pPr>
              <w:spacing w:after="0"/>
              <w:rPr>
                <w:sz w:val="1"/>
                <w:szCs w:val="1"/>
                <w:color w:val="auto"/>
              </w:rPr>
            </w:pPr>
          </w:p>
        </w:tc>
      </w:tr>
      <w:tr>
        <w:trPr>
          <w:trHeight w:val="205"/>
        </w:trPr>
        <w:tc>
          <w:tcPr>
            <w:tcW w:w="3480" w:type="dxa"/>
            <w:vAlign w:val="bottom"/>
          </w:tcPr>
          <w:p>
            <w:pPr>
              <w:ind w:left="220"/>
              <w:spacing w:after="0"/>
              <w:rPr>
                <w:sz w:val="20"/>
                <w:szCs w:val="20"/>
                <w:color w:val="auto"/>
              </w:rPr>
            </w:pPr>
            <w:r>
              <w:rPr>
                <w:rFonts w:ascii="Arial" w:cs="Arial" w:eastAsia="Arial" w:hAnsi="Arial"/>
                <w:sz w:val="15"/>
                <w:szCs w:val="15"/>
                <w:color w:val="auto"/>
              </w:rPr>
              <w:t>Long-term debt</w:t>
            </w:r>
          </w:p>
        </w:tc>
        <w:tc>
          <w:tcPr>
            <w:tcW w:w="2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2,876,453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3,063,042</w:t>
            </w:r>
          </w:p>
        </w:tc>
        <w:tc>
          <w:tcPr>
            <w:tcW w:w="0" w:type="dxa"/>
            <w:vAlign w:val="bottom"/>
          </w:tcPr>
          <w:p>
            <w:pPr>
              <w:spacing w:after="0"/>
              <w:rPr>
                <w:sz w:val="1"/>
                <w:szCs w:val="1"/>
                <w:color w:val="auto"/>
              </w:rPr>
            </w:pPr>
          </w:p>
        </w:tc>
      </w:tr>
      <w:tr>
        <w:trPr>
          <w:trHeight w:val="207"/>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Deferred tax liabilities</w:t>
            </w:r>
          </w:p>
        </w:tc>
        <w:tc>
          <w:tcPr>
            <w:tcW w:w="2720" w:type="dxa"/>
            <w:vAlign w:val="bottom"/>
            <w:shd w:val="clear" w:color="auto" w:fill="DDDDDD"/>
          </w:tcPr>
          <w:p>
            <w:pPr>
              <w:spacing w:after="0"/>
              <w:rPr>
                <w:sz w:val="18"/>
                <w:szCs w:val="18"/>
                <w:color w:val="auto"/>
              </w:rPr>
            </w:pPr>
          </w:p>
        </w:tc>
        <w:tc>
          <w:tcPr>
            <w:tcW w:w="1580" w:type="dxa"/>
            <w:vAlign w:val="bottom"/>
            <w:shd w:val="clear" w:color="auto" w:fill="DDDDDD"/>
          </w:tcPr>
          <w:p>
            <w:pPr>
              <w:spacing w:after="0"/>
              <w:rPr>
                <w:sz w:val="18"/>
                <w:szCs w:val="18"/>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464,798</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401,453</w:t>
            </w:r>
          </w:p>
        </w:tc>
        <w:tc>
          <w:tcPr>
            <w:tcW w:w="0" w:type="dxa"/>
            <w:vAlign w:val="bottom"/>
          </w:tcPr>
          <w:p>
            <w:pPr>
              <w:spacing w:after="0"/>
              <w:rPr>
                <w:sz w:val="1"/>
                <w:szCs w:val="1"/>
                <w:color w:val="auto"/>
              </w:rPr>
            </w:pPr>
          </w:p>
        </w:tc>
      </w:tr>
      <w:tr>
        <w:trPr>
          <w:trHeight w:val="205"/>
        </w:trPr>
        <w:tc>
          <w:tcPr>
            <w:tcW w:w="3480" w:type="dxa"/>
            <w:vAlign w:val="bottom"/>
          </w:tcPr>
          <w:p>
            <w:pPr>
              <w:ind w:left="220"/>
              <w:spacing w:after="0"/>
              <w:rPr>
                <w:sz w:val="20"/>
                <w:szCs w:val="20"/>
                <w:color w:val="auto"/>
              </w:rPr>
            </w:pPr>
            <w:r>
              <w:rPr>
                <w:rFonts w:ascii="Arial" w:cs="Arial" w:eastAsia="Arial" w:hAnsi="Arial"/>
                <w:sz w:val="15"/>
                <w:szCs w:val="15"/>
                <w:color w:val="auto"/>
              </w:rPr>
              <w:t>Operating lease liabilities - non-current</w:t>
            </w:r>
          </w:p>
        </w:tc>
        <w:tc>
          <w:tcPr>
            <w:tcW w:w="2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169,914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169,618</w:t>
            </w:r>
          </w:p>
        </w:tc>
        <w:tc>
          <w:tcPr>
            <w:tcW w:w="0" w:type="dxa"/>
            <w:vAlign w:val="bottom"/>
          </w:tcPr>
          <w:p>
            <w:pPr>
              <w:spacing w:after="0"/>
              <w:rPr>
                <w:sz w:val="1"/>
                <w:szCs w:val="1"/>
                <w:color w:val="auto"/>
              </w:rPr>
            </w:pPr>
          </w:p>
        </w:tc>
      </w:tr>
      <w:tr>
        <w:trPr>
          <w:trHeight w:val="207"/>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Other non-current liabilities</w:t>
            </w:r>
          </w:p>
        </w:tc>
        <w:tc>
          <w:tcPr>
            <w:tcW w:w="2720" w:type="dxa"/>
            <w:vAlign w:val="bottom"/>
            <w:shd w:val="clear" w:color="auto" w:fill="DDDDDD"/>
          </w:tcPr>
          <w:p>
            <w:pPr>
              <w:spacing w:after="0"/>
              <w:rPr>
                <w:sz w:val="18"/>
                <w:szCs w:val="18"/>
                <w:color w:val="auto"/>
              </w:rPr>
            </w:pPr>
          </w:p>
        </w:tc>
        <w:tc>
          <w:tcPr>
            <w:tcW w:w="1580" w:type="dxa"/>
            <w:vAlign w:val="bottom"/>
            <w:shd w:val="clear" w:color="auto" w:fill="DDDDDD"/>
          </w:tcPr>
          <w:p>
            <w:pPr>
              <w:spacing w:after="0"/>
              <w:rPr>
                <w:sz w:val="18"/>
                <w:szCs w:val="18"/>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29,100</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18,537</w:t>
            </w:r>
          </w:p>
        </w:tc>
        <w:tc>
          <w:tcPr>
            <w:tcW w:w="0" w:type="dxa"/>
            <w:vAlign w:val="bottom"/>
          </w:tcPr>
          <w:p>
            <w:pPr>
              <w:spacing w:after="0"/>
              <w:rPr>
                <w:sz w:val="1"/>
                <w:szCs w:val="1"/>
                <w:color w:val="auto"/>
              </w:rPr>
            </w:pPr>
          </w:p>
        </w:tc>
      </w:tr>
      <w:tr>
        <w:trPr>
          <w:trHeight w:val="205"/>
        </w:trPr>
        <w:tc>
          <w:tcPr>
            <w:tcW w:w="3480" w:type="dxa"/>
            <w:vAlign w:val="bottom"/>
          </w:tcPr>
          <w:p>
            <w:pPr>
              <w:ind w:left="220"/>
              <w:spacing w:after="0"/>
              <w:rPr>
                <w:sz w:val="20"/>
                <w:szCs w:val="20"/>
                <w:color w:val="auto"/>
              </w:rPr>
            </w:pPr>
            <w:r>
              <w:rPr>
                <w:rFonts w:ascii="Arial" w:cs="Arial" w:eastAsia="Arial" w:hAnsi="Arial"/>
                <w:sz w:val="15"/>
                <w:szCs w:val="15"/>
                <w:color w:val="auto"/>
              </w:rPr>
              <w:t>Liabilities held for sale - non-current</w:t>
            </w:r>
          </w:p>
        </w:tc>
        <w:tc>
          <w:tcPr>
            <w:tcW w:w="2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47,759</w:t>
            </w:r>
          </w:p>
        </w:tc>
        <w:tc>
          <w:tcPr>
            <w:tcW w:w="0" w:type="dxa"/>
            <w:vAlign w:val="bottom"/>
          </w:tcPr>
          <w:p>
            <w:pPr>
              <w:spacing w:after="0"/>
              <w:rPr>
                <w:sz w:val="1"/>
                <w:szCs w:val="1"/>
                <w:color w:val="auto"/>
              </w:rPr>
            </w:pPr>
          </w:p>
        </w:tc>
      </w:tr>
      <w:tr>
        <w:trPr>
          <w:trHeight w:val="200"/>
        </w:trPr>
        <w:tc>
          <w:tcPr>
            <w:tcW w:w="3480" w:type="dxa"/>
            <w:vAlign w:val="bottom"/>
            <w:tcBorders>
              <w:top w:val="single" w:sz="8" w:color="DDDDDD"/>
            </w:tcBorders>
            <w:shd w:val="clear" w:color="auto" w:fill="DDDDDD"/>
          </w:tcPr>
          <w:p>
            <w:pPr>
              <w:ind w:left="440"/>
              <w:spacing w:after="0"/>
              <w:rPr>
                <w:sz w:val="20"/>
                <w:szCs w:val="20"/>
                <w:color w:val="auto"/>
              </w:rPr>
            </w:pPr>
            <w:r>
              <w:rPr>
                <w:rFonts w:ascii="Arial" w:cs="Arial" w:eastAsia="Arial" w:hAnsi="Arial"/>
                <w:sz w:val="15"/>
                <w:szCs w:val="15"/>
                <w:color w:val="auto"/>
              </w:rPr>
              <w:t>Long-term liabilities</w:t>
            </w:r>
          </w:p>
        </w:tc>
        <w:tc>
          <w:tcPr>
            <w:tcW w:w="2720" w:type="dxa"/>
            <w:vAlign w:val="bottom"/>
            <w:tcBorders>
              <w:top w:val="single" w:sz="8" w:color="DDDDDD"/>
            </w:tcBorders>
            <w:shd w:val="clear" w:color="auto" w:fill="DDDDDD"/>
          </w:tcPr>
          <w:p>
            <w:pPr>
              <w:spacing w:after="0"/>
              <w:rPr>
                <w:sz w:val="17"/>
                <w:szCs w:val="17"/>
                <w:color w:val="auto"/>
              </w:rPr>
            </w:pPr>
          </w:p>
        </w:tc>
        <w:tc>
          <w:tcPr>
            <w:tcW w:w="1580" w:type="dxa"/>
            <w:vAlign w:val="bottom"/>
            <w:tcBorders>
              <w:top w:val="single" w:sz="8" w:color="auto"/>
              <w:bottom w:val="single" w:sz="8" w:color="auto"/>
            </w:tcBorders>
            <w:shd w:val="clear" w:color="auto" w:fill="DDDDDD"/>
          </w:tcPr>
          <w:p>
            <w:pPr>
              <w:spacing w:after="0"/>
              <w:rPr>
                <w:sz w:val="17"/>
                <w:szCs w:val="17"/>
                <w:color w:val="auto"/>
              </w:rPr>
            </w:pPr>
          </w:p>
        </w:tc>
        <w:tc>
          <w:tcPr>
            <w:tcW w:w="9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3,540,265</w:t>
            </w:r>
          </w:p>
        </w:tc>
        <w:tc>
          <w:tcPr>
            <w:tcW w:w="80" w:type="dxa"/>
            <w:vAlign w:val="bottom"/>
            <w:tcBorders>
              <w:top w:val="single" w:sz="8" w:color="DDDDDD"/>
            </w:tcBorders>
            <w:shd w:val="clear" w:color="auto" w:fill="DDDDDD"/>
          </w:tcPr>
          <w:p>
            <w:pPr>
              <w:spacing w:after="0"/>
              <w:rPr>
                <w:sz w:val="17"/>
                <w:szCs w:val="17"/>
                <w:color w:val="auto"/>
              </w:rPr>
            </w:pPr>
          </w:p>
        </w:tc>
        <w:tc>
          <w:tcPr>
            <w:tcW w:w="340" w:type="dxa"/>
            <w:vAlign w:val="bottom"/>
            <w:tcBorders>
              <w:top w:val="single" w:sz="8" w:color="auto"/>
              <w:bottom w:val="single" w:sz="8" w:color="auto"/>
            </w:tcBorders>
            <w:shd w:val="clear" w:color="auto" w:fill="DDDDDD"/>
          </w:tcPr>
          <w:p>
            <w:pPr>
              <w:spacing w:after="0"/>
              <w:rPr>
                <w:sz w:val="17"/>
                <w:szCs w:val="17"/>
                <w:color w:val="auto"/>
              </w:rPr>
            </w:pPr>
          </w:p>
        </w:tc>
        <w:tc>
          <w:tcPr>
            <w:tcW w:w="2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3,700,409</w:t>
            </w:r>
          </w:p>
        </w:tc>
        <w:tc>
          <w:tcPr>
            <w:tcW w:w="0" w:type="dxa"/>
            <w:vAlign w:val="bottom"/>
          </w:tcPr>
          <w:p>
            <w:pPr>
              <w:spacing w:after="0"/>
              <w:rPr>
                <w:sz w:val="1"/>
                <w:szCs w:val="1"/>
                <w:color w:val="auto"/>
              </w:rPr>
            </w:pPr>
          </w:p>
        </w:tc>
      </w:tr>
      <w:tr>
        <w:trPr>
          <w:trHeight w:val="198"/>
        </w:trPr>
        <w:tc>
          <w:tcPr>
            <w:tcW w:w="3480" w:type="dxa"/>
            <w:vAlign w:val="bottom"/>
            <w:tcBorders>
              <w:bottom w:val="single" w:sz="8" w:color="DDDDDD"/>
            </w:tcBorders>
          </w:tcPr>
          <w:p>
            <w:pPr>
              <w:ind w:left="20"/>
              <w:spacing w:after="0"/>
              <w:rPr>
                <w:sz w:val="20"/>
                <w:szCs w:val="20"/>
                <w:color w:val="auto"/>
              </w:rPr>
            </w:pPr>
            <w:r>
              <w:rPr>
                <w:rFonts w:ascii="Arial" w:cs="Arial" w:eastAsia="Arial" w:hAnsi="Arial"/>
                <w:sz w:val="15"/>
                <w:szCs w:val="15"/>
                <w:color w:val="auto"/>
              </w:rPr>
              <w:t>Total liabilities</w:t>
            </w:r>
          </w:p>
        </w:tc>
        <w:tc>
          <w:tcPr>
            <w:tcW w:w="2720" w:type="dxa"/>
            <w:vAlign w:val="bottom"/>
            <w:tcBorders>
              <w:bottom w:val="single" w:sz="8" w:color="DDDDDD"/>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4,045,827</w:t>
            </w:r>
          </w:p>
        </w:tc>
        <w:tc>
          <w:tcPr>
            <w:tcW w:w="8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4,262,351</w:t>
            </w:r>
          </w:p>
        </w:tc>
        <w:tc>
          <w:tcPr>
            <w:tcW w:w="0" w:type="dxa"/>
            <w:vAlign w:val="bottom"/>
          </w:tcPr>
          <w:p>
            <w:pPr>
              <w:spacing w:after="0"/>
              <w:rPr>
                <w:sz w:val="1"/>
                <w:szCs w:val="1"/>
                <w:color w:val="auto"/>
              </w:rPr>
            </w:pPr>
          </w:p>
        </w:tc>
      </w:tr>
      <w:tr>
        <w:trPr>
          <w:trHeight w:val="136"/>
        </w:trPr>
        <w:tc>
          <w:tcPr>
            <w:tcW w:w="6200" w:type="dxa"/>
            <w:vAlign w:val="bottom"/>
            <w:gridSpan w:val="2"/>
            <w:shd w:val="clear" w:color="auto" w:fill="DDDDDD"/>
          </w:tcPr>
          <w:p>
            <w:pPr>
              <w:ind w:left="220"/>
              <w:spacing w:after="0" w:line="136" w:lineRule="exact"/>
              <w:rPr>
                <w:sz w:val="20"/>
                <w:szCs w:val="20"/>
                <w:color w:val="auto"/>
              </w:rPr>
            </w:pPr>
            <w:r>
              <w:rPr>
                <w:rFonts w:ascii="Arial" w:cs="Arial" w:eastAsia="Arial" w:hAnsi="Arial"/>
                <w:sz w:val="15"/>
                <w:szCs w:val="15"/>
                <w:color w:val="auto"/>
              </w:rPr>
              <w:t>Preferred Stock: $0.0001 par, 1,000,000 shares authorized and zero shares issued</w:t>
            </w:r>
          </w:p>
        </w:tc>
        <w:tc>
          <w:tcPr>
            <w:tcW w:w="1580" w:type="dxa"/>
            <w:vAlign w:val="bottom"/>
            <w:shd w:val="clear" w:color="auto" w:fill="DDDDDD"/>
          </w:tcPr>
          <w:p>
            <w:pPr>
              <w:spacing w:after="0"/>
              <w:rPr>
                <w:sz w:val="11"/>
                <w:szCs w:val="11"/>
                <w:color w:val="auto"/>
              </w:rPr>
            </w:pPr>
          </w:p>
        </w:tc>
        <w:tc>
          <w:tcPr>
            <w:tcW w:w="98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shd w:val="clear" w:color="auto" w:fill="DDDDDD"/>
          </w:tcPr>
          <w:p>
            <w:pPr>
              <w:spacing w:after="0"/>
              <w:rPr>
                <w:sz w:val="11"/>
                <w:szCs w:val="11"/>
                <w:color w:val="auto"/>
              </w:rPr>
            </w:pPr>
          </w:p>
        </w:tc>
        <w:tc>
          <w:tcPr>
            <w:tcW w:w="2140" w:type="dxa"/>
            <w:vAlign w:val="bottom"/>
            <w:vMerge w:val="restart"/>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620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and outstanding at March 31, 2023 and December 31, 2022</w:t>
            </w:r>
          </w:p>
        </w:tc>
        <w:tc>
          <w:tcPr>
            <w:tcW w:w="1580" w:type="dxa"/>
            <w:vAlign w:val="bottom"/>
            <w:shd w:val="clear" w:color="auto" w:fill="DDDDDD"/>
          </w:tcPr>
          <w:p>
            <w:pPr>
              <w:spacing w:after="0"/>
              <w:rPr>
                <w:sz w:val="17"/>
                <w:szCs w:val="17"/>
                <w:color w:val="auto"/>
              </w:rPr>
            </w:pPr>
          </w:p>
        </w:tc>
        <w:tc>
          <w:tcPr>
            <w:tcW w:w="980" w:type="dxa"/>
            <w:vAlign w:val="bottom"/>
            <w:gridSpan w:val="2"/>
            <w:vMerge w:val="continue"/>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14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6200" w:type="dxa"/>
            <w:vAlign w:val="bottom"/>
            <w:gridSpan w:val="2"/>
          </w:tcPr>
          <w:p>
            <w:pPr>
              <w:ind w:left="220"/>
              <w:spacing w:after="0" w:line="156" w:lineRule="exact"/>
              <w:rPr>
                <w:sz w:val="20"/>
                <w:szCs w:val="20"/>
                <w:color w:val="auto"/>
              </w:rPr>
            </w:pPr>
            <w:r>
              <w:rPr>
                <w:rFonts w:ascii="Arial" w:cs="Arial" w:eastAsia="Arial" w:hAnsi="Arial"/>
                <w:sz w:val="15"/>
                <w:szCs w:val="15"/>
                <w:color w:val="auto"/>
              </w:rPr>
              <w:t>Common Stock: $0.0001 par, 500,000,000 shares authorized and 203,723,099 and</w:t>
            </w:r>
          </w:p>
        </w:tc>
        <w:tc>
          <w:tcPr>
            <w:tcW w:w="1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0" w:type="dxa"/>
            <w:vAlign w:val="bottom"/>
            <w:gridSpan w:val="2"/>
          </w:tcPr>
          <w:p>
            <w:pPr>
              <w:ind w:left="220"/>
              <w:spacing w:after="0" w:line="155" w:lineRule="exact"/>
              <w:rPr>
                <w:sz w:val="20"/>
                <w:szCs w:val="20"/>
                <w:color w:val="auto"/>
              </w:rPr>
            </w:pPr>
            <w:r>
              <w:rPr>
                <w:rFonts w:ascii="Arial" w:cs="Arial" w:eastAsia="Arial" w:hAnsi="Arial"/>
                <w:sz w:val="15"/>
                <w:szCs w:val="15"/>
                <w:color w:val="auto"/>
              </w:rPr>
              <w:t>207,951,682 shares issued and outstanding at March 31, 2023 and December 31,</w:t>
            </w:r>
          </w:p>
        </w:tc>
        <w:tc>
          <w:tcPr>
            <w:tcW w:w="15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40" w:type="dxa"/>
            <w:vAlign w:val="bottom"/>
            <w:vMerge w:val="restart"/>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05"/>
        </w:trPr>
        <w:tc>
          <w:tcPr>
            <w:tcW w:w="3480" w:type="dxa"/>
            <w:vAlign w:val="bottom"/>
          </w:tcPr>
          <w:p>
            <w:pPr>
              <w:ind w:left="220"/>
              <w:spacing w:after="0"/>
              <w:rPr>
                <w:sz w:val="20"/>
                <w:szCs w:val="20"/>
                <w:color w:val="auto"/>
              </w:rPr>
            </w:pPr>
            <w:r>
              <w:rPr>
                <w:rFonts w:ascii="Arial" w:cs="Arial" w:eastAsia="Arial" w:hAnsi="Arial"/>
                <w:sz w:val="15"/>
                <w:szCs w:val="15"/>
                <w:color w:val="auto"/>
              </w:rPr>
              <w:t>2022, respectively</w:t>
            </w:r>
          </w:p>
        </w:tc>
        <w:tc>
          <w:tcPr>
            <w:tcW w:w="2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Additional paid-in-capital</w:t>
            </w:r>
          </w:p>
        </w:tc>
        <w:tc>
          <w:tcPr>
            <w:tcW w:w="2720" w:type="dxa"/>
            <w:vAlign w:val="bottom"/>
            <w:shd w:val="clear" w:color="auto" w:fill="DDDDDD"/>
          </w:tcPr>
          <w:p>
            <w:pPr>
              <w:spacing w:after="0"/>
              <w:rPr>
                <w:sz w:val="18"/>
                <w:szCs w:val="18"/>
                <w:color w:val="auto"/>
              </w:rPr>
            </w:pPr>
          </w:p>
        </w:tc>
        <w:tc>
          <w:tcPr>
            <w:tcW w:w="1580" w:type="dxa"/>
            <w:vAlign w:val="bottom"/>
            <w:shd w:val="clear" w:color="auto" w:fill="DDDDDD"/>
          </w:tcPr>
          <w:p>
            <w:pPr>
              <w:spacing w:after="0"/>
              <w:rPr>
                <w:sz w:val="18"/>
                <w:szCs w:val="18"/>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2,667,424</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1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2,886,951</w:t>
            </w:r>
          </w:p>
        </w:tc>
        <w:tc>
          <w:tcPr>
            <w:tcW w:w="0" w:type="dxa"/>
            <w:vAlign w:val="bottom"/>
          </w:tcPr>
          <w:p>
            <w:pPr>
              <w:spacing w:after="0"/>
              <w:rPr>
                <w:sz w:val="1"/>
                <w:szCs w:val="1"/>
                <w:color w:val="auto"/>
              </w:rPr>
            </w:pPr>
          </w:p>
        </w:tc>
      </w:tr>
      <w:tr>
        <w:trPr>
          <w:trHeight w:val="205"/>
        </w:trPr>
        <w:tc>
          <w:tcPr>
            <w:tcW w:w="3480" w:type="dxa"/>
            <w:vAlign w:val="bottom"/>
          </w:tcPr>
          <w:p>
            <w:pPr>
              <w:ind w:left="220"/>
              <w:spacing w:after="0"/>
              <w:rPr>
                <w:sz w:val="20"/>
                <w:szCs w:val="20"/>
                <w:color w:val="auto"/>
              </w:rPr>
            </w:pPr>
            <w:r>
              <w:rPr>
                <w:rFonts w:ascii="Arial" w:cs="Arial" w:eastAsia="Arial" w:hAnsi="Arial"/>
                <w:sz w:val="15"/>
                <w:szCs w:val="15"/>
                <w:color w:val="auto"/>
              </w:rPr>
              <w:t>Accumulated other comprehensive loss</w:t>
            </w:r>
          </w:p>
        </w:tc>
        <w:tc>
          <w:tcPr>
            <w:tcW w:w="2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(62,855)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(70,122)</w:t>
            </w:r>
          </w:p>
        </w:tc>
        <w:tc>
          <w:tcPr>
            <w:tcW w:w="0" w:type="dxa"/>
            <w:vAlign w:val="bottom"/>
          </w:tcPr>
          <w:p>
            <w:pPr>
              <w:spacing w:after="0"/>
              <w:rPr>
                <w:sz w:val="1"/>
                <w:szCs w:val="1"/>
                <w:color w:val="auto"/>
              </w:rPr>
            </w:pPr>
          </w:p>
        </w:tc>
      </w:tr>
      <w:tr>
        <w:trPr>
          <w:trHeight w:val="207"/>
        </w:trPr>
        <w:tc>
          <w:tcPr>
            <w:tcW w:w="34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Accumulated deficit</w:t>
            </w:r>
          </w:p>
        </w:tc>
        <w:tc>
          <w:tcPr>
            <w:tcW w:w="2720" w:type="dxa"/>
            <w:vAlign w:val="bottom"/>
            <w:shd w:val="clear" w:color="auto" w:fill="DDDDDD"/>
          </w:tcPr>
          <w:p>
            <w:pPr>
              <w:spacing w:after="0"/>
              <w:rPr>
                <w:sz w:val="18"/>
                <w:szCs w:val="18"/>
                <w:color w:val="auto"/>
              </w:rPr>
            </w:pPr>
          </w:p>
        </w:tc>
        <w:tc>
          <w:tcPr>
            <w:tcW w:w="1580" w:type="dxa"/>
            <w:vAlign w:val="bottom"/>
            <w:tcBorders>
              <w:bottom w:val="single" w:sz="8" w:color="auto"/>
            </w:tcBorders>
            <w:shd w:val="clear" w:color="auto" w:fill="DDDDDD"/>
          </w:tcPr>
          <w:p>
            <w:pPr>
              <w:spacing w:after="0"/>
              <w:rPr>
                <w:sz w:val="18"/>
                <w:szCs w:val="18"/>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(1,040,666)</w:t>
            </w:r>
          </w:p>
        </w:tc>
        <w:tc>
          <w:tcPr>
            <w:tcW w:w="80" w:type="dxa"/>
            <w:vAlign w:val="bottom"/>
            <w:shd w:val="clear" w:color="auto" w:fill="DDDDDD"/>
          </w:tcPr>
          <w:p>
            <w:pPr>
              <w:spacing w:after="0"/>
              <w:rPr>
                <w:sz w:val="18"/>
                <w:szCs w:val="18"/>
                <w:color w:val="auto"/>
              </w:rPr>
            </w:pPr>
          </w:p>
        </w:tc>
        <w:tc>
          <w:tcPr>
            <w:tcW w:w="340" w:type="dxa"/>
            <w:vAlign w:val="bottom"/>
            <w:tcBorders>
              <w:bottom w:val="single" w:sz="8" w:color="auto"/>
            </w:tcBorders>
            <w:shd w:val="clear" w:color="auto" w:fill="DDDDDD"/>
          </w:tcPr>
          <w:p>
            <w:pPr>
              <w:spacing w:after="0"/>
              <w:rPr>
                <w:sz w:val="18"/>
                <w:szCs w:val="18"/>
                <w:color w:val="auto"/>
              </w:rPr>
            </w:pPr>
          </w:p>
        </w:tc>
        <w:tc>
          <w:tcPr>
            <w:tcW w:w="2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(1,251,550)</w:t>
            </w:r>
          </w:p>
        </w:tc>
        <w:tc>
          <w:tcPr>
            <w:tcW w:w="0" w:type="dxa"/>
            <w:vAlign w:val="bottom"/>
          </w:tcPr>
          <w:p>
            <w:pPr>
              <w:spacing w:after="0"/>
              <w:rPr>
                <w:sz w:val="1"/>
                <w:szCs w:val="1"/>
                <w:color w:val="auto"/>
              </w:rPr>
            </w:pPr>
          </w:p>
        </w:tc>
      </w:tr>
      <w:tr>
        <w:trPr>
          <w:trHeight w:val="198"/>
        </w:trPr>
        <w:tc>
          <w:tcPr>
            <w:tcW w:w="3480" w:type="dxa"/>
            <w:vAlign w:val="bottom"/>
            <w:tcBorders>
              <w:bottom w:val="single" w:sz="8" w:color="DDDDDD"/>
            </w:tcBorders>
          </w:tcPr>
          <w:p>
            <w:pPr>
              <w:ind w:left="20"/>
              <w:spacing w:after="0"/>
              <w:rPr>
                <w:sz w:val="20"/>
                <w:szCs w:val="20"/>
                <w:color w:val="auto"/>
              </w:rPr>
            </w:pPr>
            <w:r>
              <w:rPr>
                <w:rFonts w:ascii="Arial" w:cs="Arial" w:eastAsia="Arial" w:hAnsi="Arial"/>
                <w:sz w:val="15"/>
                <w:szCs w:val="15"/>
                <w:color w:val="auto"/>
              </w:rPr>
              <w:t>Total shareholders' equity</w:t>
            </w:r>
          </w:p>
        </w:tc>
        <w:tc>
          <w:tcPr>
            <w:tcW w:w="2720" w:type="dxa"/>
            <w:vAlign w:val="bottom"/>
            <w:tcBorders>
              <w:bottom w:val="single" w:sz="8" w:color="DDDDDD"/>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1,563,924</w:t>
            </w:r>
          </w:p>
        </w:tc>
        <w:tc>
          <w:tcPr>
            <w:tcW w:w="8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1,565,300</w:t>
            </w:r>
          </w:p>
        </w:tc>
        <w:tc>
          <w:tcPr>
            <w:tcW w:w="0" w:type="dxa"/>
            <w:vAlign w:val="bottom"/>
          </w:tcPr>
          <w:p>
            <w:pPr>
              <w:spacing w:after="0"/>
              <w:rPr>
                <w:sz w:val="1"/>
                <w:szCs w:val="1"/>
                <w:color w:val="auto"/>
              </w:rPr>
            </w:pPr>
          </w:p>
        </w:tc>
      </w:tr>
      <w:tr>
        <w:trPr>
          <w:trHeight w:val="224"/>
        </w:trPr>
        <w:tc>
          <w:tcPr>
            <w:tcW w:w="34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Total liabilities and shareholders' equity</w:t>
            </w:r>
          </w:p>
        </w:tc>
        <w:tc>
          <w:tcPr>
            <w:tcW w:w="2720" w:type="dxa"/>
            <w:vAlign w:val="bottom"/>
            <w:tcBorders>
              <w:bottom w:val="single" w:sz="8" w:color="DDDDDD"/>
            </w:tcBorders>
            <w:shd w:val="clear" w:color="auto" w:fill="DDDDDD"/>
          </w:tcPr>
          <w:p>
            <w:pPr>
              <w:spacing w:after="0"/>
              <w:rPr>
                <w:sz w:val="19"/>
                <w:szCs w:val="19"/>
                <w:color w:val="auto"/>
              </w:rPr>
            </w:pPr>
          </w:p>
        </w:tc>
        <w:tc>
          <w:tcPr>
            <w:tcW w:w="1580" w:type="dxa"/>
            <w:vAlign w:val="bottom"/>
            <w:tcBorders>
              <w:bottom w:val="single" w:sz="8" w:color="auto"/>
            </w:tcBorders>
            <w:shd w:val="clear" w:color="auto" w:fill="DDDDDD"/>
          </w:tcPr>
          <w:p>
            <w:pPr>
              <w:jc w:val="right"/>
              <w:ind w:right="140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5,609,751</w:t>
            </w:r>
          </w:p>
        </w:tc>
        <w:tc>
          <w:tcPr>
            <w:tcW w:w="80" w:type="dxa"/>
            <w:vAlign w:val="bottom"/>
            <w:tcBorders>
              <w:bottom w:val="single" w:sz="8" w:color="DDDDDD"/>
            </w:tcBorders>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jc w:val="right"/>
              <w:ind w:right="143"/>
              <w:spacing w:after="0"/>
              <w:rPr>
                <w:sz w:val="20"/>
                <w:szCs w:val="20"/>
                <w:color w:val="auto"/>
              </w:rPr>
            </w:pPr>
            <w:r>
              <w:rPr>
                <w:rFonts w:ascii="Arial" w:cs="Arial" w:eastAsia="Arial" w:hAnsi="Arial"/>
                <w:sz w:val="15"/>
                <w:szCs w:val="15"/>
                <w:color w:val="auto"/>
              </w:rPr>
              <w:t>$</w:t>
            </w:r>
          </w:p>
        </w:tc>
        <w:tc>
          <w:tcPr>
            <w:tcW w:w="2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5,827,651</w:t>
            </w:r>
          </w:p>
        </w:tc>
        <w:tc>
          <w:tcPr>
            <w:tcW w:w="0" w:type="dxa"/>
            <w:vAlign w:val="bottom"/>
          </w:tcPr>
          <w:p>
            <w:pPr>
              <w:spacing w:after="0"/>
              <w:rPr>
                <w:sz w:val="1"/>
                <w:szCs w:val="1"/>
                <w:color w:val="auto"/>
              </w:rPr>
            </w:pPr>
          </w:p>
        </w:tc>
      </w:tr>
      <w:tr>
        <w:trPr>
          <w:trHeight w:val="20"/>
        </w:trPr>
        <w:tc>
          <w:tcPr>
            <w:tcW w:w="3480" w:type="dxa"/>
            <w:vAlign w:val="bottom"/>
            <w:tcBorders>
              <w:top w:val="single" w:sz="8" w:color="DDDDDD"/>
            </w:tcBorders>
          </w:tcPr>
          <w:p>
            <w:pPr>
              <w:spacing w:after="0" w:line="20" w:lineRule="exact"/>
              <w:rPr>
                <w:sz w:val="1"/>
                <w:szCs w:val="1"/>
                <w:color w:val="auto"/>
              </w:rPr>
            </w:pPr>
          </w:p>
        </w:tc>
        <w:tc>
          <w:tcPr>
            <w:tcW w:w="2720" w:type="dxa"/>
            <w:vAlign w:val="bottom"/>
            <w:tcBorders>
              <w:top w:val="single" w:sz="8" w:color="DDDDDD"/>
            </w:tcBorders>
          </w:tcPr>
          <w:p>
            <w:pPr>
              <w:spacing w:after="0" w:line="20" w:lineRule="exact"/>
              <w:rPr>
                <w:sz w:val="1"/>
                <w:szCs w:val="1"/>
                <w:color w:val="auto"/>
              </w:rPr>
            </w:pPr>
          </w:p>
        </w:tc>
        <w:tc>
          <w:tcPr>
            <w:tcW w:w="1580" w:type="dxa"/>
            <w:vAlign w:val="bottom"/>
            <w:tcBorders>
              <w:top w:val="single" w:sz="8" w:color="DDDDDD"/>
              <w:bottom w:val="single" w:sz="8" w:color="auto"/>
            </w:tcBorders>
          </w:tcPr>
          <w:p>
            <w:pPr>
              <w:spacing w:after="0" w:line="20" w:lineRule="exact"/>
              <w:rPr>
                <w:sz w:val="1"/>
                <w:szCs w:val="1"/>
                <w:color w:val="auto"/>
              </w:rPr>
            </w:pPr>
          </w:p>
        </w:tc>
        <w:tc>
          <w:tcPr>
            <w:tcW w:w="9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214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22"/>
          <w:szCs w:val="22"/>
          <w:color w:val="1D2758"/>
        </w:rPr>
        <w:t>WillScot Mobile Mini Holdings Corp.</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1D2758"/>
        </w:rPr>
        <w:t>Condensed Consolidated Statements of Operations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1D2758"/>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share and per share data)</w:t>
            </w:r>
          </w:p>
        </w:tc>
        <w:tc>
          <w:tcPr>
            <w:tcW w:w="400" w:type="dxa"/>
            <w:vAlign w:val="bottom"/>
            <w:shd w:val="clear" w:color="auto" w:fill="1D2758"/>
          </w:tcPr>
          <w:p>
            <w:pPr>
              <w:spacing w:after="0"/>
              <w:rPr>
                <w:sz w:val="16"/>
                <w:szCs w:val="16"/>
                <w:color w:val="auto"/>
              </w:rPr>
            </w:pPr>
          </w:p>
        </w:tc>
        <w:tc>
          <w:tcPr>
            <w:tcW w:w="3300" w:type="dxa"/>
            <w:vAlign w:val="bottom"/>
            <w:gridSpan w:val="4"/>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Three Months Ended March 31,</w:t>
            </w:r>
          </w:p>
        </w:tc>
        <w:tc>
          <w:tcPr>
            <w:tcW w:w="0" w:type="dxa"/>
            <w:vAlign w:val="bottom"/>
          </w:tcPr>
          <w:p>
            <w:pPr>
              <w:spacing w:after="0"/>
              <w:rPr>
                <w:sz w:val="1"/>
                <w:szCs w:val="1"/>
                <w:color w:val="auto"/>
              </w:rPr>
            </w:pPr>
          </w:p>
        </w:tc>
      </w:tr>
      <w:tr>
        <w:trPr>
          <w:trHeight w:val="213"/>
        </w:trPr>
        <w:tc>
          <w:tcPr>
            <w:tcW w:w="7520" w:type="dxa"/>
            <w:vAlign w:val="bottom"/>
            <w:vMerge w:val="continue"/>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400" w:type="dxa"/>
            <w:vAlign w:val="bottom"/>
            <w:vMerge w:val="restart"/>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1400" w:type="dxa"/>
            <w:vAlign w:val="bottom"/>
            <w:vMerge w:val="restart"/>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2022</w:t>
            </w:r>
          </w:p>
        </w:tc>
        <w:tc>
          <w:tcPr>
            <w:tcW w:w="0" w:type="dxa"/>
            <w:vAlign w:val="bottom"/>
          </w:tcPr>
          <w:p>
            <w:pPr>
              <w:spacing w:after="0"/>
              <w:rPr>
                <w:sz w:val="1"/>
                <w:szCs w:val="1"/>
                <w:color w:val="auto"/>
              </w:rPr>
            </w:pPr>
          </w:p>
        </w:tc>
      </w:tr>
      <w:tr>
        <w:trPr>
          <w:trHeight w:val="84"/>
        </w:trPr>
        <w:tc>
          <w:tcPr>
            <w:tcW w:w="7520" w:type="dxa"/>
            <w:vAlign w:val="bottom"/>
            <w:shd w:val="clear" w:color="auto" w:fill="1D2758"/>
          </w:tcPr>
          <w:p>
            <w:pPr>
              <w:spacing w:after="0"/>
              <w:rPr>
                <w:sz w:val="7"/>
                <w:szCs w:val="7"/>
                <w:color w:val="auto"/>
              </w:rPr>
            </w:pPr>
          </w:p>
        </w:tc>
        <w:tc>
          <w:tcPr>
            <w:tcW w:w="400" w:type="dxa"/>
            <w:vAlign w:val="bottom"/>
            <w:shd w:val="clear" w:color="auto" w:fill="1D2758"/>
          </w:tcPr>
          <w:p>
            <w:pPr>
              <w:spacing w:after="0"/>
              <w:rPr>
                <w:sz w:val="7"/>
                <w:szCs w:val="7"/>
                <w:color w:val="auto"/>
              </w:rPr>
            </w:pPr>
          </w:p>
        </w:tc>
        <w:tc>
          <w:tcPr>
            <w:tcW w:w="1400" w:type="dxa"/>
            <w:vAlign w:val="bottom"/>
            <w:vMerge w:val="continue"/>
            <w:shd w:val="clear" w:color="auto" w:fill="1D2758"/>
          </w:tcPr>
          <w:p>
            <w:pPr>
              <w:spacing w:after="0"/>
              <w:rPr>
                <w:sz w:val="7"/>
                <w:szCs w:val="7"/>
                <w:color w:val="auto"/>
              </w:rPr>
            </w:pPr>
          </w:p>
        </w:tc>
        <w:tc>
          <w:tcPr>
            <w:tcW w:w="80" w:type="dxa"/>
            <w:vAlign w:val="bottom"/>
            <w:shd w:val="clear" w:color="auto" w:fill="1D2758"/>
          </w:tcPr>
          <w:p>
            <w:pPr>
              <w:spacing w:after="0"/>
              <w:rPr>
                <w:sz w:val="7"/>
                <w:szCs w:val="7"/>
                <w:color w:val="auto"/>
              </w:rPr>
            </w:pPr>
          </w:p>
        </w:tc>
        <w:tc>
          <w:tcPr>
            <w:tcW w:w="420" w:type="dxa"/>
            <w:vAlign w:val="bottom"/>
            <w:shd w:val="clear" w:color="auto" w:fill="1D2758"/>
          </w:tcPr>
          <w:p>
            <w:pPr>
              <w:spacing w:after="0"/>
              <w:rPr>
                <w:sz w:val="7"/>
                <w:szCs w:val="7"/>
                <w:color w:val="auto"/>
              </w:rPr>
            </w:pPr>
          </w:p>
        </w:tc>
        <w:tc>
          <w:tcPr>
            <w:tcW w:w="140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7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40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52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20"/>
              <w:spacing w:after="0"/>
              <w:rPr>
                <w:sz w:val="20"/>
                <w:szCs w:val="20"/>
                <w:color w:val="auto"/>
              </w:rPr>
            </w:pPr>
            <w:r>
              <w:rPr>
                <w:rFonts w:ascii="Arial" w:cs="Arial" w:eastAsia="Arial" w:hAnsi="Arial"/>
                <w:sz w:val="15"/>
                <w:szCs w:val="15"/>
                <w:color w:val="auto"/>
              </w:rPr>
              <w:t>Leasing</w:t>
            </w: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439,951</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351,559</w:t>
            </w:r>
          </w:p>
        </w:tc>
        <w:tc>
          <w:tcPr>
            <w:tcW w:w="0" w:type="dxa"/>
            <w:vAlign w:val="bottom"/>
          </w:tcPr>
          <w:p>
            <w:pPr>
              <w:spacing w:after="0"/>
              <w:rPr>
                <w:sz w:val="1"/>
                <w:szCs w:val="1"/>
                <w:color w:val="auto"/>
              </w:rPr>
            </w:pPr>
          </w:p>
        </w:tc>
      </w:tr>
      <w:tr>
        <w:trPr>
          <w:trHeight w:val="205"/>
        </w:trPr>
        <w:tc>
          <w:tcPr>
            <w:tcW w:w="7520" w:type="dxa"/>
            <w:vAlign w:val="bottom"/>
          </w:tcPr>
          <w:p>
            <w:pPr>
              <w:ind w:left="420"/>
              <w:spacing w:after="0"/>
              <w:rPr>
                <w:sz w:val="20"/>
                <w:szCs w:val="20"/>
                <w:color w:val="auto"/>
              </w:rPr>
            </w:pPr>
            <w:r>
              <w:rPr>
                <w:rFonts w:ascii="Arial" w:cs="Arial" w:eastAsia="Arial" w:hAnsi="Arial"/>
                <w:sz w:val="15"/>
                <w:szCs w:val="15"/>
                <w:color w:val="auto"/>
              </w:rPr>
              <w:t>Delivery and installation</w:t>
            </w:r>
          </w:p>
        </w:tc>
        <w:tc>
          <w:tcPr>
            <w:tcW w:w="40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106,630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85,539</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40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20" w:type="dxa"/>
            <w:vAlign w:val="bottom"/>
          </w:tcPr>
          <w:p>
            <w:pPr>
              <w:ind w:left="420"/>
              <w:spacing w:after="0"/>
              <w:rPr>
                <w:sz w:val="20"/>
                <w:szCs w:val="20"/>
                <w:color w:val="auto"/>
              </w:rPr>
            </w:pPr>
            <w:r>
              <w:rPr>
                <w:rFonts w:ascii="Arial" w:cs="Arial" w:eastAsia="Arial" w:hAnsi="Arial"/>
                <w:sz w:val="15"/>
                <w:szCs w:val="15"/>
                <w:color w:val="auto"/>
              </w:rPr>
              <w:t>New units</w:t>
            </w:r>
          </w:p>
        </w:tc>
        <w:tc>
          <w:tcPr>
            <w:tcW w:w="40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10,657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5,787</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20"/>
              <w:spacing w:after="0"/>
              <w:rPr>
                <w:sz w:val="20"/>
                <w:szCs w:val="20"/>
                <w:color w:val="auto"/>
              </w:rPr>
            </w:pPr>
            <w:r>
              <w:rPr>
                <w:rFonts w:ascii="Arial" w:cs="Arial" w:eastAsia="Arial" w:hAnsi="Arial"/>
                <w:sz w:val="15"/>
                <w:szCs w:val="15"/>
                <w:color w:val="auto"/>
              </w:rPr>
              <w:t>Rental units</w:t>
            </w:r>
          </w:p>
        </w:tc>
        <w:tc>
          <w:tcPr>
            <w:tcW w:w="40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8,230</w:t>
            </w:r>
          </w:p>
        </w:tc>
        <w:tc>
          <w:tcPr>
            <w:tcW w:w="80" w:type="dxa"/>
            <w:vAlign w:val="bottom"/>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8,286</w:t>
            </w:r>
          </w:p>
        </w:tc>
        <w:tc>
          <w:tcPr>
            <w:tcW w:w="0" w:type="dxa"/>
            <w:vAlign w:val="bottom"/>
          </w:tcPr>
          <w:p>
            <w:pPr>
              <w:spacing w:after="0"/>
              <w:rPr>
                <w:sz w:val="1"/>
                <w:szCs w:val="1"/>
                <w:color w:val="auto"/>
              </w:rPr>
            </w:pPr>
          </w:p>
        </w:tc>
      </w:tr>
      <w:tr>
        <w:trPr>
          <w:trHeight w:val="198"/>
        </w:trPr>
        <w:tc>
          <w:tcPr>
            <w:tcW w:w="752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40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565,468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451,171</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40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2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20"/>
              <w:spacing w:after="0"/>
              <w:rPr>
                <w:sz w:val="20"/>
                <w:szCs w:val="20"/>
                <w:color w:val="auto"/>
              </w:rPr>
            </w:pPr>
            <w:r>
              <w:rPr>
                <w:rFonts w:ascii="Arial" w:cs="Arial" w:eastAsia="Arial" w:hAnsi="Arial"/>
                <w:sz w:val="15"/>
                <w:szCs w:val="15"/>
                <w:color w:val="auto"/>
              </w:rPr>
              <w:t>Leasing</w:t>
            </w:r>
          </w:p>
        </w:tc>
        <w:tc>
          <w:tcPr>
            <w:tcW w:w="400" w:type="dxa"/>
            <w:vAlign w:val="bottom"/>
            <w:shd w:val="clear" w:color="auto" w:fill="DBDBDB"/>
          </w:tcPr>
          <w:p>
            <w:pPr>
              <w:spacing w:after="0"/>
              <w:rPr>
                <w:sz w:val="18"/>
                <w:szCs w:val="18"/>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97,515</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80,334</w:t>
            </w:r>
          </w:p>
        </w:tc>
        <w:tc>
          <w:tcPr>
            <w:tcW w:w="0" w:type="dxa"/>
            <w:vAlign w:val="bottom"/>
          </w:tcPr>
          <w:p>
            <w:pPr>
              <w:spacing w:after="0"/>
              <w:rPr>
                <w:sz w:val="1"/>
                <w:szCs w:val="1"/>
                <w:color w:val="auto"/>
              </w:rPr>
            </w:pPr>
          </w:p>
        </w:tc>
      </w:tr>
      <w:tr>
        <w:trPr>
          <w:trHeight w:val="205"/>
        </w:trPr>
        <w:tc>
          <w:tcPr>
            <w:tcW w:w="7520" w:type="dxa"/>
            <w:vAlign w:val="bottom"/>
          </w:tcPr>
          <w:p>
            <w:pPr>
              <w:ind w:left="420"/>
              <w:spacing w:after="0"/>
              <w:rPr>
                <w:sz w:val="20"/>
                <w:szCs w:val="20"/>
                <w:color w:val="auto"/>
              </w:rPr>
            </w:pPr>
            <w:r>
              <w:rPr>
                <w:rFonts w:ascii="Arial" w:cs="Arial" w:eastAsia="Arial" w:hAnsi="Arial"/>
                <w:sz w:val="15"/>
                <w:szCs w:val="15"/>
                <w:color w:val="auto"/>
              </w:rPr>
              <w:t>Delivery and installation</w:t>
            </w:r>
          </w:p>
        </w:tc>
        <w:tc>
          <w:tcPr>
            <w:tcW w:w="40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75,007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70,580</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40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20" w:type="dxa"/>
            <w:vAlign w:val="bottom"/>
          </w:tcPr>
          <w:p>
            <w:pPr>
              <w:ind w:left="420"/>
              <w:spacing w:after="0"/>
              <w:rPr>
                <w:sz w:val="20"/>
                <w:szCs w:val="20"/>
                <w:color w:val="auto"/>
              </w:rPr>
            </w:pPr>
            <w:r>
              <w:rPr>
                <w:rFonts w:ascii="Arial" w:cs="Arial" w:eastAsia="Arial" w:hAnsi="Arial"/>
                <w:sz w:val="15"/>
                <w:szCs w:val="15"/>
                <w:color w:val="auto"/>
              </w:rPr>
              <w:t>New units</w:t>
            </w:r>
          </w:p>
        </w:tc>
        <w:tc>
          <w:tcPr>
            <w:tcW w:w="40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6,208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3,756</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20"/>
              <w:spacing w:after="0"/>
              <w:rPr>
                <w:sz w:val="20"/>
                <w:szCs w:val="20"/>
                <w:color w:val="auto"/>
              </w:rPr>
            </w:pPr>
            <w:r>
              <w:rPr>
                <w:rFonts w:ascii="Arial" w:cs="Arial" w:eastAsia="Arial" w:hAnsi="Arial"/>
                <w:sz w:val="15"/>
                <w:szCs w:val="15"/>
                <w:color w:val="auto"/>
              </w:rPr>
              <w:t>Rental units</w:t>
            </w:r>
          </w:p>
        </w:tc>
        <w:tc>
          <w:tcPr>
            <w:tcW w:w="400" w:type="dxa"/>
            <w:vAlign w:val="bottom"/>
            <w:shd w:val="clear" w:color="auto" w:fill="DBDBDB"/>
          </w:tcPr>
          <w:p>
            <w:pPr>
              <w:spacing w:after="0"/>
              <w:rPr>
                <w:sz w:val="18"/>
                <w:szCs w:val="18"/>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4,454</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4,892</w:t>
            </w:r>
          </w:p>
        </w:tc>
        <w:tc>
          <w:tcPr>
            <w:tcW w:w="0" w:type="dxa"/>
            <w:vAlign w:val="bottom"/>
          </w:tcPr>
          <w:p>
            <w:pPr>
              <w:spacing w:after="0"/>
              <w:rPr>
                <w:sz w:val="1"/>
                <w:szCs w:val="1"/>
                <w:color w:val="auto"/>
              </w:rPr>
            </w:pPr>
          </w:p>
        </w:tc>
      </w:tr>
      <w:tr>
        <w:trPr>
          <w:trHeight w:val="205"/>
        </w:trPr>
        <w:tc>
          <w:tcPr>
            <w:tcW w:w="75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59,156</w:t>
            </w:r>
          </w:p>
        </w:tc>
        <w:tc>
          <w:tcPr>
            <w:tcW w:w="8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57,548</w:t>
            </w:r>
          </w:p>
        </w:tc>
        <w:tc>
          <w:tcPr>
            <w:tcW w:w="0" w:type="dxa"/>
            <w:vAlign w:val="bottom"/>
          </w:tcPr>
          <w:p>
            <w:pPr>
              <w:spacing w:after="0"/>
              <w:rPr>
                <w:sz w:val="1"/>
                <w:szCs w:val="1"/>
                <w:color w:val="auto"/>
              </w:rPr>
            </w:pPr>
          </w:p>
        </w:tc>
      </w:tr>
      <w:tr>
        <w:trPr>
          <w:trHeight w:val="200"/>
        </w:trPr>
        <w:tc>
          <w:tcPr>
            <w:tcW w:w="7520" w:type="dxa"/>
            <w:vAlign w:val="bottom"/>
            <w:shd w:val="clear" w:color="auto" w:fill="DBDBDB"/>
          </w:tcPr>
          <w:p>
            <w:pPr>
              <w:ind w:left="420"/>
              <w:spacing w:after="0"/>
              <w:rPr>
                <w:sz w:val="20"/>
                <w:szCs w:val="20"/>
                <w:color w:val="auto"/>
              </w:rPr>
            </w:pPr>
            <w:r>
              <w:rPr>
                <w:rFonts w:ascii="Arial" w:cs="Arial" w:eastAsia="Arial" w:hAnsi="Arial"/>
                <w:sz w:val="15"/>
                <w:szCs w:val="15"/>
                <w:color w:val="auto"/>
              </w:rPr>
              <w:t>Gross profit</w:t>
            </w:r>
          </w:p>
        </w:tc>
        <w:tc>
          <w:tcPr>
            <w:tcW w:w="400" w:type="dxa"/>
            <w:vAlign w:val="bottom"/>
            <w:shd w:val="clear" w:color="auto" w:fill="DBDBDB"/>
          </w:tcPr>
          <w:p>
            <w:pPr>
              <w:spacing w:after="0"/>
              <w:rPr>
                <w:sz w:val="17"/>
                <w:szCs w:val="17"/>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323,128</w:t>
            </w: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234,061</w:t>
            </w:r>
          </w:p>
        </w:tc>
        <w:tc>
          <w:tcPr>
            <w:tcW w:w="0" w:type="dxa"/>
            <w:vAlign w:val="bottom"/>
          </w:tcPr>
          <w:p>
            <w:pPr>
              <w:spacing w:after="0"/>
              <w:rPr>
                <w:sz w:val="1"/>
                <w:szCs w:val="1"/>
                <w:color w:val="auto"/>
              </w:rPr>
            </w:pPr>
          </w:p>
        </w:tc>
      </w:tr>
      <w:tr>
        <w:trPr>
          <w:trHeight w:val="205"/>
        </w:trPr>
        <w:tc>
          <w:tcPr>
            <w:tcW w:w="7520" w:type="dxa"/>
            <w:vAlign w:val="bottom"/>
          </w:tcPr>
          <w:p>
            <w:pPr>
              <w:ind w:left="20"/>
              <w:spacing w:after="0"/>
              <w:rPr>
                <w:sz w:val="20"/>
                <w:szCs w:val="20"/>
                <w:color w:val="auto"/>
              </w:rPr>
            </w:pPr>
            <w:r>
              <w:rPr>
                <w:rFonts w:ascii="Arial" w:cs="Arial" w:eastAsia="Arial" w:hAnsi="Arial"/>
                <w:sz w:val="15"/>
                <w:szCs w:val="15"/>
                <w:color w:val="auto"/>
              </w:rPr>
              <w:t>Expenses:</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400" w:type="dxa"/>
            <w:vAlign w:val="bottom"/>
            <w:shd w:val="clear" w:color="auto" w:fill="DBDBDB"/>
          </w:tcPr>
          <w:p>
            <w:pPr>
              <w:spacing w:after="0"/>
              <w:rPr>
                <w:sz w:val="18"/>
                <w:szCs w:val="18"/>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150,892</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138,144</w:t>
            </w:r>
          </w:p>
        </w:tc>
        <w:tc>
          <w:tcPr>
            <w:tcW w:w="0" w:type="dxa"/>
            <w:vAlign w:val="bottom"/>
          </w:tcPr>
          <w:p>
            <w:pPr>
              <w:spacing w:after="0"/>
              <w:rPr>
                <w:sz w:val="1"/>
                <w:szCs w:val="1"/>
                <w:color w:val="auto"/>
              </w:rPr>
            </w:pPr>
          </w:p>
        </w:tc>
      </w:tr>
      <w:tr>
        <w:trPr>
          <w:trHeight w:val="205"/>
        </w:trPr>
        <w:tc>
          <w:tcPr>
            <w:tcW w:w="752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40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17,173</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15,362</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400" w:type="dxa"/>
            <w:vAlign w:val="bottom"/>
            <w:shd w:val="clear" w:color="auto" w:fill="DBDBDB"/>
          </w:tcPr>
          <w:p>
            <w:pPr>
              <w:spacing w:after="0"/>
              <w:rPr>
                <w:sz w:val="18"/>
                <w:szCs w:val="18"/>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6,775</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205"/>
        </w:trPr>
        <w:tc>
          <w:tcPr>
            <w:tcW w:w="75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income, net</w:t>
            </w: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(3,359)</w:t>
            </w:r>
          </w:p>
        </w:tc>
        <w:tc>
          <w:tcPr>
            <w:tcW w:w="8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(1,283)</w:t>
            </w:r>
          </w:p>
        </w:tc>
        <w:tc>
          <w:tcPr>
            <w:tcW w:w="0" w:type="dxa"/>
            <w:vAlign w:val="bottom"/>
          </w:tcPr>
          <w:p>
            <w:pPr>
              <w:spacing w:after="0"/>
              <w:rPr>
                <w:sz w:val="1"/>
                <w:szCs w:val="1"/>
                <w:color w:val="auto"/>
              </w:rPr>
            </w:pPr>
          </w:p>
        </w:tc>
      </w:tr>
      <w:tr>
        <w:trPr>
          <w:trHeight w:val="200"/>
        </w:trPr>
        <w:tc>
          <w:tcPr>
            <w:tcW w:w="7520" w:type="dxa"/>
            <w:vAlign w:val="bottom"/>
            <w:shd w:val="clear" w:color="auto" w:fill="DBDBDB"/>
          </w:tcPr>
          <w:p>
            <w:pPr>
              <w:ind w:left="420"/>
              <w:spacing w:after="0"/>
              <w:rPr>
                <w:sz w:val="20"/>
                <w:szCs w:val="20"/>
                <w:color w:val="auto"/>
              </w:rPr>
            </w:pPr>
            <w:r>
              <w:rPr>
                <w:rFonts w:ascii="Arial" w:cs="Arial" w:eastAsia="Arial" w:hAnsi="Arial"/>
                <w:sz w:val="15"/>
                <w:szCs w:val="15"/>
                <w:color w:val="auto"/>
              </w:rPr>
              <w:t>Operating income</w:t>
            </w:r>
          </w:p>
        </w:tc>
        <w:tc>
          <w:tcPr>
            <w:tcW w:w="400" w:type="dxa"/>
            <w:vAlign w:val="bottom"/>
            <w:shd w:val="clear" w:color="auto" w:fill="DBDBDB"/>
          </w:tcPr>
          <w:p>
            <w:pPr>
              <w:spacing w:after="0"/>
              <w:rPr>
                <w:sz w:val="17"/>
                <w:szCs w:val="17"/>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151,647</w:t>
            </w: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81,701</w:t>
            </w:r>
          </w:p>
        </w:tc>
        <w:tc>
          <w:tcPr>
            <w:tcW w:w="0" w:type="dxa"/>
            <w:vAlign w:val="bottom"/>
          </w:tcPr>
          <w:p>
            <w:pPr>
              <w:spacing w:after="0"/>
              <w:rPr>
                <w:sz w:val="1"/>
                <w:szCs w:val="1"/>
                <w:color w:val="auto"/>
              </w:rPr>
            </w:pPr>
          </w:p>
        </w:tc>
      </w:tr>
      <w:tr>
        <w:trPr>
          <w:trHeight w:val="205"/>
        </w:trPr>
        <w:tc>
          <w:tcPr>
            <w:tcW w:w="75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Interest expense</w:t>
            </w: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44,866</w:t>
            </w:r>
          </w:p>
        </w:tc>
        <w:tc>
          <w:tcPr>
            <w:tcW w:w="8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30,570</w:t>
            </w:r>
          </w:p>
        </w:tc>
        <w:tc>
          <w:tcPr>
            <w:tcW w:w="0" w:type="dxa"/>
            <w:vAlign w:val="bottom"/>
          </w:tcPr>
          <w:p>
            <w:pPr>
              <w:spacing w:after="0"/>
              <w:rPr>
                <w:sz w:val="1"/>
                <w:szCs w:val="1"/>
                <w:color w:val="auto"/>
              </w:rPr>
            </w:pPr>
          </w:p>
        </w:tc>
      </w:tr>
      <w:tr>
        <w:trPr>
          <w:trHeight w:val="200"/>
        </w:trPr>
        <w:tc>
          <w:tcPr>
            <w:tcW w:w="7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 before income tax</w:t>
            </w:r>
          </w:p>
        </w:tc>
        <w:tc>
          <w:tcPr>
            <w:tcW w:w="400" w:type="dxa"/>
            <w:vAlign w:val="bottom"/>
            <w:shd w:val="clear" w:color="auto" w:fill="DBDBDB"/>
          </w:tcPr>
          <w:p>
            <w:pPr>
              <w:spacing w:after="0"/>
              <w:rPr>
                <w:sz w:val="17"/>
                <w:szCs w:val="17"/>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106,781</w:t>
            </w: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51,131</w:t>
            </w:r>
          </w:p>
        </w:tc>
        <w:tc>
          <w:tcPr>
            <w:tcW w:w="0" w:type="dxa"/>
            <w:vAlign w:val="bottom"/>
          </w:tcPr>
          <w:p>
            <w:pPr>
              <w:spacing w:after="0"/>
              <w:rPr>
                <w:sz w:val="1"/>
                <w:szCs w:val="1"/>
                <w:color w:val="auto"/>
              </w:rPr>
            </w:pPr>
          </w:p>
        </w:tc>
      </w:tr>
      <w:tr>
        <w:trPr>
          <w:trHeight w:val="205"/>
        </w:trPr>
        <w:tc>
          <w:tcPr>
            <w:tcW w:w="75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 from continuing operations</w:t>
            </w: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30,510</w:t>
            </w:r>
          </w:p>
        </w:tc>
        <w:tc>
          <w:tcPr>
            <w:tcW w:w="8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12,083</w:t>
            </w:r>
          </w:p>
        </w:tc>
        <w:tc>
          <w:tcPr>
            <w:tcW w:w="0" w:type="dxa"/>
            <w:vAlign w:val="bottom"/>
          </w:tcPr>
          <w:p>
            <w:pPr>
              <w:spacing w:after="0"/>
              <w:rPr>
                <w:sz w:val="1"/>
                <w:szCs w:val="1"/>
                <w:color w:val="auto"/>
              </w:rPr>
            </w:pPr>
          </w:p>
        </w:tc>
      </w:tr>
      <w:tr>
        <w:trPr>
          <w:trHeight w:val="199"/>
        </w:trPr>
        <w:tc>
          <w:tcPr>
            <w:tcW w:w="7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w:t>
            </w:r>
          </w:p>
        </w:tc>
        <w:tc>
          <w:tcPr>
            <w:tcW w:w="400" w:type="dxa"/>
            <w:vAlign w:val="bottom"/>
            <w:tcBorders>
              <w:bottom w:val="single" w:sz="8" w:color="auto"/>
            </w:tcBorders>
            <w:shd w:val="clear" w:color="auto" w:fill="DBDBDB"/>
          </w:tcPr>
          <w:p>
            <w:pPr>
              <w:spacing w:after="0"/>
              <w:rPr>
                <w:sz w:val="17"/>
                <w:szCs w:val="17"/>
                <w:color w:val="auto"/>
              </w:rPr>
            </w:pPr>
          </w:p>
        </w:tc>
        <w:tc>
          <w:tcPr>
            <w:tcW w:w="14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76,271</w:t>
            </w:r>
          </w:p>
        </w:tc>
        <w:tc>
          <w:tcPr>
            <w:tcW w:w="80" w:type="dxa"/>
            <w:vAlign w:val="bottom"/>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14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39,048</w:t>
            </w:r>
          </w:p>
        </w:tc>
        <w:tc>
          <w:tcPr>
            <w:tcW w:w="0" w:type="dxa"/>
            <w:vAlign w:val="bottom"/>
          </w:tcPr>
          <w:p>
            <w:pPr>
              <w:spacing w:after="0"/>
              <w:rPr>
                <w:sz w:val="1"/>
                <w:szCs w:val="1"/>
                <w:color w:val="auto"/>
              </w:rPr>
            </w:pPr>
          </w:p>
        </w:tc>
      </w:tr>
      <w:tr>
        <w:trPr>
          <w:trHeight w:val="187"/>
        </w:trPr>
        <w:tc>
          <w:tcPr>
            <w:tcW w:w="7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Discontinued operations:</w:t>
            </w:r>
          </w:p>
        </w:tc>
        <w:tc>
          <w:tcPr>
            <w:tcW w:w="40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520" w:type="dxa"/>
            <w:vAlign w:val="bottom"/>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40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4,003</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15,787</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400" w:type="dxa"/>
            <w:vAlign w:val="bottom"/>
            <w:shd w:val="clear" w:color="auto" w:fill="DBDBDB"/>
          </w:tcPr>
          <w:p>
            <w:pPr>
              <w:spacing w:after="0"/>
              <w:rPr>
                <w:sz w:val="18"/>
                <w:szCs w:val="18"/>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176,078</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75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45,468</w:t>
            </w:r>
          </w:p>
        </w:tc>
        <w:tc>
          <w:tcPr>
            <w:tcW w:w="8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3,664</w:t>
            </w:r>
          </w:p>
        </w:tc>
        <w:tc>
          <w:tcPr>
            <w:tcW w:w="0" w:type="dxa"/>
            <w:vAlign w:val="bottom"/>
          </w:tcPr>
          <w:p>
            <w:pPr>
              <w:spacing w:after="0"/>
              <w:rPr>
                <w:sz w:val="1"/>
                <w:szCs w:val="1"/>
                <w:color w:val="auto"/>
              </w:rPr>
            </w:pPr>
          </w:p>
        </w:tc>
      </w:tr>
      <w:tr>
        <w:trPr>
          <w:trHeight w:val="199"/>
        </w:trPr>
        <w:tc>
          <w:tcPr>
            <w:tcW w:w="7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400" w:type="dxa"/>
            <w:vAlign w:val="bottom"/>
            <w:tcBorders>
              <w:bottom w:val="single" w:sz="8" w:color="auto"/>
            </w:tcBorders>
            <w:shd w:val="clear" w:color="auto" w:fill="DBDBDB"/>
          </w:tcPr>
          <w:p>
            <w:pPr>
              <w:spacing w:after="0"/>
              <w:rPr>
                <w:sz w:val="17"/>
                <w:szCs w:val="17"/>
                <w:color w:val="auto"/>
              </w:rPr>
            </w:pPr>
          </w:p>
        </w:tc>
        <w:tc>
          <w:tcPr>
            <w:tcW w:w="14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134,613</w:t>
            </w:r>
          </w:p>
        </w:tc>
        <w:tc>
          <w:tcPr>
            <w:tcW w:w="80" w:type="dxa"/>
            <w:vAlign w:val="bottom"/>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14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12,123</w:t>
            </w:r>
          </w:p>
        </w:tc>
        <w:tc>
          <w:tcPr>
            <w:tcW w:w="0" w:type="dxa"/>
            <w:vAlign w:val="bottom"/>
          </w:tcPr>
          <w:p>
            <w:pPr>
              <w:spacing w:after="0"/>
              <w:rPr>
                <w:sz w:val="1"/>
                <w:szCs w:val="1"/>
                <w:color w:val="auto"/>
              </w:rPr>
            </w:pPr>
          </w:p>
        </w:tc>
      </w:tr>
      <w:tr>
        <w:trPr>
          <w:trHeight w:val="187"/>
        </w:trPr>
        <w:tc>
          <w:tcPr>
            <w:tcW w:w="7520" w:type="dxa"/>
            <w:vAlign w:val="bottom"/>
            <w:tcBorders>
              <w:bottom w:val="single" w:sz="8" w:color="DBDBDB"/>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40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210,884</w:t>
            </w:r>
          </w:p>
        </w:tc>
        <w:tc>
          <w:tcPr>
            <w:tcW w:w="80" w:type="dxa"/>
            <w:vAlign w:val="bottom"/>
            <w:tcBorders>
              <w:bottom w:val="single" w:sz="8" w:color="DBDBDB"/>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51,171</w:t>
            </w:r>
          </w:p>
        </w:tc>
        <w:tc>
          <w:tcPr>
            <w:tcW w:w="0" w:type="dxa"/>
            <w:vAlign w:val="bottom"/>
          </w:tcPr>
          <w:p>
            <w:pPr>
              <w:spacing w:after="0"/>
              <w:rPr>
                <w:sz w:val="1"/>
                <w:szCs w:val="1"/>
                <w:color w:val="auto"/>
              </w:rPr>
            </w:pPr>
          </w:p>
        </w:tc>
      </w:tr>
      <w:tr>
        <w:trPr>
          <w:trHeight w:val="20"/>
        </w:trPr>
        <w:tc>
          <w:tcPr>
            <w:tcW w:w="75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7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Earnings per share from continuing operations attributable to WillScot Mobile Mini common shareholders:</w:t>
            </w:r>
          </w:p>
        </w:tc>
        <w:tc>
          <w:tcPr>
            <w:tcW w:w="40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520" w:type="dxa"/>
            <w:vAlign w:val="bottom"/>
          </w:tcPr>
          <w:p>
            <w:pPr>
              <w:ind w:left="20"/>
              <w:spacing w:after="0"/>
              <w:rPr>
                <w:sz w:val="20"/>
                <w:szCs w:val="20"/>
                <w:color w:val="auto"/>
              </w:rPr>
            </w:pPr>
            <w:r>
              <w:rPr>
                <w:rFonts w:ascii="Arial" w:cs="Arial" w:eastAsia="Arial" w:hAnsi="Arial"/>
                <w:sz w:val="15"/>
                <w:szCs w:val="15"/>
                <w:color w:val="auto"/>
              </w:rPr>
              <w:t>Basic</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0.37</w:t>
            </w:r>
          </w:p>
        </w:tc>
        <w:tc>
          <w:tcPr>
            <w:tcW w:w="80" w:type="dxa"/>
            <w:vAlign w:val="bottom"/>
          </w:tcPr>
          <w:p>
            <w:pPr>
              <w:spacing w:after="0"/>
              <w:rPr>
                <w:sz w:val="17"/>
                <w:szCs w:val="17"/>
                <w:color w:val="auto"/>
              </w:rPr>
            </w:pPr>
          </w:p>
        </w:tc>
        <w:tc>
          <w:tcPr>
            <w:tcW w:w="42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0.17</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Diluted</w:t>
            </w: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0.36</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0.17</w:t>
            </w:r>
          </w:p>
        </w:tc>
        <w:tc>
          <w:tcPr>
            <w:tcW w:w="0" w:type="dxa"/>
            <w:vAlign w:val="bottom"/>
          </w:tcPr>
          <w:p>
            <w:pPr>
              <w:spacing w:after="0"/>
              <w:rPr>
                <w:sz w:val="1"/>
                <w:szCs w:val="1"/>
                <w:color w:val="auto"/>
              </w:rPr>
            </w:pPr>
          </w:p>
        </w:tc>
      </w:tr>
      <w:tr>
        <w:trPr>
          <w:trHeight w:val="205"/>
        </w:trPr>
        <w:tc>
          <w:tcPr>
            <w:tcW w:w="7520" w:type="dxa"/>
            <w:vAlign w:val="bottom"/>
          </w:tcPr>
          <w:p>
            <w:pPr>
              <w:ind w:left="20"/>
              <w:spacing w:after="0"/>
              <w:rPr>
                <w:sz w:val="20"/>
                <w:szCs w:val="20"/>
                <w:color w:val="auto"/>
              </w:rPr>
            </w:pPr>
            <w:r>
              <w:rPr>
                <w:rFonts w:ascii="Arial" w:cs="Arial" w:eastAsia="Arial" w:hAnsi="Arial"/>
                <w:sz w:val="15"/>
                <w:szCs w:val="15"/>
                <w:color w:val="auto"/>
              </w:rPr>
              <w:t>Earnings per share from discontinued operations attributable to WillScot Mobile Mini common shareholders:</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Basic</w:t>
            </w: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0.65</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0.06</w:t>
            </w:r>
          </w:p>
        </w:tc>
        <w:tc>
          <w:tcPr>
            <w:tcW w:w="0" w:type="dxa"/>
            <w:vAlign w:val="bottom"/>
          </w:tcPr>
          <w:p>
            <w:pPr>
              <w:spacing w:after="0"/>
              <w:rPr>
                <w:sz w:val="1"/>
                <w:szCs w:val="1"/>
                <w:color w:val="auto"/>
              </w:rPr>
            </w:pPr>
          </w:p>
        </w:tc>
      </w:tr>
      <w:tr>
        <w:trPr>
          <w:trHeight w:val="205"/>
        </w:trPr>
        <w:tc>
          <w:tcPr>
            <w:tcW w:w="7520" w:type="dxa"/>
            <w:vAlign w:val="bottom"/>
          </w:tcPr>
          <w:p>
            <w:pPr>
              <w:ind w:left="20"/>
              <w:spacing w:after="0"/>
              <w:rPr>
                <w:sz w:val="20"/>
                <w:szCs w:val="20"/>
                <w:color w:val="auto"/>
              </w:rPr>
            </w:pPr>
            <w:r>
              <w:rPr>
                <w:rFonts w:ascii="Arial" w:cs="Arial" w:eastAsia="Arial" w:hAnsi="Arial"/>
                <w:sz w:val="15"/>
                <w:szCs w:val="15"/>
                <w:color w:val="auto"/>
              </w:rPr>
              <w:t>Diluted</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0.64</w:t>
            </w:r>
          </w:p>
        </w:tc>
        <w:tc>
          <w:tcPr>
            <w:tcW w:w="80" w:type="dxa"/>
            <w:vAlign w:val="bottom"/>
          </w:tcPr>
          <w:p>
            <w:pPr>
              <w:spacing w:after="0"/>
              <w:rPr>
                <w:sz w:val="17"/>
                <w:szCs w:val="17"/>
                <w:color w:val="auto"/>
              </w:rPr>
            </w:pPr>
          </w:p>
        </w:tc>
        <w:tc>
          <w:tcPr>
            <w:tcW w:w="42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0.05</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Earnings per share attributable to WillScot Mobile Mini common shareholders:</w:t>
            </w:r>
          </w:p>
        </w:tc>
        <w:tc>
          <w:tcPr>
            <w:tcW w:w="40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20" w:type="dxa"/>
            <w:vAlign w:val="bottom"/>
          </w:tcPr>
          <w:p>
            <w:pPr>
              <w:ind w:left="20"/>
              <w:spacing w:after="0"/>
              <w:rPr>
                <w:sz w:val="20"/>
                <w:szCs w:val="20"/>
                <w:color w:val="auto"/>
              </w:rPr>
            </w:pPr>
            <w:r>
              <w:rPr>
                <w:rFonts w:ascii="Arial" w:cs="Arial" w:eastAsia="Arial" w:hAnsi="Arial"/>
                <w:sz w:val="15"/>
                <w:szCs w:val="15"/>
                <w:color w:val="auto"/>
              </w:rPr>
              <w:t>Basic</w:t>
            </w: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1.02</w:t>
            </w:r>
          </w:p>
        </w:tc>
        <w:tc>
          <w:tcPr>
            <w:tcW w:w="80" w:type="dxa"/>
            <w:vAlign w:val="bottom"/>
          </w:tcPr>
          <w:p>
            <w:pPr>
              <w:spacing w:after="0"/>
              <w:rPr>
                <w:sz w:val="17"/>
                <w:szCs w:val="17"/>
                <w:color w:val="auto"/>
              </w:rPr>
            </w:pPr>
          </w:p>
        </w:tc>
        <w:tc>
          <w:tcPr>
            <w:tcW w:w="42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0.23</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Diluted</w:t>
            </w: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1.00</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0.22</w:t>
            </w:r>
          </w:p>
        </w:tc>
        <w:tc>
          <w:tcPr>
            <w:tcW w:w="0" w:type="dxa"/>
            <w:vAlign w:val="bottom"/>
          </w:tcPr>
          <w:p>
            <w:pPr>
              <w:spacing w:after="0"/>
              <w:rPr>
                <w:sz w:val="1"/>
                <w:szCs w:val="1"/>
                <w:color w:val="auto"/>
              </w:rPr>
            </w:pPr>
          </w:p>
        </w:tc>
      </w:tr>
      <w:tr>
        <w:trPr>
          <w:trHeight w:val="205"/>
        </w:trPr>
        <w:tc>
          <w:tcPr>
            <w:tcW w:w="7520" w:type="dxa"/>
            <w:vAlign w:val="bottom"/>
          </w:tcPr>
          <w:p>
            <w:pPr>
              <w:ind w:left="20"/>
              <w:spacing w:after="0"/>
              <w:rPr>
                <w:sz w:val="20"/>
                <w:szCs w:val="20"/>
                <w:color w:val="auto"/>
              </w:rPr>
            </w:pPr>
            <w:r>
              <w:rPr>
                <w:rFonts w:ascii="Arial" w:cs="Arial" w:eastAsia="Arial" w:hAnsi="Arial"/>
                <w:sz w:val="15"/>
                <w:szCs w:val="15"/>
                <w:color w:val="auto"/>
              </w:rPr>
              <w:t>Weighted average shares:</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Basic</w:t>
            </w:r>
          </w:p>
        </w:tc>
        <w:tc>
          <w:tcPr>
            <w:tcW w:w="400" w:type="dxa"/>
            <w:vAlign w:val="bottom"/>
            <w:shd w:val="clear" w:color="auto" w:fill="DBDBDB"/>
          </w:tcPr>
          <w:p>
            <w:pPr>
              <w:spacing w:after="0"/>
              <w:rPr>
                <w:sz w:val="18"/>
                <w:szCs w:val="18"/>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206,092,169</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223,490,912</w:t>
            </w:r>
          </w:p>
        </w:tc>
        <w:tc>
          <w:tcPr>
            <w:tcW w:w="0" w:type="dxa"/>
            <w:vAlign w:val="bottom"/>
          </w:tcPr>
          <w:p>
            <w:pPr>
              <w:spacing w:after="0"/>
              <w:rPr>
                <w:sz w:val="1"/>
                <w:szCs w:val="1"/>
                <w:color w:val="auto"/>
              </w:rPr>
            </w:pPr>
          </w:p>
        </w:tc>
      </w:tr>
      <w:tr>
        <w:trPr>
          <w:trHeight w:val="205"/>
        </w:trPr>
        <w:tc>
          <w:tcPr>
            <w:tcW w:w="7520" w:type="dxa"/>
            <w:vAlign w:val="bottom"/>
          </w:tcPr>
          <w:p>
            <w:pPr>
              <w:ind w:left="20"/>
              <w:spacing w:after="0"/>
              <w:rPr>
                <w:sz w:val="20"/>
                <w:szCs w:val="20"/>
                <w:color w:val="auto"/>
              </w:rPr>
            </w:pPr>
            <w:r>
              <w:rPr>
                <w:rFonts w:ascii="Arial" w:cs="Arial" w:eastAsia="Arial" w:hAnsi="Arial"/>
                <w:sz w:val="15"/>
                <w:szCs w:val="15"/>
                <w:color w:val="auto"/>
              </w:rPr>
              <w:t>Diluted</w:t>
            </w:r>
          </w:p>
        </w:tc>
        <w:tc>
          <w:tcPr>
            <w:tcW w:w="40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209,663,985</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228,955,504</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61595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586" w:right="339" w:bottom="1440" w:gutter="0" w:footer="0" w:header="0"/>
        </w:sectPr>
      </w:pPr>
    </w:p>
    <w:bookmarkStart w:id="4" w:name="page5"/>
    <w:bookmarkEnd w:id="4"/>
    <w:p>
      <w:pPr>
        <w:jc w:val="center"/>
        <w:ind w:right="20"/>
        <w:spacing w:after="0" w:line="289" w:lineRule="auto"/>
        <w:rPr>
          <w:sz w:val="20"/>
          <w:szCs w:val="20"/>
          <w:color w:val="auto"/>
        </w:rPr>
      </w:pPr>
      <w:r>
        <w:rPr>
          <w:rFonts w:ascii="Arial" w:cs="Arial" w:eastAsia="Arial" w:hAnsi="Arial"/>
          <w:sz w:val="22"/>
          <w:szCs w:val="22"/>
          <w:color w:val="1D2758"/>
        </w:rPr>
        <w:t>WillScot Mobile Mini Holdings Corp. Condensed Consolidated Statements of Comprehensive Income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98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2880" w:type="dxa"/>
            <w:vAlign w:val="bottom"/>
            <w:gridSpan w:val="4"/>
            <w:shd w:val="clear" w:color="auto" w:fill="1D2758"/>
          </w:tcPr>
          <w:p>
            <w:pPr>
              <w:jc w:val="right"/>
              <w:ind w:right="783"/>
              <w:spacing w:after="0"/>
              <w:rPr>
                <w:sz w:val="20"/>
                <w:szCs w:val="20"/>
                <w:color w:val="auto"/>
              </w:rPr>
            </w:pPr>
            <w:r>
              <w:rPr>
                <w:rFonts w:ascii="Arial" w:cs="Arial" w:eastAsia="Arial" w:hAnsi="Arial"/>
                <w:sz w:val="15"/>
                <w:szCs w:val="15"/>
                <w:b w:val="1"/>
                <w:bCs w:val="1"/>
                <w:color w:val="FFFFFF"/>
              </w:rPr>
              <w:t>Three Months Ended</w:t>
            </w:r>
          </w:p>
        </w:tc>
        <w:tc>
          <w:tcPr>
            <w:tcW w:w="0" w:type="dxa"/>
            <w:vAlign w:val="bottom"/>
          </w:tcPr>
          <w:p>
            <w:pPr>
              <w:spacing w:after="0"/>
              <w:rPr>
                <w:sz w:val="1"/>
                <w:szCs w:val="1"/>
                <w:color w:val="auto"/>
              </w:rPr>
            </w:pPr>
          </w:p>
        </w:tc>
      </w:tr>
      <w:tr>
        <w:trPr>
          <w:trHeight w:val="206"/>
        </w:trPr>
        <w:tc>
          <w:tcPr>
            <w:tcW w:w="79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17"/>
                <w:szCs w:val="17"/>
                <w:color w:val="auto"/>
              </w:rPr>
            </w:pPr>
          </w:p>
        </w:tc>
        <w:tc>
          <w:tcPr>
            <w:tcW w:w="1760" w:type="dxa"/>
            <w:vAlign w:val="bottom"/>
            <w:gridSpan w:val="3"/>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March 31,</w:t>
            </w:r>
          </w:p>
        </w:tc>
        <w:tc>
          <w:tcPr>
            <w:tcW w:w="11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80" w:type="dxa"/>
            <w:vAlign w:val="bottom"/>
            <w:vMerge w:val="continue"/>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200" w:type="dxa"/>
            <w:vAlign w:val="bottom"/>
            <w:vMerge w:val="restart"/>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8"/>
                <w:szCs w:val="18"/>
                <w:color w:val="auto"/>
              </w:rPr>
            </w:pPr>
          </w:p>
        </w:tc>
        <w:tc>
          <w:tcPr>
            <w:tcW w:w="460" w:type="dxa"/>
            <w:vAlign w:val="bottom"/>
            <w:shd w:val="clear" w:color="auto" w:fill="1D2758"/>
          </w:tcPr>
          <w:p>
            <w:pPr>
              <w:spacing w:after="0"/>
              <w:rPr>
                <w:sz w:val="18"/>
                <w:szCs w:val="18"/>
                <w:color w:val="auto"/>
              </w:rPr>
            </w:pPr>
          </w:p>
        </w:tc>
        <w:tc>
          <w:tcPr>
            <w:tcW w:w="1120" w:type="dxa"/>
            <w:vAlign w:val="bottom"/>
            <w:vMerge w:val="restart"/>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2022</w:t>
            </w:r>
          </w:p>
        </w:tc>
        <w:tc>
          <w:tcPr>
            <w:tcW w:w="0" w:type="dxa"/>
            <w:vAlign w:val="bottom"/>
          </w:tcPr>
          <w:p>
            <w:pPr>
              <w:spacing w:after="0"/>
              <w:rPr>
                <w:sz w:val="1"/>
                <w:szCs w:val="1"/>
                <w:color w:val="auto"/>
              </w:rPr>
            </w:pPr>
          </w:p>
        </w:tc>
      </w:tr>
      <w:tr>
        <w:trPr>
          <w:trHeight w:val="161"/>
        </w:trPr>
        <w:tc>
          <w:tcPr>
            <w:tcW w:w="798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1200" w:type="dxa"/>
            <w:vAlign w:val="bottom"/>
            <w:vMerge w:val="continue"/>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460" w:type="dxa"/>
            <w:vAlign w:val="bottom"/>
            <w:shd w:val="clear" w:color="auto" w:fill="1D2758"/>
          </w:tcPr>
          <w:p>
            <w:pPr>
              <w:spacing w:after="0"/>
              <w:rPr>
                <w:sz w:val="14"/>
                <w:szCs w:val="14"/>
                <w:color w:val="auto"/>
              </w:rPr>
            </w:pPr>
          </w:p>
        </w:tc>
        <w:tc>
          <w:tcPr>
            <w:tcW w:w="112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210,884</w:t>
            </w:r>
          </w:p>
        </w:tc>
        <w:tc>
          <w:tcPr>
            <w:tcW w:w="100" w:type="dxa"/>
            <w:vAlign w:val="bottom"/>
            <w:shd w:val="clear" w:color="auto" w:fill="DBDBDB"/>
          </w:tcPr>
          <w:p>
            <w:pPr>
              <w:spacing w:after="0"/>
              <w:rPr>
                <w:sz w:val="17"/>
                <w:szCs w:val="17"/>
                <w:color w:val="auto"/>
              </w:rPr>
            </w:pPr>
          </w:p>
        </w:tc>
        <w:tc>
          <w:tcPr>
            <w:tcW w:w="46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51,171</w:t>
            </w:r>
          </w:p>
        </w:tc>
        <w:tc>
          <w:tcPr>
            <w:tcW w:w="0" w:type="dxa"/>
            <w:vAlign w:val="bottom"/>
          </w:tcPr>
          <w:p>
            <w:pPr>
              <w:spacing w:after="0"/>
              <w:rPr>
                <w:sz w:val="1"/>
                <w:szCs w:val="1"/>
                <w:color w:val="auto"/>
              </w:rPr>
            </w:pPr>
          </w:p>
        </w:tc>
      </w:tr>
      <w:tr>
        <w:trPr>
          <w:trHeight w:val="205"/>
        </w:trPr>
        <w:tc>
          <w:tcPr>
            <w:tcW w:w="7980" w:type="dxa"/>
            <w:vAlign w:val="bottom"/>
          </w:tcPr>
          <w:p>
            <w:pPr>
              <w:ind w:left="20"/>
              <w:spacing w:after="0"/>
              <w:rPr>
                <w:sz w:val="20"/>
                <w:szCs w:val="20"/>
                <w:color w:val="auto"/>
              </w:rPr>
            </w:pPr>
            <w:r>
              <w:rPr>
                <w:rFonts w:ascii="Arial" w:cs="Arial" w:eastAsia="Arial" w:hAnsi="Arial"/>
                <w:sz w:val="15"/>
                <w:szCs w:val="15"/>
                <w:color w:val="auto"/>
              </w:rPr>
              <w:t>Other comprehensive income (loss):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98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Foreign currency translation adjustment, net of income tax expense of $0 for each of the three months ended</w:t>
            </w:r>
          </w:p>
        </w:tc>
        <w:tc>
          <w:tcPr>
            <w:tcW w:w="360" w:type="dxa"/>
            <w:vAlign w:val="bottom"/>
            <w:shd w:val="clear" w:color="auto" w:fill="DBDBDB"/>
          </w:tcPr>
          <w:p>
            <w:pPr>
              <w:spacing w:after="0"/>
              <w:rPr>
                <w:sz w:val="13"/>
                <w:szCs w:val="13"/>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7,934</w:t>
            </w:r>
          </w:p>
        </w:tc>
        <w:tc>
          <w:tcPr>
            <w:tcW w:w="100" w:type="dxa"/>
            <w:vAlign w:val="bottom"/>
            <w:shd w:val="clear" w:color="auto" w:fill="DBDBDB"/>
          </w:tcPr>
          <w:p>
            <w:pPr>
              <w:spacing w:after="0"/>
              <w:rPr>
                <w:sz w:val="13"/>
                <w:szCs w:val="13"/>
                <w:color w:val="auto"/>
              </w:rPr>
            </w:pPr>
          </w:p>
        </w:tc>
        <w:tc>
          <w:tcPr>
            <w:tcW w:w="460" w:type="dxa"/>
            <w:vAlign w:val="bottom"/>
            <w:shd w:val="clear" w:color="auto" w:fill="DBDBDB"/>
          </w:tcPr>
          <w:p>
            <w:pPr>
              <w:spacing w:after="0"/>
              <w:rPr>
                <w:sz w:val="13"/>
                <w:szCs w:val="13"/>
                <w:color w:val="auto"/>
              </w:rPr>
            </w:pP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(4,074)</w:t>
            </w:r>
          </w:p>
        </w:tc>
        <w:tc>
          <w:tcPr>
            <w:tcW w:w="0" w:type="dxa"/>
            <w:vAlign w:val="bottom"/>
          </w:tcPr>
          <w:p>
            <w:pPr>
              <w:spacing w:after="0"/>
              <w:rPr>
                <w:sz w:val="1"/>
                <w:szCs w:val="1"/>
                <w:color w:val="auto"/>
              </w:rPr>
            </w:pPr>
          </w:p>
        </w:tc>
      </w:tr>
      <w:tr>
        <w:trPr>
          <w:trHeight w:val="206"/>
        </w:trPr>
        <w:tc>
          <w:tcPr>
            <w:tcW w:w="79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March 31, 2023 and 2022</w:t>
            </w:r>
          </w:p>
        </w:tc>
        <w:tc>
          <w:tcPr>
            <w:tcW w:w="360" w:type="dxa"/>
            <w:vAlign w:val="bottom"/>
            <w:shd w:val="clear" w:color="auto" w:fill="DBDBDB"/>
          </w:tcPr>
          <w:p>
            <w:pPr>
              <w:spacing w:after="0"/>
              <w:rPr>
                <w:sz w:val="17"/>
                <w:szCs w:val="17"/>
                <w:color w:val="auto"/>
              </w:rPr>
            </w:pPr>
          </w:p>
        </w:tc>
        <w:tc>
          <w:tcPr>
            <w:tcW w:w="120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12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7980" w:type="dxa"/>
            <w:vAlign w:val="bottom"/>
          </w:tcPr>
          <w:p>
            <w:pPr>
              <w:ind w:left="220"/>
              <w:spacing w:after="0" w:line="156" w:lineRule="exact"/>
              <w:rPr>
                <w:sz w:val="20"/>
                <w:szCs w:val="20"/>
                <w:color w:val="auto"/>
              </w:rPr>
            </w:pPr>
            <w:r>
              <w:rPr>
                <w:rFonts w:ascii="Arial" w:cs="Arial" w:eastAsia="Arial" w:hAnsi="Arial"/>
                <w:sz w:val="15"/>
                <w:szCs w:val="15"/>
                <w:color w:val="auto"/>
              </w:rPr>
              <w:t>Net (loss) gain on derivatives, net of income tax (benefit) expense of $(222) and $777 for the three months</w:t>
            </w:r>
          </w:p>
        </w:tc>
        <w:tc>
          <w:tcPr>
            <w:tcW w:w="36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(667)</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vMerge w:val="restart"/>
          </w:tcPr>
          <w:p>
            <w:pPr>
              <w:jc w:val="right"/>
              <w:ind w:right="3"/>
              <w:spacing w:after="0"/>
              <w:rPr>
                <w:sz w:val="20"/>
                <w:szCs w:val="20"/>
                <w:color w:val="auto"/>
              </w:rPr>
            </w:pPr>
            <w:r>
              <w:rPr>
                <w:rFonts w:ascii="Arial" w:cs="Arial" w:eastAsia="Arial" w:hAnsi="Arial"/>
                <w:sz w:val="15"/>
                <w:szCs w:val="15"/>
                <w:color w:val="auto"/>
              </w:rPr>
              <w:t>2,321</w:t>
            </w:r>
          </w:p>
        </w:tc>
        <w:tc>
          <w:tcPr>
            <w:tcW w:w="0" w:type="dxa"/>
            <w:vAlign w:val="bottom"/>
          </w:tcPr>
          <w:p>
            <w:pPr>
              <w:spacing w:after="0"/>
              <w:rPr>
                <w:sz w:val="1"/>
                <w:szCs w:val="1"/>
                <w:color w:val="auto"/>
              </w:rPr>
            </w:pPr>
          </w:p>
        </w:tc>
      </w:tr>
      <w:tr>
        <w:trPr>
          <w:trHeight w:val="205"/>
        </w:trPr>
        <w:tc>
          <w:tcPr>
            <w:tcW w:w="79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ended March 31, 2023 and 2022, respectively</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98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other comprehensive income (loss)</w:t>
            </w:r>
          </w:p>
        </w:tc>
        <w:tc>
          <w:tcPr>
            <w:tcW w:w="36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7,267</w:t>
            </w:r>
          </w:p>
        </w:tc>
        <w:tc>
          <w:tcPr>
            <w:tcW w:w="100" w:type="dxa"/>
            <w:vAlign w:val="bottom"/>
            <w:shd w:val="clear" w:color="auto" w:fill="DBDBDB"/>
          </w:tcPr>
          <w:p>
            <w:pPr>
              <w:spacing w:after="0"/>
              <w:rPr>
                <w:sz w:val="17"/>
                <w:szCs w:val="17"/>
                <w:color w:val="auto"/>
              </w:rPr>
            </w:pPr>
          </w:p>
        </w:tc>
        <w:tc>
          <w:tcPr>
            <w:tcW w:w="46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(1,753)</w:t>
            </w:r>
          </w:p>
        </w:tc>
        <w:tc>
          <w:tcPr>
            <w:tcW w:w="0" w:type="dxa"/>
            <w:vAlign w:val="bottom"/>
          </w:tcPr>
          <w:p>
            <w:pPr>
              <w:spacing w:after="0"/>
              <w:rPr>
                <w:sz w:val="1"/>
                <w:szCs w:val="1"/>
                <w:color w:val="auto"/>
              </w:rPr>
            </w:pPr>
          </w:p>
        </w:tc>
      </w:tr>
      <w:tr>
        <w:trPr>
          <w:trHeight w:val="200"/>
        </w:trPr>
        <w:tc>
          <w:tcPr>
            <w:tcW w:w="7980" w:type="dxa"/>
            <w:vAlign w:val="bottom"/>
          </w:tcPr>
          <w:p>
            <w:pPr>
              <w:ind w:left="20"/>
              <w:spacing w:after="0"/>
              <w:rPr>
                <w:sz w:val="20"/>
                <w:szCs w:val="20"/>
                <w:color w:val="auto"/>
              </w:rPr>
            </w:pPr>
            <w:r>
              <w:rPr>
                <w:rFonts w:ascii="Arial" w:cs="Arial" w:eastAsia="Arial" w:hAnsi="Arial"/>
                <w:sz w:val="15"/>
                <w:szCs w:val="15"/>
                <w:color w:val="auto"/>
              </w:rPr>
              <w:t>Total comprehensive income</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218,151</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49,418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61595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050" w:right="339" w:bottom="1440" w:gutter="0" w:footer="0" w:header="0"/>
        </w:sectPr>
      </w:pPr>
    </w:p>
    <w:bookmarkStart w:id="5" w:name="page6"/>
    <w:bookmarkEnd w:id="5"/>
    <w:p>
      <w:pPr>
        <w:jc w:val="center"/>
        <w:spacing w:after="0" w:line="289" w:lineRule="auto"/>
        <w:rPr>
          <w:sz w:val="20"/>
          <w:szCs w:val="20"/>
          <w:color w:val="auto"/>
        </w:rPr>
      </w:pPr>
      <w:r>
        <w:rPr>
          <w:rFonts w:ascii="Arial" w:cs="Arial" w:eastAsia="Arial" w:hAnsi="Arial"/>
          <w:sz w:val="22"/>
          <w:szCs w:val="22"/>
          <w:color w:val="1D2758"/>
        </w:rPr>
        <w:t>WillScot Mobile Mini Holdings Corp. Condensed Consolidated Statements of Changes in Equity (Unaudited)</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FFFFFF"/>
        </w:rPr>
        <w:t>Three Months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30415" cy="130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13081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260" w:type="dxa"/>
            <w:vAlign w:val="bottom"/>
            <w:shd w:val="clear" w:color="auto" w:fill="1D2758"/>
          </w:tcPr>
          <w:p>
            <w:pPr>
              <w:spacing w:after="0"/>
              <w:rPr>
                <w:sz w:val="24"/>
                <w:szCs w:val="24"/>
                <w:color w:val="auto"/>
              </w:rPr>
            </w:pPr>
          </w:p>
        </w:tc>
        <w:tc>
          <w:tcPr>
            <w:tcW w:w="60" w:type="dxa"/>
            <w:vAlign w:val="bottom"/>
            <w:shd w:val="clear" w:color="auto" w:fill="1D2758"/>
          </w:tcPr>
          <w:p>
            <w:pPr>
              <w:spacing w:after="0"/>
              <w:rPr>
                <w:sz w:val="24"/>
                <w:szCs w:val="24"/>
                <w:color w:val="auto"/>
              </w:rPr>
            </w:pPr>
          </w:p>
        </w:tc>
        <w:tc>
          <w:tcPr>
            <w:tcW w:w="1080" w:type="dxa"/>
            <w:vAlign w:val="bottom"/>
            <w:shd w:val="clear" w:color="auto" w:fill="1D2758"/>
          </w:tcPr>
          <w:p>
            <w:pPr>
              <w:spacing w:after="0"/>
              <w:rPr>
                <w:sz w:val="24"/>
                <w:szCs w:val="24"/>
                <w:color w:val="auto"/>
              </w:rPr>
            </w:pPr>
          </w:p>
        </w:tc>
        <w:tc>
          <w:tcPr>
            <w:tcW w:w="200" w:type="dxa"/>
            <w:vAlign w:val="bottom"/>
            <w:shd w:val="clear" w:color="auto" w:fill="1D2758"/>
          </w:tcPr>
          <w:p>
            <w:pPr>
              <w:spacing w:after="0"/>
              <w:rPr>
                <w:sz w:val="24"/>
                <w:szCs w:val="24"/>
                <w:color w:val="auto"/>
              </w:rPr>
            </w:pPr>
          </w:p>
        </w:tc>
        <w:tc>
          <w:tcPr>
            <w:tcW w:w="940" w:type="dxa"/>
            <w:vAlign w:val="bottom"/>
            <w:shd w:val="clear" w:color="auto" w:fill="1D2758"/>
          </w:tcPr>
          <w:p>
            <w:pPr>
              <w:spacing w:after="0"/>
              <w:rPr>
                <w:sz w:val="24"/>
                <w:szCs w:val="24"/>
                <w:color w:val="auto"/>
              </w:rPr>
            </w:pPr>
          </w:p>
        </w:tc>
        <w:tc>
          <w:tcPr>
            <w:tcW w:w="160" w:type="dxa"/>
            <w:vAlign w:val="bottom"/>
            <w:shd w:val="clear" w:color="auto" w:fill="1D2758"/>
          </w:tcPr>
          <w:p>
            <w:pPr>
              <w:spacing w:after="0"/>
              <w:rPr>
                <w:sz w:val="24"/>
                <w:szCs w:val="24"/>
                <w:color w:val="auto"/>
              </w:rPr>
            </w:pPr>
          </w:p>
        </w:tc>
        <w:tc>
          <w:tcPr>
            <w:tcW w:w="1000" w:type="dxa"/>
            <w:vAlign w:val="bottom"/>
            <w:shd w:val="clear" w:color="auto" w:fill="1D2758"/>
          </w:tcPr>
          <w:p>
            <w:pPr>
              <w:spacing w:after="0"/>
              <w:rPr>
                <w:sz w:val="24"/>
                <w:szCs w:val="24"/>
                <w:color w:val="auto"/>
              </w:rPr>
            </w:pPr>
          </w:p>
        </w:tc>
        <w:tc>
          <w:tcPr>
            <w:tcW w:w="120" w:type="dxa"/>
            <w:vAlign w:val="bottom"/>
            <w:shd w:val="clear" w:color="auto" w:fill="1D2758"/>
          </w:tcPr>
          <w:p>
            <w:pPr>
              <w:spacing w:after="0"/>
              <w:rPr>
                <w:sz w:val="24"/>
                <w:szCs w:val="24"/>
                <w:color w:val="auto"/>
              </w:rPr>
            </w:pPr>
          </w:p>
        </w:tc>
        <w:tc>
          <w:tcPr>
            <w:tcW w:w="112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Accumulated</w:t>
            </w:r>
          </w:p>
        </w:tc>
        <w:tc>
          <w:tcPr>
            <w:tcW w:w="220" w:type="dxa"/>
            <w:vAlign w:val="bottom"/>
            <w:shd w:val="clear" w:color="auto" w:fill="1D2758"/>
          </w:tcPr>
          <w:p>
            <w:pPr>
              <w:spacing w:after="0"/>
              <w:rPr>
                <w:sz w:val="24"/>
                <w:szCs w:val="24"/>
                <w:color w:val="auto"/>
              </w:rPr>
            </w:pPr>
          </w:p>
        </w:tc>
        <w:tc>
          <w:tcPr>
            <w:tcW w:w="920" w:type="dxa"/>
            <w:vAlign w:val="bottom"/>
            <w:shd w:val="clear" w:color="auto" w:fill="1D2758"/>
          </w:tcPr>
          <w:p>
            <w:pPr>
              <w:spacing w:after="0"/>
              <w:rPr>
                <w:sz w:val="24"/>
                <w:szCs w:val="24"/>
                <w:color w:val="auto"/>
              </w:rPr>
            </w:pPr>
          </w:p>
        </w:tc>
        <w:tc>
          <w:tcPr>
            <w:tcW w:w="220" w:type="dxa"/>
            <w:vAlign w:val="bottom"/>
            <w:shd w:val="clear" w:color="auto" w:fill="1D2758"/>
          </w:tcPr>
          <w:p>
            <w:pPr>
              <w:spacing w:after="0"/>
              <w:rPr>
                <w:sz w:val="24"/>
                <w:szCs w:val="24"/>
                <w:color w:val="auto"/>
              </w:rPr>
            </w:pPr>
          </w:p>
        </w:tc>
        <w:tc>
          <w:tcPr>
            <w:tcW w:w="920" w:type="dxa"/>
            <w:vAlign w:val="bottom"/>
            <w:vMerge w:val="restart"/>
            <w:shd w:val="clear" w:color="auto" w:fill="1D2758"/>
          </w:tcPr>
          <w:p>
            <w:pPr>
              <w:jc w:val="center"/>
              <w:ind w:right="16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55"/>
        </w:trPr>
        <w:tc>
          <w:tcPr>
            <w:tcW w:w="4260" w:type="dxa"/>
            <w:vAlign w:val="bottom"/>
            <w:shd w:val="clear" w:color="auto" w:fill="1D2758"/>
          </w:tcPr>
          <w:p>
            <w:pPr>
              <w:spacing w:after="0"/>
              <w:rPr>
                <w:sz w:val="13"/>
                <w:szCs w:val="13"/>
                <w:color w:val="auto"/>
              </w:rPr>
            </w:pPr>
          </w:p>
        </w:tc>
        <w:tc>
          <w:tcPr>
            <w:tcW w:w="60" w:type="dxa"/>
            <w:vAlign w:val="bottom"/>
            <w:shd w:val="clear" w:color="auto" w:fill="1D2758"/>
          </w:tcPr>
          <w:p>
            <w:pPr>
              <w:spacing w:after="0"/>
              <w:rPr>
                <w:sz w:val="13"/>
                <w:szCs w:val="13"/>
                <w:color w:val="auto"/>
              </w:rPr>
            </w:pPr>
          </w:p>
        </w:tc>
        <w:tc>
          <w:tcPr>
            <w:tcW w:w="2220" w:type="dxa"/>
            <w:vAlign w:val="bottom"/>
            <w:gridSpan w:val="3"/>
            <w:vMerge w:val="restart"/>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Common Stock</w:t>
            </w:r>
          </w:p>
        </w:tc>
        <w:tc>
          <w:tcPr>
            <w:tcW w:w="160" w:type="dxa"/>
            <w:vAlign w:val="bottom"/>
            <w:shd w:val="clear" w:color="auto" w:fill="1D2758"/>
          </w:tcPr>
          <w:p>
            <w:pPr>
              <w:spacing w:after="0"/>
              <w:rPr>
                <w:sz w:val="13"/>
                <w:szCs w:val="13"/>
                <w:color w:val="auto"/>
              </w:rPr>
            </w:pPr>
          </w:p>
        </w:tc>
        <w:tc>
          <w:tcPr>
            <w:tcW w:w="1000" w:type="dxa"/>
            <w:vAlign w:val="bottom"/>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112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Other</w:t>
            </w:r>
          </w:p>
        </w:tc>
        <w:tc>
          <w:tcPr>
            <w:tcW w:w="220" w:type="dxa"/>
            <w:vAlign w:val="bottom"/>
            <w:shd w:val="clear" w:color="auto" w:fill="1D2758"/>
          </w:tcPr>
          <w:p>
            <w:pPr>
              <w:spacing w:after="0"/>
              <w:rPr>
                <w:sz w:val="13"/>
                <w:szCs w:val="13"/>
                <w:color w:val="auto"/>
              </w:rPr>
            </w:pPr>
          </w:p>
        </w:tc>
        <w:tc>
          <w:tcPr>
            <w:tcW w:w="920" w:type="dxa"/>
            <w:vAlign w:val="bottom"/>
            <w:shd w:val="clear" w:color="auto" w:fill="1D2758"/>
          </w:tcPr>
          <w:p>
            <w:pPr>
              <w:spacing w:after="0"/>
              <w:rPr>
                <w:sz w:val="13"/>
                <w:szCs w:val="13"/>
                <w:color w:val="auto"/>
              </w:rPr>
            </w:pPr>
          </w:p>
        </w:tc>
        <w:tc>
          <w:tcPr>
            <w:tcW w:w="220" w:type="dxa"/>
            <w:vAlign w:val="bottom"/>
            <w:shd w:val="clear" w:color="auto" w:fill="1D2758"/>
          </w:tcPr>
          <w:p>
            <w:pPr>
              <w:spacing w:after="0"/>
              <w:rPr>
                <w:sz w:val="13"/>
                <w:szCs w:val="13"/>
                <w:color w:val="auto"/>
              </w:rPr>
            </w:pPr>
          </w:p>
        </w:tc>
        <w:tc>
          <w:tcPr>
            <w:tcW w:w="92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4260" w:type="dxa"/>
            <w:vAlign w:val="bottom"/>
            <w:shd w:val="clear" w:color="auto" w:fill="1D2758"/>
          </w:tcPr>
          <w:p>
            <w:pPr>
              <w:spacing w:after="0"/>
              <w:rPr>
                <w:sz w:val="10"/>
                <w:szCs w:val="10"/>
                <w:color w:val="auto"/>
              </w:rPr>
            </w:pPr>
          </w:p>
        </w:tc>
        <w:tc>
          <w:tcPr>
            <w:tcW w:w="60" w:type="dxa"/>
            <w:vAlign w:val="bottom"/>
            <w:shd w:val="clear" w:color="auto" w:fill="1D2758"/>
          </w:tcPr>
          <w:p>
            <w:pPr>
              <w:spacing w:after="0"/>
              <w:rPr>
                <w:sz w:val="10"/>
                <w:szCs w:val="10"/>
                <w:color w:val="auto"/>
              </w:rPr>
            </w:pPr>
          </w:p>
        </w:tc>
        <w:tc>
          <w:tcPr>
            <w:tcW w:w="2220" w:type="dxa"/>
            <w:vAlign w:val="bottom"/>
            <w:gridSpan w:val="3"/>
            <w:vMerge w:val="continue"/>
            <w:shd w:val="clear" w:color="auto" w:fill="1D2758"/>
          </w:tcPr>
          <w:p>
            <w:pPr>
              <w:spacing w:after="0"/>
              <w:rPr>
                <w:sz w:val="10"/>
                <w:szCs w:val="10"/>
                <w:color w:val="auto"/>
              </w:rPr>
            </w:pPr>
          </w:p>
        </w:tc>
        <w:tc>
          <w:tcPr>
            <w:tcW w:w="160" w:type="dxa"/>
            <w:vAlign w:val="bottom"/>
            <w:shd w:val="clear" w:color="auto" w:fill="1D2758"/>
          </w:tcPr>
          <w:p>
            <w:pPr>
              <w:spacing w:after="0"/>
              <w:rPr>
                <w:sz w:val="10"/>
                <w:szCs w:val="10"/>
                <w:color w:val="auto"/>
              </w:rPr>
            </w:pPr>
          </w:p>
        </w:tc>
        <w:tc>
          <w:tcPr>
            <w:tcW w:w="1000" w:type="dxa"/>
            <w:vAlign w:val="bottom"/>
            <w:vMerge w:val="restart"/>
            <w:shd w:val="clear" w:color="auto" w:fill="1D2758"/>
          </w:tcPr>
          <w:p>
            <w:pPr>
              <w:jc w:val="right"/>
              <w:ind w:right="123"/>
              <w:spacing w:after="0" w:line="155" w:lineRule="exact"/>
              <w:rPr>
                <w:sz w:val="20"/>
                <w:szCs w:val="20"/>
                <w:color w:val="auto"/>
              </w:rPr>
            </w:pPr>
            <w:r>
              <w:rPr>
                <w:rFonts w:ascii="Arial" w:cs="Arial" w:eastAsia="Arial" w:hAnsi="Arial"/>
                <w:sz w:val="15"/>
                <w:szCs w:val="15"/>
                <w:b w:val="1"/>
                <w:bCs w:val="1"/>
                <w:color w:val="FFFFFF"/>
              </w:rPr>
              <w:t>Additional</w:t>
            </w:r>
          </w:p>
        </w:tc>
        <w:tc>
          <w:tcPr>
            <w:tcW w:w="1240" w:type="dxa"/>
            <w:vAlign w:val="bottom"/>
            <w:gridSpan w:val="2"/>
            <w:vMerge w:val="restart"/>
            <w:shd w:val="clear" w:color="auto" w:fill="1D2758"/>
          </w:tcPr>
          <w:p>
            <w:pPr>
              <w:ind w:left="20"/>
              <w:spacing w:after="0" w:line="155" w:lineRule="exact"/>
              <w:rPr>
                <w:sz w:val="20"/>
                <w:szCs w:val="20"/>
                <w:color w:val="auto"/>
              </w:rPr>
            </w:pPr>
            <w:r>
              <w:rPr>
                <w:rFonts w:ascii="Arial" w:cs="Arial" w:eastAsia="Arial" w:hAnsi="Arial"/>
                <w:sz w:val="15"/>
                <w:szCs w:val="15"/>
                <w:b w:val="1"/>
                <w:bCs w:val="1"/>
                <w:color w:val="FFFFFF"/>
              </w:rPr>
              <w:t>Comprehensive</w:t>
            </w:r>
          </w:p>
        </w:tc>
        <w:tc>
          <w:tcPr>
            <w:tcW w:w="1140" w:type="dxa"/>
            <w:vAlign w:val="bottom"/>
            <w:gridSpan w:val="2"/>
            <w:vMerge w:val="restart"/>
            <w:shd w:val="clear" w:color="auto" w:fill="1D2758"/>
          </w:tcPr>
          <w:p>
            <w:pPr>
              <w:jc w:val="right"/>
              <w:ind w:right="23"/>
              <w:spacing w:after="0" w:line="155" w:lineRule="exact"/>
              <w:rPr>
                <w:sz w:val="20"/>
                <w:szCs w:val="20"/>
                <w:color w:val="auto"/>
              </w:rPr>
            </w:pPr>
            <w:r>
              <w:rPr>
                <w:rFonts w:ascii="Arial" w:cs="Arial" w:eastAsia="Arial" w:hAnsi="Arial"/>
                <w:sz w:val="15"/>
                <w:szCs w:val="15"/>
                <w:b w:val="1"/>
                <w:bCs w:val="1"/>
                <w:color w:val="FFFFFF"/>
              </w:rPr>
              <w:t>Accumulated</w:t>
            </w:r>
          </w:p>
        </w:tc>
        <w:tc>
          <w:tcPr>
            <w:tcW w:w="1140" w:type="dxa"/>
            <w:vAlign w:val="bottom"/>
            <w:gridSpan w:val="2"/>
            <w:vMerge w:val="restart"/>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Shareholders'</w:t>
            </w:r>
          </w:p>
        </w:tc>
        <w:tc>
          <w:tcPr>
            <w:tcW w:w="0" w:type="dxa"/>
            <w:vAlign w:val="bottom"/>
          </w:tcPr>
          <w:p>
            <w:pPr>
              <w:spacing w:after="0"/>
              <w:rPr>
                <w:sz w:val="1"/>
                <w:szCs w:val="1"/>
                <w:color w:val="auto"/>
              </w:rPr>
            </w:pPr>
          </w:p>
        </w:tc>
      </w:tr>
      <w:tr>
        <w:trPr>
          <w:trHeight w:val="39"/>
        </w:trPr>
        <w:tc>
          <w:tcPr>
            <w:tcW w:w="4260" w:type="dxa"/>
            <w:vAlign w:val="bottom"/>
            <w:vMerge w:val="restart"/>
            <w:shd w:val="clear" w:color="auto" w:fill="1D2758"/>
          </w:tcPr>
          <w:p>
            <w:pPr>
              <w:spacing w:after="0"/>
              <w:rPr>
                <w:sz w:val="20"/>
                <w:szCs w:val="20"/>
                <w:color w:val="auto"/>
              </w:rPr>
            </w:pPr>
            <w:r>
              <w:rPr>
                <w:rFonts w:ascii="Arial" w:cs="Arial" w:eastAsia="Arial" w:hAnsi="Arial"/>
                <w:sz w:val="15"/>
                <w:szCs w:val="15"/>
                <w:b w:val="1"/>
                <w:bCs w:val="1"/>
                <w:i w:val="1"/>
                <w:iCs w:val="1"/>
                <w:color w:val="FFFFFF"/>
              </w:rPr>
              <w:t>(in thousands)</w:t>
            </w:r>
          </w:p>
        </w:tc>
        <w:tc>
          <w:tcPr>
            <w:tcW w:w="60" w:type="dxa"/>
            <w:vAlign w:val="bottom"/>
            <w:shd w:val="clear" w:color="auto" w:fill="1D2758"/>
          </w:tcPr>
          <w:p>
            <w:pPr>
              <w:spacing w:after="0"/>
              <w:rPr>
                <w:sz w:val="3"/>
                <w:szCs w:val="3"/>
                <w:color w:val="auto"/>
              </w:rPr>
            </w:pPr>
          </w:p>
        </w:tc>
        <w:tc>
          <w:tcPr>
            <w:tcW w:w="1080" w:type="dxa"/>
            <w:vAlign w:val="bottom"/>
            <w:vMerge w:val="restart"/>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Shares</w:t>
            </w:r>
          </w:p>
        </w:tc>
        <w:tc>
          <w:tcPr>
            <w:tcW w:w="200" w:type="dxa"/>
            <w:vAlign w:val="bottom"/>
            <w:shd w:val="clear" w:color="auto" w:fill="1D2758"/>
          </w:tcPr>
          <w:p>
            <w:pPr>
              <w:spacing w:after="0"/>
              <w:rPr>
                <w:sz w:val="3"/>
                <w:szCs w:val="3"/>
                <w:color w:val="auto"/>
              </w:rPr>
            </w:pPr>
          </w:p>
        </w:tc>
        <w:tc>
          <w:tcPr>
            <w:tcW w:w="940" w:type="dxa"/>
            <w:vAlign w:val="bottom"/>
            <w:vMerge w:val="restart"/>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Amount</w:t>
            </w:r>
          </w:p>
        </w:tc>
        <w:tc>
          <w:tcPr>
            <w:tcW w:w="160" w:type="dxa"/>
            <w:vAlign w:val="bottom"/>
            <w:shd w:val="clear" w:color="auto" w:fill="1D2758"/>
          </w:tcPr>
          <w:p>
            <w:pPr>
              <w:spacing w:after="0"/>
              <w:rPr>
                <w:sz w:val="3"/>
                <w:szCs w:val="3"/>
                <w:color w:val="auto"/>
              </w:rPr>
            </w:pPr>
          </w:p>
        </w:tc>
        <w:tc>
          <w:tcPr>
            <w:tcW w:w="1000" w:type="dxa"/>
            <w:vAlign w:val="bottom"/>
            <w:vMerge w:val="continue"/>
            <w:shd w:val="clear" w:color="auto" w:fill="1D2758"/>
          </w:tcPr>
          <w:p>
            <w:pPr>
              <w:spacing w:after="0"/>
              <w:rPr>
                <w:sz w:val="3"/>
                <w:szCs w:val="3"/>
                <w:color w:val="auto"/>
              </w:rPr>
            </w:pPr>
          </w:p>
        </w:tc>
        <w:tc>
          <w:tcPr>
            <w:tcW w:w="1240" w:type="dxa"/>
            <w:vAlign w:val="bottom"/>
            <w:gridSpan w:val="2"/>
            <w:vMerge w:val="continue"/>
            <w:shd w:val="clear" w:color="auto" w:fill="1D2758"/>
          </w:tcPr>
          <w:p>
            <w:pPr>
              <w:spacing w:after="0"/>
              <w:rPr>
                <w:sz w:val="3"/>
                <w:szCs w:val="3"/>
                <w:color w:val="auto"/>
              </w:rPr>
            </w:pPr>
          </w:p>
        </w:tc>
        <w:tc>
          <w:tcPr>
            <w:tcW w:w="1140" w:type="dxa"/>
            <w:vAlign w:val="bottom"/>
            <w:gridSpan w:val="2"/>
            <w:vMerge w:val="continue"/>
            <w:shd w:val="clear" w:color="auto" w:fill="1D2758"/>
          </w:tcPr>
          <w:p>
            <w:pPr>
              <w:spacing w:after="0"/>
              <w:rPr>
                <w:sz w:val="3"/>
                <w:szCs w:val="3"/>
                <w:color w:val="auto"/>
              </w:rPr>
            </w:pPr>
          </w:p>
        </w:tc>
        <w:tc>
          <w:tcPr>
            <w:tcW w:w="1140" w:type="dxa"/>
            <w:vAlign w:val="bottom"/>
            <w:gridSpan w:val="2"/>
            <w:vMerge w:val="continue"/>
            <w:shd w:val="clear" w:color="auto" w:fill="1D275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4260" w:type="dxa"/>
            <w:vAlign w:val="bottom"/>
            <w:vMerge w:val="continue"/>
            <w:shd w:val="clear" w:color="auto" w:fill="1D2758"/>
          </w:tcPr>
          <w:p>
            <w:pPr>
              <w:spacing w:after="0"/>
              <w:rPr>
                <w:sz w:val="17"/>
                <w:szCs w:val="17"/>
                <w:color w:val="auto"/>
              </w:rPr>
            </w:pPr>
          </w:p>
        </w:tc>
        <w:tc>
          <w:tcPr>
            <w:tcW w:w="60" w:type="dxa"/>
            <w:vAlign w:val="bottom"/>
            <w:shd w:val="clear" w:color="auto" w:fill="1D2758"/>
          </w:tcPr>
          <w:p>
            <w:pPr>
              <w:spacing w:after="0"/>
              <w:rPr>
                <w:sz w:val="17"/>
                <w:szCs w:val="17"/>
                <w:color w:val="auto"/>
              </w:rPr>
            </w:pPr>
          </w:p>
        </w:tc>
        <w:tc>
          <w:tcPr>
            <w:tcW w:w="1080" w:type="dxa"/>
            <w:vAlign w:val="bottom"/>
            <w:vMerge w:val="continue"/>
            <w:shd w:val="clear" w:color="auto" w:fill="1D2758"/>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940" w:type="dxa"/>
            <w:vAlign w:val="bottom"/>
            <w:vMerge w:val="continue"/>
            <w:shd w:val="clear" w:color="auto" w:fill="1D2758"/>
          </w:tcPr>
          <w:p>
            <w:pPr>
              <w:spacing w:after="0"/>
              <w:rPr>
                <w:sz w:val="17"/>
                <w:szCs w:val="17"/>
                <w:color w:val="auto"/>
              </w:rPr>
            </w:pPr>
          </w:p>
        </w:tc>
        <w:tc>
          <w:tcPr>
            <w:tcW w:w="1160" w:type="dxa"/>
            <w:vAlign w:val="bottom"/>
            <w:gridSpan w:val="2"/>
            <w:shd w:val="clear" w:color="auto" w:fill="1D2758"/>
          </w:tcPr>
          <w:p>
            <w:pPr>
              <w:ind w:left="40"/>
              <w:spacing w:after="0"/>
              <w:rPr>
                <w:sz w:val="20"/>
                <w:szCs w:val="20"/>
                <w:color w:val="auto"/>
              </w:rPr>
            </w:pPr>
            <w:r>
              <w:rPr>
                <w:rFonts w:ascii="Arial" w:cs="Arial" w:eastAsia="Arial" w:hAnsi="Arial"/>
                <w:sz w:val="15"/>
                <w:szCs w:val="15"/>
                <w:b w:val="1"/>
                <w:bCs w:val="1"/>
                <w:color w:val="FFFFFF"/>
              </w:rPr>
              <w:t>Paid-in-Capital</w:t>
            </w:r>
          </w:p>
        </w:tc>
        <w:tc>
          <w:tcPr>
            <w:tcW w:w="1240" w:type="dxa"/>
            <w:vAlign w:val="bottom"/>
            <w:gridSpan w:val="2"/>
            <w:shd w:val="clear" w:color="auto" w:fill="1D2758"/>
          </w:tcPr>
          <w:p>
            <w:pPr>
              <w:jc w:val="center"/>
              <w:spacing w:after="0"/>
              <w:rPr>
                <w:sz w:val="20"/>
                <w:szCs w:val="20"/>
                <w:color w:val="auto"/>
              </w:rPr>
            </w:pPr>
            <w:r>
              <w:rPr>
                <w:rFonts w:ascii="Arial" w:cs="Arial" w:eastAsia="Arial" w:hAnsi="Arial"/>
                <w:sz w:val="15"/>
                <w:szCs w:val="15"/>
                <w:b w:val="1"/>
                <w:bCs w:val="1"/>
                <w:color w:val="FFFFFF"/>
              </w:rPr>
              <w:t>Income (Loss)</w:t>
            </w:r>
          </w:p>
        </w:tc>
        <w:tc>
          <w:tcPr>
            <w:tcW w:w="220" w:type="dxa"/>
            <w:vAlign w:val="bottom"/>
            <w:shd w:val="clear" w:color="auto" w:fill="1D2758"/>
          </w:tcPr>
          <w:p>
            <w:pPr>
              <w:spacing w:after="0"/>
              <w:rPr>
                <w:sz w:val="17"/>
                <w:szCs w:val="17"/>
                <w:color w:val="auto"/>
              </w:rPr>
            </w:pPr>
          </w:p>
        </w:tc>
        <w:tc>
          <w:tcPr>
            <w:tcW w:w="920" w:type="dxa"/>
            <w:vAlign w:val="bottom"/>
            <w:shd w:val="clear" w:color="auto" w:fill="1D2758"/>
          </w:tcPr>
          <w:p>
            <w:pPr>
              <w:ind w:left="100"/>
              <w:spacing w:after="0"/>
              <w:rPr>
                <w:sz w:val="20"/>
                <w:szCs w:val="20"/>
                <w:color w:val="auto"/>
              </w:rPr>
            </w:pPr>
            <w:r>
              <w:rPr>
                <w:rFonts w:ascii="Arial" w:cs="Arial" w:eastAsia="Arial" w:hAnsi="Arial"/>
                <w:sz w:val="15"/>
                <w:szCs w:val="15"/>
                <w:b w:val="1"/>
                <w:bCs w:val="1"/>
                <w:color w:val="FFFFFF"/>
              </w:rPr>
              <w:t>Deficit</w:t>
            </w:r>
          </w:p>
        </w:tc>
        <w:tc>
          <w:tcPr>
            <w:tcW w:w="220" w:type="dxa"/>
            <w:vAlign w:val="bottom"/>
            <w:shd w:val="clear" w:color="auto" w:fill="1D2758"/>
          </w:tcPr>
          <w:p>
            <w:pPr>
              <w:spacing w:after="0"/>
              <w:rPr>
                <w:sz w:val="17"/>
                <w:szCs w:val="17"/>
                <w:color w:val="auto"/>
              </w:rPr>
            </w:pPr>
          </w:p>
        </w:tc>
        <w:tc>
          <w:tcPr>
            <w:tcW w:w="920" w:type="dxa"/>
            <w:vAlign w:val="bottom"/>
            <w:shd w:val="clear" w:color="auto" w:fill="1D2758"/>
          </w:tcPr>
          <w:p>
            <w:pPr>
              <w:jc w:val="center"/>
              <w:ind w:right="163"/>
              <w:spacing w:after="0"/>
              <w:rPr>
                <w:sz w:val="20"/>
                <w:szCs w:val="20"/>
                <w:color w:val="auto"/>
              </w:rPr>
            </w:pPr>
            <w:r>
              <w:rPr>
                <w:rFonts w:ascii="Arial" w:cs="Arial" w:eastAsia="Arial" w:hAnsi="Arial"/>
                <w:sz w:val="15"/>
                <w:szCs w:val="15"/>
                <w:b w:val="1"/>
                <w:bCs w:val="1"/>
                <w:color w:val="FFFFFF"/>
              </w:rPr>
              <w:t>Equity</w:t>
            </w:r>
          </w:p>
        </w:tc>
        <w:tc>
          <w:tcPr>
            <w:tcW w:w="0" w:type="dxa"/>
            <w:vAlign w:val="bottom"/>
          </w:tcPr>
          <w:p>
            <w:pPr>
              <w:spacing w:after="0"/>
              <w:rPr>
                <w:sz w:val="1"/>
                <w:szCs w:val="1"/>
                <w:color w:val="auto"/>
              </w:rPr>
            </w:pPr>
          </w:p>
        </w:tc>
      </w:tr>
      <w:tr>
        <w:trPr>
          <w:trHeight w:val="206"/>
        </w:trPr>
        <w:tc>
          <w:tcPr>
            <w:tcW w:w="4260" w:type="dxa"/>
            <w:vAlign w:val="bottom"/>
            <w:shd w:val="clear" w:color="auto" w:fill="DBDBDB"/>
          </w:tcPr>
          <w:p>
            <w:pPr>
              <w:spacing w:after="0"/>
              <w:rPr>
                <w:sz w:val="20"/>
                <w:szCs w:val="20"/>
                <w:color w:val="auto"/>
              </w:rPr>
            </w:pPr>
            <w:r>
              <w:rPr>
                <w:rFonts w:ascii="Arial" w:cs="Arial" w:eastAsia="Arial" w:hAnsi="Arial"/>
                <w:sz w:val="15"/>
                <w:szCs w:val="15"/>
                <w:color w:val="auto"/>
              </w:rPr>
              <w:t>Balance at December 31, 2022</w:t>
            </w:r>
          </w:p>
        </w:tc>
        <w:tc>
          <w:tcPr>
            <w:tcW w:w="1140" w:type="dxa"/>
            <w:vAlign w:val="bottom"/>
            <w:gridSpan w:val="2"/>
            <w:shd w:val="clear" w:color="auto" w:fill="DBDBDB"/>
          </w:tcPr>
          <w:p>
            <w:pPr>
              <w:jc w:val="right"/>
              <w:ind w:right="3"/>
              <w:spacing w:after="0"/>
              <w:rPr>
                <w:sz w:val="20"/>
                <w:szCs w:val="20"/>
                <w:color w:val="auto"/>
              </w:rPr>
            </w:pPr>
            <w:r>
              <w:rPr>
                <w:rFonts w:ascii="Arial" w:cs="Arial" w:eastAsia="Arial" w:hAnsi="Arial"/>
                <w:sz w:val="15"/>
                <w:szCs w:val="15"/>
                <w:color w:val="auto"/>
              </w:rPr>
              <w:t>207,952</w:t>
            </w:r>
          </w:p>
        </w:tc>
        <w:tc>
          <w:tcPr>
            <w:tcW w:w="200" w:type="dxa"/>
            <w:vAlign w:val="bottom"/>
            <w:shd w:val="clear" w:color="auto" w:fill="DBDBDB"/>
          </w:tcPr>
          <w:p>
            <w:pPr>
              <w:jc w:val="center"/>
              <w:ind w:right="23"/>
              <w:spacing w:after="0"/>
              <w:rPr>
                <w:sz w:val="20"/>
                <w:szCs w:val="20"/>
                <w:color w:val="auto"/>
              </w:rPr>
            </w:pPr>
            <w:r>
              <w:rPr>
                <w:rFonts w:ascii="Arial" w:cs="Arial" w:eastAsia="Arial" w:hAnsi="Arial"/>
                <w:sz w:val="15"/>
                <w:szCs w:val="15"/>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w:t>
            </w:r>
          </w:p>
        </w:tc>
        <w:tc>
          <w:tcPr>
            <w:tcW w:w="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2,886,951</w:t>
            </w:r>
          </w:p>
        </w:tc>
        <w:tc>
          <w:tcPr>
            <w:tcW w:w="120" w:type="dxa"/>
            <w:vAlign w:val="bottom"/>
            <w:shd w:val="clear" w:color="auto" w:fill="DBDBDB"/>
          </w:tcPr>
          <w:p>
            <w:pPr>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(70,122)</w:t>
            </w:r>
          </w:p>
        </w:tc>
        <w:tc>
          <w:tcPr>
            <w:tcW w:w="22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DBDBDB"/>
          </w:tcPr>
          <w:p>
            <w:pPr>
              <w:ind w:left="100"/>
              <w:spacing w:after="0"/>
              <w:rPr>
                <w:sz w:val="20"/>
                <w:szCs w:val="20"/>
                <w:color w:val="auto"/>
              </w:rPr>
            </w:pPr>
            <w:r>
              <w:rPr>
                <w:rFonts w:ascii="Arial" w:cs="Arial" w:eastAsia="Arial" w:hAnsi="Arial"/>
                <w:sz w:val="15"/>
                <w:szCs w:val="15"/>
                <w:color w:val="auto"/>
              </w:rPr>
              <w:t>(1,251,550)</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1,565,300</w:t>
            </w:r>
          </w:p>
        </w:tc>
        <w:tc>
          <w:tcPr>
            <w:tcW w:w="0" w:type="dxa"/>
            <w:vAlign w:val="bottom"/>
          </w:tcPr>
          <w:p>
            <w:pPr>
              <w:spacing w:after="0"/>
              <w:rPr>
                <w:sz w:val="1"/>
                <w:szCs w:val="1"/>
                <w:color w:val="auto"/>
              </w:rPr>
            </w:pPr>
          </w:p>
        </w:tc>
      </w:tr>
      <w:tr>
        <w:trPr>
          <w:trHeight w:val="205"/>
        </w:trPr>
        <w:tc>
          <w:tcPr>
            <w:tcW w:w="426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6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210,884</w:t>
            </w:r>
          </w:p>
        </w:tc>
        <w:tc>
          <w:tcPr>
            <w:tcW w:w="22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210,884</w:t>
            </w:r>
          </w:p>
        </w:tc>
        <w:tc>
          <w:tcPr>
            <w:tcW w:w="0" w:type="dxa"/>
            <w:vAlign w:val="bottom"/>
          </w:tcPr>
          <w:p>
            <w:pPr>
              <w:spacing w:after="0"/>
              <w:rPr>
                <w:sz w:val="1"/>
                <w:szCs w:val="1"/>
                <w:color w:val="auto"/>
              </w:rPr>
            </w:pPr>
          </w:p>
        </w:tc>
      </w:tr>
      <w:tr>
        <w:trPr>
          <w:trHeight w:val="207"/>
        </w:trPr>
        <w:tc>
          <w:tcPr>
            <w:tcW w:w="42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income</w:t>
            </w:r>
          </w:p>
        </w:tc>
        <w:tc>
          <w:tcPr>
            <w:tcW w:w="6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7,267</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7,267</w:t>
            </w:r>
          </w:p>
        </w:tc>
        <w:tc>
          <w:tcPr>
            <w:tcW w:w="0" w:type="dxa"/>
            <w:vAlign w:val="bottom"/>
          </w:tcPr>
          <w:p>
            <w:pPr>
              <w:spacing w:after="0"/>
              <w:rPr>
                <w:sz w:val="1"/>
                <w:szCs w:val="1"/>
                <w:color w:val="auto"/>
              </w:rPr>
            </w:pPr>
          </w:p>
        </w:tc>
      </w:tr>
      <w:tr>
        <w:trPr>
          <w:trHeight w:val="155"/>
        </w:trPr>
        <w:tc>
          <w:tcPr>
            <w:tcW w:w="4260" w:type="dxa"/>
            <w:vAlign w:val="bottom"/>
          </w:tcPr>
          <w:p>
            <w:pPr>
              <w:ind w:left="220"/>
              <w:spacing w:after="0" w:line="156" w:lineRule="exact"/>
              <w:rPr>
                <w:sz w:val="20"/>
                <w:szCs w:val="20"/>
                <w:color w:val="auto"/>
              </w:rPr>
            </w:pPr>
            <w:r>
              <w:rPr>
                <w:rFonts w:ascii="Arial" w:cs="Arial" w:eastAsia="Arial" w:hAnsi="Arial"/>
                <w:sz w:val="15"/>
                <w:szCs w:val="15"/>
                <w:color w:val="auto"/>
              </w:rPr>
              <w:t>Withholding taxes on net share settlement of stock-based</w:t>
            </w:r>
          </w:p>
        </w:tc>
        <w:tc>
          <w:tcPr>
            <w:tcW w:w="60" w:type="dxa"/>
            <w:vAlign w:val="bottom"/>
          </w:tcPr>
          <w:p>
            <w:pPr>
              <w:spacing w:after="0"/>
              <w:rPr>
                <w:sz w:val="13"/>
                <w:szCs w:val="13"/>
                <w:color w:val="auto"/>
              </w:rPr>
            </w:pPr>
          </w:p>
        </w:tc>
        <w:tc>
          <w:tcPr>
            <w:tcW w:w="10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(10,058)</w:t>
            </w:r>
          </w:p>
        </w:tc>
        <w:tc>
          <w:tcPr>
            <w:tcW w:w="120" w:type="dxa"/>
            <w:vAlign w:val="bottom"/>
          </w:tcPr>
          <w:p>
            <w:pPr>
              <w:spacing w:after="0"/>
              <w:rPr>
                <w:sz w:val="13"/>
                <w:szCs w:val="13"/>
                <w:color w:val="auto"/>
              </w:rPr>
            </w:pPr>
          </w:p>
        </w:tc>
        <w:tc>
          <w:tcPr>
            <w:tcW w:w="112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(10,058)</w:t>
            </w:r>
          </w:p>
        </w:tc>
        <w:tc>
          <w:tcPr>
            <w:tcW w:w="0" w:type="dxa"/>
            <w:vAlign w:val="bottom"/>
          </w:tcPr>
          <w:p>
            <w:pPr>
              <w:spacing w:after="0"/>
              <w:rPr>
                <w:sz w:val="1"/>
                <w:szCs w:val="1"/>
                <w:color w:val="auto"/>
              </w:rPr>
            </w:pPr>
          </w:p>
        </w:tc>
      </w:tr>
      <w:tr>
        <w:trPr>
          <w:trHeight w:val="205"/>
        </w:trPr>
        <w:tc>
          <w:tcPr>
            <w:tcW w:w="4260" w:type="dxa"/>
            <w:vAlign w:val="bottom"/>
          </w:tcPr>
          <w:p>
            <w:pPr>
              <w:ind w:left="220"/>
              <w:spacing w:after="0"/>
              <w:rPr>
                <w:sz w:val="20"/>
                <w:szCs w:val="20"/>
                <w:color w:val="auto"/>
              </w:rPr>
            </w:pPr>
            <w:r>
              <w:rPr>
                <w:rFonts w:ascii="Arial" w:cs="Arial" w:eastAsia="Arial" w:hAnsi="Arial"/>
                <w:sz w:val="15"/>
                <w:szCs w:val="15"/>
                <w:color w:val="auto"/>
              </w:rPr>
              <w:t>compensation</w:t>
            </w:r>
          </w:p>
        </w:tc>
        <w:tc>
          <w:tcPr>
            <w:tcW w:w="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26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Stock-based compensation and issuance of Common</w:t>
            </w:r>
          </w:p>
        </w:tc>
        <w:tc>
          <w:tcPr>
            <w:tcW w:w="1140" w:type="dxa"/>
            <w:vAlign w:val="bottom"/>
            <w:gridSpan w:val="2"/>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355</w:t>
            </w:r>
          </w:p>
        </w:tc>
        <w:tc>
          <w:tcPr>
            <w:tcW w:w="200" w:type="dxa"/>
            <w:vAlign w:val="bottom"/>
            <w:shd w:val="clear" w:color="auto" w:fill="DBDBDB"/>
          </w:tcPr>
          <w:p>
            <w:pPr>
              <w:spacing w:after="0"/>
              <w:rPr>
                <w:sz w:val="13"/>
                <w:szCs w:val="13"/>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8,150</w:t>
            </w:r>
          </w:p>
        </w:tc>
        <w:tc>
          <w:tcPr>
            <w:tcW w:w="120" w:type="dxa"/>
            <w:vAlign w:val="bottom"/>
            <w:shd w:val="clear" w:color="auto" w:fill="DBDBDB"/>
          </w:tcPr>
          <w:p>
            <w:pPr>
              <w:spacing w:after="0"/>
              <w:rPr>
                <w:sz w:val="13"/>
                <w:szCs w:val="13"/>
                <w:color w:val="auto"/>
              </w:rPr>
            </w:pPr>
          </w:p>
        </w:tc>
        <w:tc>
          <w:tcPr>
            <w:tcW w:w="112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2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2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8,150</w:t>
            </w:r>
          </w:p>
        </w:tc>
        <w:tc>
          <w:tcPr>
            <w:tcW w:w="0" w:type="dxa"/>
            <w:vAlign w:val="bottom"/>
          </w:tcPr>
          <w:p>
            <w:pPr>
              <w:spacing w:after="0"/>
              <w:rPr>
                <w:sz w:val="1"/>
                <w:szCs w:val="1"/>
                <w:color w:val="auto"/>
              </w:rPr>
            </w:pPr>
          </w:p>
        </w:tc>
      </w:tr>
      <w:tr>
        <w:trPr>
          <w:trHeight w:val="206"/>
        </w:trPr>
        <w:tc>
          <w:tcPr>
            <w:tcW w:w="42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from vesting</w:t>
            </w:r>
          </w:p>
        </w:tc>
        <w:tc>
          <w:tcPr>
            <w:tcW w:w="1140" w:type="dxa"/>
            <w:vAlign w:val="bottom"/>
            <w:gridSpan w:val="2"/>
            <w:vMerge w:val="continue"/>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940" w:type="dxa"/>
            <w:vAlign w:val="bottom"/>
            <w:vMerge w:val="continue"/>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0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60" w:type="dxa"/>
            <w:vAlign w:val="bottom"/>
          </w:tcPr>
          <w:p>
            <w:pPr>
              <w:ind w:left="220"/>
              <w:spacing w:after="0"/>
              <w:rPr>
                <w:sz w:val="20"/>
                <w:szCs w:val="20"/>
                <w:color w:val="auto"/>
              </w:rPr>
            </w:pPr>
            <w:r>
              <w:rPr>
                <w:rFonts w:ascii="Arial" w:cs="Arial" w:eastAsia="Arial" w:hAnsi="Arial"/>
                <w:sz w:val="15"/>
                <w:szCs w:val="15"/>
                <w:color w:val="auto"/>
              </w:rPr>
              <w:t>Repurchase and cancellation of Common Stock</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(4,589)</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(217,687)</w:t>
            </w:r>
          </w:p>
        </w:tc>
        <w:tc>
          <w:tcPr>
            <w:tcW w:w="1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(217,687)</w:t>
            </w:r>
          </w:p>
        </w:tc>
        <w:tc>
          <w:tcPr>
            <w:tcW w:w="0" w:type="dxa"/>
            <w:vAlign w:val="bottom"/>
          </w:tcPr>
          <w:p>
            <w:pPr>
              <w:spacing w:after="0"/>
              <w:rPr>
                <w:sz w:val="1"/>
                <w:szCs w:val="1"/>
                <w:color w:val="auto"/>
              </w:rPr>
            </w:pPr>
          </w:p>
        </w:tc>
      </w:tr>
      <w:tr>
        <w:trPr>
          <w:trHeight w:val="207"/>
        </w:trPr>
        <w:tc>
          <w:tcPr>
            <w:tcW w:w="42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Issuance of Common Stock from the exercise of options</w:t>
            </w:r>
          </w:p>
        </w:tc>
        <w:tc>
          <w:tcPr>
            <w:tcW w:w="1140" w:type="dxa"/>
            <w:vAlign w:val="bottom"/>
            <w:tcBorders>
              <w:bottom w:val="single" w:sz="8" w:color="auto"/>
            </w:tcBorders>
            <w:gridSpan w:val="2"/>
            <w:shd w:val="clear" w:color="auto" w:fill="DBDBDB"/>
          </w:tcPr>
          <w:p>
            <w:pPr>
              <w:jc w:val="right"/>
              <w:ind w:right="3"/>
              <w:spacing w:after="0"/>
              <w:rPr>
                <w:sz w:val="20"/>
                <w:szCs w:val="20"/>
                <w:color w:val="auto"/>
              </w:rPr>
            </w:pPr>
            <w:r>
              <w:rPr>
                <w:rFonts w:ascii="Arial" w:cs="Arial" w:eastAsia="Arial" w:hAnsi="Arial"/>
                <w:sz w:val="15"/>
                <w:szCs w:val="15"/>
                <w:color w:val="auto"/>
              </w:rPr>
              <w:t>6</w:t>
            </w:r>
          </w:p>
        </w:tc>
        <w:tc>
          <w:tcPr>
            <w:tcW w:w="200" w:type="dxa"/>
            <w:vAlign w:val="bottom"/>
            <w:tcBorders>
              <w:bottom w:val="single" w:sz="8" w:color="auto"/>
            </w:tcBorders>
            <w:shd w:val="clear" w:color="auto" w:fill="DBDBDB"/>
          </w:tcPr>
          <w:p>
            <w:pPr>
              <w:spacing w:after="0"/>
              <w:rPr>
                <w:sz w:val="18"/>
                <w:szCs w:val="18"/>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68</w:t>
            </w:r>
          </w:p>
        </w:tc>
        <w:tc>
          <w:tcPr>
            <w:tcW w:w="1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98"/>
        </w:trPr>
        <w:tc>
          <w:tcPr>
            <w:tcW w:w="4260" w:type="dxa"/>
            <w:vAlign w:val="bottom"/>
          </w:tcPr>
          <w:p>
            <w:pPr>
              <w:spacing w:after="0"/>
              <w:rPr>
                <w:sz w:val="20"/>
                <w:szCs w:val="20"/>
                <w:color w:val="auto"/>
              </w:rPr>
            </w:pPr>
            <w:r>
              <w:rPr>
                <w:rFonts w:ascii="Arial" w:cs="Arial" w:eastAsia="Arial" w:hAnsi="Arial"/>
                <w:sz w:val="15"/>
                <w:szCs w:val="15"/>
                <w:color w:val="auto"/>
              </w:rPr>
              <w:t>Balance at March 31, 2023</w:t>
            </w:r>
          </w:p>
        </w:tc>
        <w:tc>
          <w:tcPr>
            <w:tcW w:w="11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color w:val="auto"/>
              </w:rPr>
              <w:t>203,723</w:t>
            </w:r>
          </w:p>
        </w:tc>
        <w:tc>
          <w:tcPr>
            <w:tcW w:w="20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2,667,424</w:t>
            </w:r>
          </w:p>
        </w:tc>
        <w:tc>
          <w:tcPr>
            <w:tcW w:w="1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(62,855)</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(1,040,666)</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1,563,924</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gridSpan w:val="3"/>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gridSpan w:val="3"/>
          </w:tcPr>
          <w:p>
            <w:pPr>
              <w:spacing w:after="0"/>
              <w:rPr>
                <w:sz w:val="24"/>
                <w:szCs w:val="24"/>
                <w:color w:val="auto"/>
              </w:rPr>
            </w:pPr>
          </w:p>
        </w:tc>
        <w:tc>
          <w:tcPr>
            <w:tcW w:w="11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260" w:type="dxa"/>
            <w:vAlign w:val="bottom"/>
            <w:shd w:val="clear" w:color="auto" w:fill="1D2758"/>
          </w:tcPr>
          <w:p>
            <w:pPr>
              <w:spacing w:after="0"/>
              <w:rPr>
                <w:sz w:val="17"/>
                <w:szCs w:val="17"/>
                <w:color w:val="auto"/>
              </w:rPr>
            </w:pPr>
          </w:p>
        </w:tc>
        <w:tc>
          <w:tcPr>
            <w:tcW w:w="3440" w:type="dxa"/>
            <w:vAlign w:val="bottom"/>
            <w:gridSpan w:val="6"/>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Three Months Ended March 31, 2022</w:t>
            </w:r>
          </w:p>
        </w:tc>
        <w:tc>
          <w:tcPr>
            <w:tcW w:w="120" w:type="dxa"/>
            <w:vAlign w:val="bottom"/>
            <w:shd w:val="clear" w:color="auto" w:fill="1D2758"/>
          </w:tcPr>
          <w:p>
            <w:pPr>
              <w:spacing w:after="0"/>
              <w:rPr>
                <w:sz w:val="17"/>
                <w:szCs w:val="17"/>
                <w:color w:val="auto"/>
              </w:rPr>
            </w:pPr>
          </w:p>
        </w:tc>
        <w:tc>
          <w:tcPr>
            <w:tcW w:w="112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92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9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4260" w:type="dxa"/>
            <w:vAlign w:val="bottom"/>
            <w:shd w:val="clear" w:color="auto" w:fill="1D2758"/>
          </w:tcPr>
          <w:p>
            <w:pPr>
              <w:spacing w:after="0"/>
              <w:rPr>
                <w:sz w:val="24"/>
                <w:szCs w:val="24"/>
                <w:color w:val="auto"/>
              </w:rPr>
            </w:pPr>
          </w:p>
        </w:tc>
        <w:tc>
          <w:tcPr>
            <w:tcW w:w="60" w:type="dxa"/>
            <w:vAlign w:val="bottom"/>
            <w:shd w:val="clear" w:color="auto" w:fill="1D2758"/>
          </w:tcPr>
          <w:p>
            <w:pPr>
              <w:spacing w:after="0"/>
              <w:rPr>
                <w:sz w:val="24"/>
                <w:szCs w:val="24"/>
                <w:color w:val="auto"/>
              </w:rPr>
            </w:pPr>
          </w:p>
        </w:tc>
        <w:tc>
          <w:tcPr>
            <w:tcW w:w="1080" w:type="dxa"/>
            <w:vAlign w:val="bottom"/>
            <w:shd w:val="clear" w:color="auto" w:fill="1D2758"/>
          </w:tcPr>
          <w:p>
            <w:pPr>
              <w:spacing w:after="0"/>
              <w:rPr>
                <w:sz w:val="24"/>
                <w:szCs w:val="24"/>
                <w:color w:val="auto"/>
              </w:rPr>
            </w:pPr>
          </w:p>
        </w:tc>
        <w:tc>
          <w:tcPr>
            <w:tcW w:w="200" w:type="dxa"/>
            <w:vAlign w:val="bottom"/>
            <w:shd w:val="clear" w:color="auto" w:fill="1D2758"/>
          </w:tcPr>
          <w:p>
            <w:pPr>
              <w:spacing w:after="0"/>
              <w:rPr>
                <w:sz w:val="24"/>
                <w:szCs w:val="24"/>
                <w:color w:val="auto"/>
              </w:rPr>
            </w:pPr>
          </w:p>
        </w:tc>
        <w:tc>
          <w:tcPr>
            <w:tcW w:w="940" w:type="dxa"/>
            <w:vAlign w:val="bottom"/>
            <w:shd w:val="clear" w:color="auto" w:fill="1D2758"/>
          </w:tcPr>
          <w:p>
            <w:pPr>
              <w:spacing w:after="0"/>
              <w:rPr>
                <w:sz w:val="24"/>
                <w:szCs w:val="24"/>
                <w:color w:val="auto"/>
              </w:rPr>
            </w:pPr>
          </w:p>
        </w:tc>
        <w:tc>
          <w:tcPr>
            <w:tcW w:w="160" w:type="dxa"/>
            <w:vAlign w:val="bottom"/>
            <w:shd w:val="clear" w:color="auto" w:fill="1D2758"/>
          </w:tcPr>
          <w:p>
            <w:pPr>
              <w:spacing w:after="0"/>
              <w:rPr>
                <w:sz w:val="24"/>
                <w:szCs w:val="24"/>
                <w:color w:val="auto"/>
              </w:rPr>
            </w:pPr>
          </w:p>
        </w:tc>
        <w:tc>
          <w:tcPr>
            <w:tcW w:w="1000" w:type="dxa"/>
            <w:vAlign w:val="bottom"/>
            <w:shd w:val="clear" w:color="auto" w:fill="1D2758"/>
          </w:tcPr>
          <w:p>
            <w:pPr>
              <w:spacing w:after="0"/>
              <w:rPr>
                <w:sz w:val="24"/>
                <w:szCs w:val="24"/>
                <w:color w:val="auto"/>
              </w:rPr>
            </w:pPr>
          </w:p>
        </w:tc>
        <w:tc>
          <w:tcPr>
            <w:tcW w:w="120" w:type="dxa"/>
            <w:vAlign w:val="bottom"/>
            <w:shd w:val="clear" w:color="auto" w:fill="1D2758"/>
          </w:tcPr>
          <w:p>
            <w:pPr>
              <w:spacing w:after="0"/>
              <w:rPr>
                <w:sz w:val="24"/>
                <w:szCs w:val="24"/>
                <w:color w:val="auto"/>
              </w:rPr>
            </w:pPr>
          </w:p>
        </w:tc>
        <w:tc>
          <w:tcPr>
            <w:tcW w:w="1120" w:type="dxa"/>
            <w:vAlign w:val="bottom"/>
            <w:shd w:val="clear" w:color="auto" w:fill="1D2758"/>
          </w:tcPr>
          <w:p>
            <w:pPr>
              <w:jc w:val="center"/>
              <w:ind w:right="23"/>
              <w:spacing w:after="0"/>
              <w:rPr>
                <w:sz w:val="20"/>
                <w:szCs w:val="20"/>
                <w:color w:val="auto"/>
              </w:rPr>
            </w:pPr>
            <w:r>
              <w:rPr>
                <w:rFonts w:ascii="Arial" w:cs="Arial" w:eastAsia="Arial" w:hAnsi="Arial"/>
                <w:sz w:val="15"/>
                <w:szCs w:val="15"/>
                <w:b w:val="1"/>
                <w:bCs w:val="1"/>
                <w:color w:val="FFFFFF"/>
              </w:rPr>
              <w:t>Accumulated</w:t>
            </w:r>
          </w:p>
        </w:tc>
        <w:tc>
          <w:tcPr>
            <w:tcW w:w="220" w:type="dxa"/>
            <w:vAlign w:val="bottom"/>
            <w:shd w:val="clear" w:color="auto" w:fill="1D2758"/>
          </w:tcPr>
          <w:p>
            <w:pPr>
              <w:spacing w:after="0"/>
              <w:rPr>
                <w:sz w:val="24"/>
                <w:szCs w:val="24"/>
                <w:color w:val="auto"/>
              </w:rPr>
            </w:pPr>
          </w:p>
        </w:tc>
        <w:tc>
          <w:tcPr>
            <w:tcW w:w="920" w:type="dxa"/>
            <w:vAlign w:val="bottom"/>
            <w:shd w:val="clear" w:color="auto" w:fill="1D2758"/>
          </w:tcPr>
          <w:p>
            <w:pPr>
              <w:spacing w:after="0"/>
              <w:rPr>
                <w:sz w:val="24"/>
                <w:szCs w:val="24"/>
                <w:color w:val="auto"/>
              </w:rPr>
            </w:pPr>
          </w:p>
        </w:tc>
        <w:tc>
          <w:tcPr>
            <w:tcW w:w="220" w:type="dxa"/>
            <w:vAlign w:val="bottom"/>
            <w:shd w:val="clear" w:color="auto" w:fill="1D2758"/>
          </w:tcPr>
          <w:p>
            <w:pPr>
              <w:spacing w:after="0"/>
              <w:rPr>
                <w:sz w:val="24"/>
                <w:szCs w:val="24"/>
                <w:color w:val="auto"/>
              </w:rPr>
            </w:pPr>
          </w:p>
        </w:tc>
        <w:tc>
          <w:tcPr>
            <w:tcW w:w="920" w:type="dxa"/>
            <w:vAlign w:val="bottom"/>
            <w:vMerge w:val="restart"/>
            <w:shd w:val="clear" w:color="auto" w:fill="1D2758"/>
          </w:tcPr>
          <w:p>
            <w:pPr>
              <w:jc w:val="center"/>
              <w:ind w:right="12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55"/>
        </w:trPr>
        <w:tc>
          <w:tcPr>
            <w:tcW w:w="4260" w:type="dxa"/>
            <w:vAlign w:val="bottom"/>
            <w:shd w:val="clear" w:color="auto" w:fill="1D2758"/>
          </w:tcPr>
          <w:p>
            <w:pPr>
              <w:spacing w:after="0"/>
              <w:rPr>
                <w:sz w:val="13"/>
                <w:szCs w:val="13"/>
                <w:color w:val="auto"/>
              </w:rPr>
            </w:pPr>
          </w:p>
        </w:tc>
        <w:tc>
          <w:tcPr>
            <w:tcW w:w="60" w:type="dxa"/>
            <w:vAlign w:val="bottom"/>
            <w:shd w:val="clear" w:color="auto" w:fill="1D2758"/>
          </w:tcPr>
          <w:p>
            <w:pPr>
              <w:spacing w:after="0"/>
              <w:rPr>
                <w:sz w:val="13"/>
                <w:szCs w:val="13"/>
                <w:color w:val="auto"/>
              </w:rPr>
            </w:pPr>
          </w:p>
        </w:tc>
        <w:tc>
          <w:tcPr>
            <w:tcW w:w="2220" w:type="dxa"/>
            <w:vAlign w:val="bottom"/>
            <w:gridSpan w:val="3"/>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Common Stock</w:t>
            </w:r>
          </w:p>
        </w:tc>
        <w:tc>
          <w:tcPr>
            <w:tcW w:w="160" w:type="dxa"/>
            <w:vAlign w:val="bottom"/>
            <w:shd w:val="clear" w:color="auto" w:fill="1D2758"/>
          </w:tcPr>
          <w:p>
            <w:pPr>
              <w:spacing w:after="0"/>
              <w:rPr>
                <w:sz w:val="13"/>
                <w:szCs w:val="13"/>
                <w:color w:val="auto"/>
              </w:rPr>
            </w:pPr>
          </w:p>
        </w:tc>
        <w:tc>
          <w:tcPr>
            <w:tcW w:w="1000" w:type="dxa"/>
            <w:vAlign w:val="bottom"/>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1120" w:type="dxa"/>
            <w:vAlign w:val="bottom"/>
            <w:shd w:val="clear" w:color="auto" w:fill="1D2758"/>
          </w:tcPr>
          <w:p>
            <w:pPr>
              <w:jc w:val="center"/>
              <w:ind w:right="23"/>
              <w:spacing w:after="0" w:line="155" w:lineRule="exact"/>
              <w:rPr>
                <w:sz w:val="20"/>
                <w:szCs w:val="20"/>
                <w:color w:val="auto"/>
              </w:rPr>
            </w:pPr>
            <w:r>
              <w:rPr>
                <w:rFonts w:ascii="Arial" w:cs="Arial" w:eastAsia="Arial" w:hAnsi="Arial"/>
                <w:sz w:val="15"/>
                <w:szCs w:val="15"/>
                <w:b w:val="1"/>
                <w:bCs w:val="1"/>
                <w:color w:val="FFFFFF"/>
              </w:rPr>
              <w:t>Other</w:t>
            </w:r>
          </w:p>
        </w:tc>
        <w:tc>
          <w:tcPr>
            <w:tcW w:w="220" w:type="dxa"/>
            <w:vAlign w:val="bottom"/>
            <w:shd w:val="clear" w:color="auto" w:fill="1D2758"/>
          </w:tcPr>
          <w:p>
            <w:pPr>
              <w:spacing w:after="0"/>
              <w:rPr>
                <w:sz w:val="13"/>
                <w:szCs w:val="13"/>
                <w:color w:val="auto"/>
              </w:rPr>
            </w:pPr>
          </w:p>
        </w:tc>
        <w:tc>
          <w:tcPr>
            <w:tcW w:w="920" w:type="dxa"/>
            <w:vAlign w:val="bottom"/>
            <w:shd w:val="clear" w:color="auto" w:fill="1D2758"/>
          </w:tcPr>
          <w:p>
            <w:pPr>
              <w:spacing w:after="0"/>
              <w:rPr>
                <w:sz w:val="13"/>
                <w:szCs w:val="13"/>
                <w:color w:val="auto"/>
              </w:rPr>
            </w:pPr>
          </w:p>
        </w:tc>
        <w:tc>
          <w:tcPr>
            <w:tcW w:w="220" w:type="dxa"/>
            <w:vAlign w:val="bottom"/>
            <w:shd w:val="clear" w:color="auto" w:fill="1D2758"/>
          </w:tcPr>
          <w:p>
            <w:pPr>
              <w:spacing w:after="0"/>
              <w:rPr>
                <w:sz w:val="13"/>
                <w:szCs w:val="13"/>
                <w:color w:val="auto"/>
              </w:rPr>
            </w:pPr>
          </w:p>
        </w:tc>
        <w:tc>
          <w:tcPr>
            <w:tcW w:w="92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4260" w:type="dxa"/>
            <w:vAlign w:val="bottom"/>
            <w:shd w:val="clear" w:color="auto" w:fill="1D2758"/>
          </w:tcPr>
          <w:p>
            <w:pPr>
              <w:spacing w:after="0"/>
              <w:rPr>
                <w:sz w:val="10"/>
                <w:szCs w:val="10"/>
                <w:color w:val="auto"/>
              </w:rPr>
            </w:pPr>
          </w:p>
        </w:tc>
        <w:tc>
          <w:tcPr>
            <w:tcW w:w="60" w:type="dxa"/>
            <w:vAlign w:val="bottom"/>
            <w:shd w:val="clear" w:color="auto" w:fill="1D2758"/>
          </w:tcPr>
          <w:p>
            <w:pPr>
              <w:spacing w:after="0"/>
              <w:rPr>
                <w:sz w:val="10"/>
                <w:szCs w:val="10"/>
                <w:color w:val="auto"/>
              </w:rPr>
            </w:pPr>
          </w:p>
        </w:tc>
        <w:tc>
          <w:tcPr>
            <w:tcW w:w="2220" w:type="dxa"/>
            <w:vAlign w:val="bottom"/>
            <w:gridSpan w:val="3"/>
            <w:vMerge w:val="continue"/>
            <w:shd w:val="clear" w:color="auto" w:fill="1D2758"/>
          </w:tcPr>
          <w:p>
            <w:pPr>
              <w:spacing w:after="0"/>
              <w:rPr>
                <w:sz w:val="10"/>
                <w:szCs w:val="10"/>
                <w:color w:val="auto"/>
              </w:rPr>
            </w:pPr>
          </w:p>
        </w:tc>
        <w:tc>
          <w:tcPr>
            <w:tcW w:w="160" w:type="dxa"/>
            <w:vAlign w:val="bottom"/>
            <w:shd w:val="clear" w:color="auto" w:fill="1D2758"/>
          </w:tcPr>
          <w:p>
            <w:pPr>
              <w:spacing w:after="0"/>
              <w:rPr>
                <w:sz w:val="10"/>
                <w:szCs w:val="10"/>
                <w:color w:val="auto"/>
              </w:rPr>
            </w:pPr>
          </w:p>
        </w:tc>
        <w:tc>
          <w:tcPr>
            <w:tcW w:w="1000" w:type="dxa"/>
            <w:vAlign w:val="bottom"/>
            <w:vMerge w:val="restart"/>
            <w:shd w:val="clear" w:color="auto" w:fill="1D2758"/>
          </w:tcPr>
          <w:p>
            <w:pPr>
              <w:jc w:val="right"/>
              <w:ind w:right="103"/>
              <w:spacing w:after="0" w:line="155" w:lineRule="exact"/>
              <w:rPr>
                <w:sz w:val="20"/>
                <w:szCs w:val="20"/>
                <w:color w:val="auto"/>
              </w:rPr>
            </w:pPr>
            <w:r>
              <w:rPr>
                <w:rFonts w:ascii="Arial" w:cs="Arial" w:eastAsia="Arial" w:hAnsi="Arial"/>
                <w:sz w:val="15"/>
                <w:szCs w:val="15"/>
                <w:b w:val="1"/>
                <w:bCs w:val="1"/>
                <w:color w:val="FFFFFF"/>
              </w:rPr>
              <w:t>Additional</w:t>
            </w:r>
          </w:p>
        </w:tc>
        <w:tc>
          <w:tcPr>
            <w:tcW w:w="1240" w:type="dxa"/>
            <w:vAlign w:val="bottom"/>
            <w:gridSpan w:val="2"/>
            <w:vMerge w:val="restart"/>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Comprehensive</w:t>
            </w:r>
          </w:p>
        </w:tc>
        <w:tc>
          <w:tcPr>
            <w:tcW w:w="1140" w:type="dxa"/>
            <w:vAlign w:val="bottom"/>
            <w:gridSpan w:val="2"/>
            <w:vMerge w:val="restart"/>
            <w:shd w:val="clear" w:color="auto" w:fill="1D2758"/>
          </w:tcPr>
          <w:p>
            <w:pPr>
              <w:jc w:val="right"/>
              <w:ind w:right="3"/>
              <w:spacing w:after="0" w:line="155" w:lineRule="exact"/>
              <w:rPr>
                <w:sz w:val="20"/>
                <w:szCs w:val="20"/>
                <w:color w:val="auto"/>
              </w:rPr>
            </w:pPr>
            <w:r>
              <w:rPr>
                <w:rFonts w:ascii="Arial" w:cs="Arial" w:eastAsia="Arial" w:hAnsi="Arial"/>
                <w:sz w:val="15"/>
                <w:szCs w:val="15"/>
                <w:b w:val="1"/>
                <w:bCs w:val="1"/>
                <w:color w:val="FFFFFF"/>
              </w:rPr>
              <w:t>Accumulated</w:t>
            </w:r>
          </w:p>
        </w:tc>
        <w:tc>
          <w:tcPr>
            <w:tcW w:w="1140" w:type="dxa"/>
            <w:vAlign w:val="bottom"/>
            <w:gridSpan w:val="2"/>
            <w:vMerge w:val="restart"/>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Shareholders'</w:t>
            </w:r>
          </w:p>
        </w:tc>
        <w:tc>
          <w:tcPr>
            <w:tcW w:w="0" w:type="dxa"/>
            <w:vAlign w:val="bottom"/>
          </w:tcPr>
          <w:p>
            <w:pPr>
              <w:spacing w:after="0"/>
              <w:rPr>
                <w:sz w:val="1"/>
                <w:szCs w:val="1"/>
                <w:color w:val="auto"/>
              </w:rPr>
            </w:pPr>
          </w:p>
        </w:tc>
      </w:tr>
      <w:tr>
        <w:trPr>
          <w:trHeight w:val="39"/>
        </w:trPr>
        <w:tc>
          <w:tcPr>
            <w:tcW w:w="4260" w:type="dxa"/>
            <w:vAlign w:val="bottom"/>
            <w:vMerge w:val="restart"/>
            <w:shd w:val="clear" w:color="auto" w:fill="1D2758"/>
          </w:tcPr>
          <w:p>
            <w:pPr>
              <w:spacing w:after="0"/>
              <w:rPr>
                <w:sz w:val="20"/>
                <w:szCs w:val="20"/>
                <w:color w:val="auto"/>
              </w:rPr>
            </w:pPr>
            <w:r>
              <w:rPr>
                <w:rFonts w:ascii="Arial" w:cs="Arial" w:eastAsia="Arial" w:hAnsi="Arial"/>
                <w:sz w:val="15"/>
                <w:szCs w:val="15"/>
                <w:b w:val="1"/>
                <w:bCs w:val="1"/>
                <w:i w:val="1"/>
                <w:iCs w:val="1"/>
                <w:color w:val="FFFFFF"/>
              </w:rPr>
              <w:t>(in thousands)</w:t>
            </w:r>
          </w:p>
        </w:tc>
        <w:tc>
          <w:tcPr>
            <w:tcW w:w="60" w:type="dxa"/>
            <w:vAlign w:val="bottom"/>
            <w:shd w:val="clear" w:color="auto" w:fill="1D2758"/>
          </w:tcPr>
          <w:p>
            <w:pPr>
              <w:spacing w:after="0"/>
              <w:rPr>
                <w:sz w:val="3"/>
                <w:szCs w:val="3"/>
                <w:color w:val="auto"/>
              </w:rPr>
            </w:pPr>
          </w:p>
        </w:tc>
        <w:tc>
          <w:tcPr>
            <w:tcW w:w="1080" w:type="dxa"/>
            <w:vAlign w:val="bottom"/>
            <w:vMerge w:val="restart"/>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Shares</w:t>
            </w:r>
          </w:p>
        </w:tc>
        <w:tc>
          <w:tcPr>
            <w:tcW w:w="200" w:type="dxa"/>
            <w:vAlign w:val="bottom"/>
            <w:shd w:val="clear" w:color="auto" w:fill="1D2758"/>
          </w:tcPr>
          <w:p>
            <w:pPr>
              <w:spacing w:after="0"/>
              <w:rPr>
                <w:sz w:val="3"/>
                <w:szCs w:val="3"/>
                <w:color w:val="auto"/>
              </w:rPr>
            </w:pPr>
          </w:p>
        </w:tc>
        <w:tc>
          <w:tcPr>
            <w:tcW w:w="940" w:type="dxa"/>
            <w:vAlign w:val="bottom"/>
            <w:vMerge w:val="restart"/>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Amount</w:t>
            </w:r>
          </w:p>
        </w:tc>
        <w:tc>
          <w:tcPr>
            <w:tcW w:w="160" w:type="dxa"/>
            <w:vAlign w:val="bottom"/>
            <w:shd w:val="clear" w:color="auto" w:fill="1D2758"/>
          </w:tcPr>
          <w:p>
            <w:pPr>
              <w:spacing w:after="0"/>
              <w:rPr>
                <w:sz w:val="3"/>
                <w:szCs w:val="3"/>
                <w:color w:val="auto"/>
              </w:rPr>
            </w:pPr>
          </w:p>
        </w:tc>
        <w:tc>
          <w:tcPr>
            <w:tcW w:w="1000" w:type="dxa"/>
            <w:vAlign w:val="bottom"/>
            <w:vMerge w:val="continue"/>
            <w:shd w:val="clear" w:color="auto" w:fill="1D2758"/>
          </w:tcPr>
          <w:p>
            <w:pPr>
              <w:spacing w:after="0"/>
              <w:rPr>
                <w:sz w:val="3"/>
                <w:szCs w:val="3"/>
                <w:color w:val="auto"/>
              </w:rPr>
            </w:pPr>
          </w:p>
        </w:tc>
        <w:tc>
          <w:tcPr>
            <w:tcW w:w="1240" w:type="dxa"/>
            <w:vAlign w:val="bottom"/>
            <w:gridSpan w:val="2"/>
            <w:vMerge w:val="continue"/>
            <w:shd w:val="clear" w:color="auto" w:fill="1D2758"/>
          </w:tcPr>
          <w:p>
            <w:pPr>
              <w:spacing w:after="0"/>
              <w:rPr>
                <w:sz w:val="3"/>
                <w:szCs w:val="3"/>
                <w:color w:val="auto"/>
              </w:rPr>
            </w:pPr>
          </w:p>
        </w:tc>
        <w:tc>
          <w:tcPr>
            <w:tcW w:w="1140" w:type="dxa"/>
            <w:vAlign w:val="bottom"/>
            <w:gridSpan w:val="2"/>
            <w:vMerge w:val="continue"/>
            <w:shd w:val="clear" w:color="auto" w:fill="1D2758"/>
          </w:tcPr>
          <w:p>
            <w:pPr>
              <w:spacing w:after="0"/>
              <w:rPr>
                <w:sz w:val="3"/>
                <w:szCs w:val="3"/>
                <w:color w:val="auto"/>
              </w:rPr>
            </w:pPr>
          </w:p>
        </w:tc>
        <w:tc>
          <w:tcPr>
            <w:tcW w:w="1140" w:type="dxa"/>
            <w:vAlign w:val="bottom"/>
            <w:gridSpan w:val="2"/>
            <w:vMerge w:val="continue"/>
            <w:shd w:val="clear" w:color="auto" w:fill="1D275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4260" w:type="dxa"/>
            <w:vAlign w:val="bottom"/>
            <w:vMerge w:val="continue"/>
            <w:shd w:val="clear" w:color="auto" w:fill="1D2758"/>
          </w:tcPr>
          <w:p>
            <w:pPr>
              <w:spacing w:after="0"/>
              <w:rPr>
                <w:sz w:val="17"/>
                <w:szCs w:val="17"/>
                <w:color w:val="auto"/>
              </w:rPr>
            </w:pPr>
          </w:p>
        </w:tc>
        <w:tc>
          <w:tcPr>
            <w:tcW w:w="60" w:type="dxa"/>
            <w:vAlign w:val="bottom"/>
            <w:shd w:val="clear" w:color="auto" w:fill="1D2758"/>
          </w:tcPr>
          <w:p>
            <w:pPr>
              <w:spacing w:after="0"/>
              <w:rPr>
                <w:sz w:val="17"/>
                <w:szCs w:val="17"/>
                <w:color w:val="auto"/>
              </w:rPr>
            </w:pPr>
          </w:p>
        </w:tc>
        <w:tc>
          <w:tcPr>
            <w:tcW w:w="1080" w:type="dxa"/>
            <w:vAlign w:val="bottom"/>
            <w:vMerge w:val="continue"/>
            <w:shd w:val="clear" w:color="auto" w:fill="1D2758"/>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940" w:type="dxa"/>
            <w:vAlign w:val="bottom"/>
            <w:vMerge w:val="continue"/>
            <w:shd w:val="clear" w:color="auto" w:fill="1D2758"/>
          </w:tcPr>
          <w:p>
            <w:pPr>
              <w:spacing w:after="0"/>
              <w:rPr>
                <w:sz w:val="17"/>
                <w:szCs w:val="17"/>
                <w:color w:val="auto"/>
              </w:rPr>
            </w:pPr>
          </w:p>
        </w:tc>
        <w:tc>
          <w:tcPr>
            <w:tcW w:w="116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Paid-in-Capital</w:t>
            </w:r>
          </w:p>
        </w:tc>
        <w:tc>
          <w:tcPr>
            <w:tcW w:w="1240" w:type="dxa"/>
            <w:vAlign w:val="bottom"/>
            <w:gridSpan w:val="2"/>
            <w:shd w:val="clear" w:color="auto" w:fill="1D2758"/>
          </w:tcPr>
          <w:p>
            <w:pPr>
              <w:jc w:val="center"/>
              <w:spacing w:after="0"/>
              <w:rPr>
                <w:sz w:val="20"/>
                <w:szCs w:val="20"/>
                <w:color w:val="auto"/>
              </w:rPr>
            </w:pPr>
            <w:r>
              <w:rPr>
                <w:rFonts w:ascii="Arial" w:cs="Arial" w:eastAsia="Arial" w:hAnsi="Arial"/>
                <w:sz w:val="15"/>
                <w:szCs w:val="15"/>
                <w:b w:val="1"/>
                <w:bCs w:val="1"/>
                <w:color w:val="FFFFFF"/>
              </w:rPr>
              <w:t>Income (Loss)</w:t>
            </w:r>
          </w:p>
        </w:tc>
        <w:tc>
          <w:tcPr>
            <w:tcW w:w="220" w:type="dxa"/>
            <w:vAlign w:val="bottom"/>
            <w:shd w:val="clear" w:color="auto" w:fill="1D2758"/>
          </w:tcPr>
          <w:p>
            <w:pPr>
              <w:spacing w:after="0"/>
              <w:rPr>
                <w:sz w:val="17"/>
                <w:szCs w:val="17"/>
                <w:color w:val="auto"/>
              </w:rPr>
            </w:pPr>
          </w:p>
        </w:tc>
        <w:tc>
          <w:tcPr>
            <w:tcW w:w="920" w:type="dxa"/>
            <w:vAlign w:val="bottom"/>
            <w:shd w:val="clear" w:color="auto" w:fill="1D2758"/>
          </w:tcPr>
          <w:p>
            <w:pPr>
              <w:ind w:left="120"/>
              <w:spacing w:after="0"/>
              <w:rPr>
                <w:sz w:val="20"/>
                <w:szCs w:val="20"/>
                <w:color w:val="auto"/>
              </w:rPr>
            </w:pPr>
            <w:r>
              <w:rPr>
                <w:rFonts w:ascii="Arial" w:cs="Arial" w:eastAsia="Arial" w:hAnsi="Arial"/>
                <w:sz w:val="15"/>
                <w:szCs w:val="15"/>
                <w:b w:val="1"/>
                <w:bCs w:val="1"/>
                <w:color w:val="FFFFFF"/>
              </w:rPr>
              <w:t>Deficit</w:t>
            </w:r>
          </w:p>
        </w:tc>
        <w:tc>
          <w:tcPr>
            <w:tcW w:w="220" w:type="dxa"/>
            <w:vAlign w:val="bottom"/>
            <w:shd w:val="clear" w:color="auto" w:fill="1D2758"/>
          </w:tcPr>
          <w:p>
            <w:pPr>
              <w:spacing w:after="0"/>
              <w:rPr>
                <w:sz w:val="17"/>
                <w:szCs w:val="17"/>
                <w:color w:val="auto"/>
              </w:rPr>
            </w:pPr>
          </w:p>
        </w:tc>
        <w:tc>
          <w:tcPr>
            <w:tcW w:w="920" w:type="dxa"/>
            <w:vAlign w:val="bottom"/>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Equity</w:t>
            </w:r>
          </w:p>
        </w:tc>
        <w:tc>
          <w:tcPr>
            <w:tcW w:w="0" w:type="dxa"/>
            <w:vAlign w:val="bottom"/>
          </w:tcPr>
          <w:p>
            <w:pPr>
              <w:spacing w:after="0"/>
              <w:rPr>
                <w:sz w:val="1"/>
                <w:szCs w:val="1"/>
                <w:color w:val="auto"/>
              </w:rPr>
            </w:pPr>
          </w:p>
        </w:tc>
      </w:tr>
      <w:tr>
        <w:trPr>
          <w:trHeight w:val="206"/>
        </w:trPr>
        <w:tc>
          <w:tcPr>
            <w:tcW w:w="4260" w:type="dxa"/>
            <w:vAlign w:val="bottom"/>
            <w:shd w:val="clear" w:color="auto" w:fill="DBDBDB"/>
          </w:tcPr>
          <w:p>
            <w:pPr>
              <w:spacing w:after="0"/>
              <w:rPr>
                <w:sz w:val="20"/>
                <w:szCs w:val="20"/>
                <w:color w:val="auto"/>
              </w:rPr>
            </w:pPr>
            <w:r>
              <w:rPr>
                <w:rFonts w:ascii="Arial" w:cs="Arial" w:eastAsia="Arial" w:hAnsi="Arial"/>
                <w:sz w:val="15"/>
                <w:szCs w:val="15"/>
                <w:color w:val="auto"/>
              </w:rPr>
              <w:t>Balance at December 31, 2021</w:t>
            </w:r>
          </w:p>
        </w:tc>
        <w:tc>
          <w:tcPr>
            <w:tcW w:w="11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223,940</w:t>
            </w:r>
          </w:p>
        </w:tc>
        <w:tc>
          <w:tcPr>
            <w:tcW w:w="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3,616,902</w:t>
            </w:r>
          </w:p>
        </w:tc>
        <w:tc>
          <w:tcPr>
            <w:tcW w:w="120" w:type="dxa"/>
            <w:vAlign w:val="bottom"/>
            <w:shd w:val="clear" w:color="auto" w:fill="DBDBDB"/>
          </w:tcPr>
          <w:p>
            <w:pPr>
              <w:ind w:left="20"/>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(29,071)</w:t>
            </w:r>
          </w:p>
        </w:tc>
        <w:tc>
          <w:tcPr>
            <w:tcW w:w="2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(1,591,090)</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1,996,763</w:t>
            </w:r>
          </w:p>
        </w:tc>
        <w:tc>
          <w:tcPr>
            <w:tcW w:w="0" w:type="dxa"/>
            <w:vAlign w:val="bottom"/>
          </w:tcPr>
          <w:p>
            <w:pPr>
              <w:spacing w:after="0"/>
              <w:rPr>
                <w:sz w:val="1"/>
                <w:szCs w:val="1"/>
                <w:color w:val="auto"/>
              </w:rPr>
            </w:pPr>
          </w:p>
        </w:tc>
      </w:tr>
      <w:tr>
        <w:trPr>
          <w:trHeight w:val="205"/>
        </w:trPr>
        <w:tc>
          <w:tcPr>
            <w:tcW w:w="426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51,171</w:t>
            </w:r>
          </w:p>
        </w:tc>
        <w:tc>
          <w:tcPr>
            <w:tcW w:w="22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51,171</w:t>
            </w:r>
          </w:p>
        </w:tc>
        <w:tc>
          <w:tcPr>
            <w:tcW w:w="0" w:type="dxa"/>
            <w:vAlign w:val="bottom"/>
          </w:tcPr>
          <w:p>
            <w:pPr>
              <w:spacing w:after="0"/>
              <w:rPr>
                <w:sz w:val="1"/>
                <w:szCs w:val="1"/>
                <w:color w:val="auto"/>
              </w:rPr>
            </w:pPr>
          </w:p>
        </w:tc>
      </w:tr>
      <w:tr>
        <w:trPr>
          <w:trHeight w:val="207"/>
        </w:trPr>
        <w:tc>
          <w:tcPr>
            <w:tcW w:w="42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loss</w:t>
            </w:r>
          </w:p>
        </w:tc>
        <w:tc>
          <w:tcPr>
            <w:tcW w:w="6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(1,753)</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(1,753)</w:t>
            </w:r>
          </w:p>
        </w:tc>
        <w:tc>
          <w:tcPr>
            <w:tcW w:w="0" w:type="dxa"/>
            <w:vAlign w:val="bottom"/>
          </w:tcPr>
          <w:p>
            <w:pPr>
              <w:spacing w:after="0"/>
              <w:rPr>
                <w:sz w:val="1"/>
                <w:szCs w:val="1"/>
                <w:color w:val="auto"/>
              </w:rPr>
            </w:pPr>
          </w:p>
        </w:tc>
      </w:tr>
      <w:tr>
        <w:trPr>
          <w:trHeight w:val="155"/>
        </w:trPr>
        <w:tc>
          <w:tcPr>
            <w:tcW w:w="4260" w:type="dxa"/>
            <w:vAlign w:val="bottom"/>
          </w:tcPr>
          <w:p>
            <w:pPr>
              <w:ind w:left="220"/>
              <w:spacing w:after="0" w:line="156" w:lineRule="exact"/>
              <w:rPr>
                <w:sz w:val="20"/>
                <w:szCs w:val="20"/>
                <w:color w:val="auto"/>
              </w:rPr>
            </w:pPr>
            <w:r>
              <w:rPr>
                <w:rFonts w:ascii="Arial" w:cs="Arial" w:eastAsia="Arial" w:hAnsi="Arial"/>
                <w:sz w:val="15"/>
                <w:szCs w:val="15"/>
                <w:color w:val="auto"/>
              </w:rPr>
              <w:t>Withholding taxes on net share settlement of stock-based</w:t>
            </w:r>
          </w:p>
        </w:tc>
        <w:tc>
          <w:tcPr>
            <w:tcW w:w="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(12,295)</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(12,295)</w:t>
            </w:r>
          </w:p>
        </w:tc>
        <w:tc>
          <w:tcPr>
            <w:tcW w:w="0" w:type="dxa"/>
            <w:vAlign w:val="bottom"/>
          </w:tcPr>
          <w:p>
            <w:pPr>
              <w:spacing w:after="0"/>
              <w:rPr>
                <w:sz w:val="1"/>
                <w:szCs w:val="1"/>
                <w:color w:val="auto"/>
              </w:rPr>
            </w:pPr>
          </w:p>
        </w:tc>
      </w:tr>
      <w:tr>
        <w:trPr>
          <w:trHeight w:val="205"/>
        </w:trPr>
        <w:tc>
          <w:tcPr>
            <w:tcW w:w="4260" w:type="dxa"/>
            <w:vAlign w:val="bottom"/>
          </w:tcPr>
          <w:p>
            <w:pPr>
              <w:ind w:left="220"/>
              <w:spacing w:after="0"/>
              <w:rPr>
                <w:sz w:val="20"/>
                <w:szCs w:val="20"/>
                <w:color w:val="auto"/>
              </w:rPr>
            </w:pPr>
            <w:r>
              <w:rPr>
                <w:rFonts w:ascii="Arial" w:cs="Arial" w:eastAsia="Arial" w:hAnsi="Arial"/>
                <w:sz w:val="15"/>
                <w:szCs w:val="15"/>
                <w:color w:val="auto"/>
              </w:rPr>
              <w:t>compensation</w:t>
            </w:r>
          </w:p>
        </w:tc>
        <w:tc>
          <w:tcPr>
            <w:tcW w:w="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26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Stock-based compensation and issuance of Common</w:t>
            </w:r>
          </w:p>
        </w:tc>
        <w:tc>
          <w:tcPr>
            <w:tcW w:w="1140" w:type="dxa"/>
            <w:vAlign w:val="bottom"/>
            <w:gridSpan w:val="2"/>
            <w:vMerge w:val="restart"/>
            <w:shd w:val="clear" w:color="auto" w:fill="DBDBDB"/>
          </w:tcPr>
          <w:p>
            <w:pPr>
              <w:jc w:val="right"/>
              <w:spacing w:after="0"/>
              <w:rPr>
                <w:sz w:val="20"/>
                <w:szCs w:val="20"/>
                <w:color w:val="auto"/>
              </w:rPr>
            </w:pPr>
            <w:r>
              <w:rPr>
                <w:rFonts w:ascii="Arial" w:cs="Arial" w:eastAsia="Arial" w:hAnsi="Arial"/>
                <w:sz w:val="15"/>
                <w:szCs w:val="15"/>
                <w:color w:val="auto"/>
              </w:rPr>
              <w:t>498</w:t>
            </w:r>
          </w:p>
        </w:tc>
        <w:tc>
          <w:tcPr>
            <w:tcW w:w="200" w:type="dxa"/>
            <w:vAlign w:val="bottom"/>
            <w:shd w:val="clear" w:color="auto" w:fill="DBDBDB"/>
          </w:tcPr>
          <w:p>
            <w:pPr>
              <w:spacing w:after="0"/>
              <w:rPr>
                <w:sz w:val="13"/>
                <w:szCs w:val="13"/>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6,395</w:t>
            </w:r>
          </w:p>
        </w:tc>
        <w:tc>
          <w:tcPr>
            <w:tcW w:w="120" w:type="dxa"/>
            <w:vAlign w:val="bottom"/>
            <w:shd w:val="clear" w:color="auto" w:fill="DBDBDB"/>
          </w:tcPr>
          <w:p>
            <w:pPr>
              <w:spacing w:after="0"/>
              <w:rPr>
                <w:sz w:val="13"/>
                <w:szCs w:val="13"/>
                <w:color w:val="auto"/>
              </w:rPr>
            </w:pP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2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6,395</w:t>
            </w:r>
          </w:p>
        </w:tc>
        <w:tc>
          <w:tcPr>
            <w:tcW w:w="0" w:type="dxa"/>
            <w:vAlign w:val="bottom"/>
          </w:tcPr>
          <w:p>
            <w:pPr>
              <w:spacing w:after="0"/>
              <w:rPr>
                <w:sz w:val="1"/>
                <w:szCs w:val="1"/>
                <w:color w:val="auto"/>
              </w:rPr>
            </w:pPr>
          </w:p>
        </w:tc>
      </w:tr>
      <w:tr>
        <w:trPr>
          <w:trHeight w:val="206"/>
        </w:trPr>
        <w:tc>
          <w:tcPr>
            <w:tcW w:w="42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from vesting</w:t>
            </w:r>
          </w:p>
        </w:tc>
        <w:tc>
          <w:tcPr>
            <w:tcW w:w="1140" w:type="dxa"/>
            <w:vAlign w:val="bottom"/>
            <w:gridSpan w:val="2"/>
            <w:vMerge w:val="continue"/>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940" w:type="dxa"/>
            <w:vAlign w:val="bottom"/>
            <w:vMerge w:val="continue"/>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0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2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2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260" w:type="dxa"/>
            <w:vAlign w:val="bottom"/>
          </w:tcPr>
          <w:p>
            <w:pPr>
              <w:ind w:left="220"/>
              <w:spacing w:after="0" w:line="156" w:lineRule="exact"/>
              <w:rPr>
                <w:sz w:val="20"/>
                <w:szCs w:val="20"/>
                <w:color w:val="auto"/>
              </w:rPr>
            </w:pPr>
            <w:r>
              <w:rPr>
                <w:rFonts w:ascii="Arial" w:cs="Arial" w:eastAsia="Arial" w:hAnsi="Arial"/>
                <w:sz w:val="15"/>
                <w:szCs w:val="15"/>
                <w:color w:val="auto"/>
              </w:rPr>
              <w:t>Repurchase and cancellation of Common Stock and</w:t>
            </w:r>
          </w:p>
        </w:tc>
        <w:tc>
          <w:tcPr>
            <w:tcW w:w="1340" w:type="dxa"/>
            <w:vAlign w:val="bottom"/>
            <w:gridSpan w:val="3"/>
            <w:vMerge w:val="restart"/>
          </w:tcPr>
          <w:p>
            <w:pPr>
              <w:jc w:val="right"/>
              <w:ind w:right="103"/>
              <w:spacing w:after="0"/>
              <w:rPr>
                <w:sz w:val="20"/>
                <w:szCs w:val="20"/>
                <w:color w:val="auto"/>
              </w:rPr>
            </w:pPr>
            <w:r>
              <w:rPr>
                <w:rFonts w:ascii="Arial" w:cs="Arial" w:eastAsia="Arial" w:hAnsi="Arial"/>
                <w:sz w:val="15"/>
                <w:szCs w:val="15"/>
                <w:color w:val="auto"/>
              </w:rPr>
              <w:t>(2,064)</w:t>
            </w: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(77,409)</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(77,409)</w:t>
            </w:r>
          </w:p>
        </w:tc>
        <w:tc>
          <w:tcPr>
            <w:tcW w:w="0" w:type="dxa"/>
            <w:vAlign w:val="bottom"/>
          </w:tcPr>
          <w:p>
            <w:pPr>
              <w:spacing w:after="0"/>
              <w:rPr>
                <w:sz w:val="1"/>
                <w:szCs w:val="1"/>
                <w:color w:val="auto"/>
              </w:rPr>
            </w:pPr>
          </w:p>
        </w:tc>
      </w:tr>
      <w:tr>
        <w:trPr>
          <w:trHeight w:val="205"/>
        </w:trPr>
        <w:tc>
          <w:tcPr>
            <w:tcW w:w="4260" w:type="dxa"/>
            <w:vAlign w:val="bottom"/>
          </w:tcPr>
          <w:p>
            <w:pPr>
              <w:ind w:left="220"/>
              <w:spacing w:after="0"/>
              <w:rPr>
                <w:sz w:val="20"/>
                <w:szCs w:val="20"/>
                <w:color w:val="auto"/>
              </w:rPr>
            </w:pPr>
            <w:r>
              <w:rPr>
                <w:rFonts w:ascii="Arial" w:cs="Arial" w:eastAsia="Arial" w:hAnsi="Arial"/>
                <w:sz w:val="15"/>
                <w:szCs w:val="15"/>
                <w:color w:val="auto"/>
              </w:rPr>
              <w:t>warrants</w:t>
            </w:r>
          </w:p>
        </w:tc>
        <w:tc>
          <w:tcPr>
            <w:tcW w:w="1340" w:type="dxa"/>
            <w:vAlign w:val="bottom"/>
            <w:gridSpan w:val="3"/>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26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Issuance of Common Stock from the exercise of options</w:t>
            </w:r>
          </w:p>
        </w:tc>
        <w:tc>
          <w:tcPr>
            <w:tcW w:w="60" w:type="dxa"/>
            <w:vAlign w:val="bottom"/>
            <w:vMerge w:val="restart"/>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800</w:t>
            </w:r>
          </w:p>
        </w:tc>
        <w:tc>
          <w:tcPr>
            <w:tcW w:w="200" w:type="dxa"/>
            <w:vAlign w:val="bottom"/>
            <w:shd w:val="clear" w:color="auto" w:fill="DBDBDB"/>
          </w:tcPr>
          <w:p>
            <w:pPr>
              <w:spacing w:after="0"/>
              <w:rPr>
                <w:sz w:val="13"/>
                <w:szCs w:val="13"/>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3,313</w:t>
            </w:r>
          </w:p>
        </w:tc>
        <w:tc>
          <w:tcPr>
            <w:tcW w:w="120" w:type="dxa"/>
            <w:vAlign w:val="bottom"/>
            <w:shd w:val="clear" w:color="auto" w:fill="DBDBDB"/>
          </w:tcPr>
          <w:p>
            <w:pPr>
              <w:spacing w:after="0"/>
              <w:rPr>
                <w:sz w:val="13"/>
                <w:szCs w:val="13"/>
                <w:color w:val="auto"/>
              </w:rPr>
            </w:pP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2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3,313</w:t>
            </w:r>
          </w:p>
        </w:tc>
        <w:tc>
          <w:tcPr>
            <w:tcW w:w="0" w:type="dxa"/>
            <w:vAlign w:val="bottom"/>
          </w:tcPr>
          <w:p>
            <w:pPr>
              <w:spacing w:after="0"/>
              <w:rPr>
                <w:sz w:val="1"/>
                <w:szCs w:val="1"/>
                <w:color w:val="auto"/>
              </w:rPr>
            </w:pPr>
          </w:p>
        </w:tc>
      </w:tr>
      <w:tr>
        <w:trPr>
          <w:trHeight w:val="206"/>
        </w:trPr>
        <w:tc>
          <w:tcPr>
            <w:tcW w:w="42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and warrants</w:t>
            </w:r>
          </w:p>
        </w:tc>
        <w:tc>
          <w:tcPr>
            <w:tcW w:w="60" w:type="dxa"/>
            <w:vAlign w:val="bottom"/>
            <w:vMerge w:val="continue"/>
            <w:shd w:val="clear" w:color="auto" w:fill="DBDBDB"/>
          </w:tcPr>
          <w:p>
            <w:pPr>
              <w:spacing w:after="0"/>
              <w:rPr>
                <w:sz w:val="17"/>
                <w:szCs w:val="17"/>
                <w:color w:val="auto"/>
              </w:rPr>
            </w:pPr>
          </w:p>
        </w:tc>
        <w:tc>
          <w:tcPr>
            <w:tcW w:w="1080" w:type="dxa"/>
            <w:vAlign w:val="bottom"/>
            <w:tcBorders>
              <w:bottom w:val="single" w:sz="8" w:color="auto"/>
            </w:tcBorders>
            <w:vMerge w:val="continue"/>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vMerge w:val="continue"/>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vMerge w:val="continue"/>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vMerge w:val="continue"/>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vMerge w:val="continue"/>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60" w:type="dxa"/>
            <w:vAlign w:val="bottom"/>
          </w:tcPr>
          <w:p>
            <w:pPr>
              <w:spacing w:after="0"/>
              <w:rPr>
                <w:sz w:val="20"/>
                <w:szCs w:val="20"/>
                <w:color w:val="auto"/>
              </w:rPr>
            </w:pPr>
            <w:r>
              <w:rPr>
                <w:rFonts w:ascii="Arial" w:cs="Arial" w:eastAsia="Arial" w:hAnsi="Arial"/>
                <w:sz w:val="15"/>
                <w:szCs w:val="15"/>
                <w:color w:val="auto"/>
              </w:rPr>
              <w:t>Balance at March 31, 2022</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223,174</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22</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3,536,906</w:t>
            </w: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(30,824)</w:t>
            </w: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(1,539,919)</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3"/>
              <w:spacing w:after="0"/>
              <w:rPr>
                <w:sz w:val="20"/>
                <w:szCs w:val="20"/>
                <w:color w:val="auto"/>
              </w:rPr>
            </w:pPr>
            <w:r>
              <w:rPr>
                <w:rFonts w:ascii="Arial" w:cs="Arial" w:eastAsia="Arial" w:hAnsi="Arial"/>
                <w:sz w:val="15"/>
                <w:szCs w:val="15"/>
                <w:color w:val="auto"/>
              </w:rPr>
              <w:t>1,966,185</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61595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58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color w:val="1D2758"/>
        </w:rPr>
        <w:t>WillScot Mobile Mini Holdings Corp.</w:t>
      </w:r>
    </w:p>
    <w:p>
      <w:pPr>
        <w:jc w:val="center"/>
        <w:spacing w:after="0" w:line="220" w:lineRule="auto"/>
        <w:rPr>
          <w:sz w:val="20"/>
          <w:szCs w:val="20"/>
          <w:color w:val="auto"/>
        </w:rPr>
      </w:pPr>
      <w:r>
        <w:rPr>
          <w:rFonts w:ascii="Arial" w:cs="Arial" w:eastAsia="Arial" w:hAnsi="Arial"/>
          <w:sz w:val="22"/>
          <w:szCs w:val="22"/>
          <w:color w:val="1D2758"/>
        </w:rPr>
        <w:t>Condensed Consolidated Statements of Cash Flows</w:t>
      </w:r>
    </w:p>
    <w:p>
      <w:pPr>
        <w:jc w:val="center"/>
        <w:spacing w:after="0"/>
        <w:rPr>
          <w:sz w:val="20"/>
          <w:szCs w:val="20"/>
          <w:color w:val="auto"/>
        </w:rPr>
      </w:pPr>
      <w:r>
        <w:rPr>
          <w:rFonts w:ascii="Arial" w:cs="Arial" w:eastAsia="Arial" w:hAnsi="Arial"/>
          <w:sz w:val="22"/>
          <w:szCs w:val="22"/>
          <w:color w:val="1D2758"/>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2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020" w:type="dxa"/>
            <w:vAlign w:val="bottom"/>
            <w:gridSpan w:val="4"/>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 March 31,</w:t>
            </w:r>
          </w:p>
        </w:tc>
        <w:tc>
          <w:tcPr>
            <w:tcW w:w="70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520" w:type="dxa"/>
            <w:vAlign w:val="bottom"/>
            <w:vMerge w:val="continue"/>
            <w:shd w:val="clear" w:color="auto" w:fill="1D2758"/>
          </w:tcPr>
          <w:p>
            <w:pPr>
              <w:spacing w:after="0"/>
              <w:rPr>
                <w:sz w:val="18"/>
                <w:szCs w:val="18"/>
                <w:color w:val="auto"/>
              </w:rPr>
            </w:pPr>
          </w:p>
        </w:tc>
        <w:tc>
          <w:tcPr>
            <w:tcW w:w="110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2023</w:t>
            </w:r>
          </w:p>
        </w:tc>
        <w:tc>
          <w:tcPr>
            <w:tcW w:w="72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112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70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7520" w:type="dxa"/>
            <w:vAlign w:val="bottom"/>
            <w:shd w:val="clear" w:color="auto" w:fill="1D2758"/>
          </w:tcPr>
          <w:p>
            <w:pPr>
              <w:spacing w:after="0"/>
              <w:rPr>
                <w:sz w:val="14"/>
                <w:szCs w:val="14"/>
                <w:color w:val="auto"/>
              </w:rPr>
            </w:pPr>
          </w:p>
        </w:tc>
        <w:tc>
          <w:tcPr>
            <w:tcW w:w="1100" w:type="dxa"/>
            <w:vAlign w:val="bottom"/>
            <w:vMerge w:val="continue"/>
            <w:shd w:val="clear" w:color="auto" w:fill="1D2758"/>
          </w:tcPr>
          <w:p>
            <w:pPr>
              <w:spacing w:after="0"/>
              <w:rPr>
                <w:sz w:val="14"/>
                <w:szCs w:val="14"/>
                <w:color w:val="auto"/>
              </w:rPr>
            </w:pPr>
          </w:p>
        </w:tc>
        <w:tc>
          <w:tcPr>
            <w:tcW w:w="72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120" w:type="dxa"/>
            <w:vAlign w:val="bottom"/>
            <w:vMerge w:val="continue"/>
            <w:shd w:val="clear" w:color="auto" w:fill="1D2758"/>
          </w:tcPr>
          <w:p>
            <w:pPr>
              <w:spacing w:after="0"/>
              <w:rPr>
                <w:sz w:val="14"/>
                <w:szCs w:val="14"/>
                <w:color w:val="auto"/>
              </w:rPr>
            </w:pPr>
          </w:p>
        </w:tc>
        <w:tc>
          <w:tcPr>
            <w:tcW w:w="70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activities:</w:t>
            </w:r>
          </w:p>
        </w:tc>
        <w:tc>
          <w:tcPr>
            <w:tcW w:w="110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52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100" w:type="dxa"/>
            <w:vAlign w:val="bottom"/>
          </w:tcPr>
          <w:p>
            <w:pPr>
              <w:jc w:val="right"/>
              <w:ind w:right="9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210,884</w:t>
            </w:r>
          </w:p>
        </w:tc>
        <w:tc>
          <w:tcPr>
            <w:tcW w:w="80" w:type="dxa"/>
            <w:vAlign w:val="bottom"/>
          </w:tcPr>
          <w:p>
            <w:pPr>
              <w:spacing w:after="0"/>
              <w:rPr>
                <w:sz w:val="17"/>
                <w:szCs w:val="17"/>
                <w:color w:val="auto"/>
              </w:rPr>
            </w:pPr>
          </w:p>
        </w:tc>
        <w:tc>
          <w:tcPr>
            <w:tcW w:w="1120" w:type="dxa"/>
            <w:vAlign w:val="bottom"/>
          </w:tcPr>
          <w:p>
            <w:pPr>
              <w:jc w:val="right"/>
              <w:ind w:right="923"/>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51,171</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Depreciation and amortization</w:t>
            </w:r>
          </w:p>
        </w:tc>
        <w:tc>
          <w:tcPr>
            <w:tcW w:w="110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76,329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81,820</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Provision for credit losses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8,803</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8,601</w:t>
            </w: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Gain on sale of discontinued operations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(176,078)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Gain on sale of rental equipment and other property, plant and equipment</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(3,396)</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(3,232)</w:t>
            </w: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Amortization of debt discounts and debt issuance costs</w:t>
            </w:r>
          </w:p>
        </w:tc>
        <w:tc>
          <w:tcPr>
            <w:tcW w:w="110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2,743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3,489</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Stock-based compensation expense</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8,150</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6,395</w:t>
            </w: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Deferred income tax expense</w:t>
            </w:r>
          </w:p>
        </w:tc>
        <w:tc>
          <w:tcPr>
            <w:tcW w:w="110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63,699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12,362</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Loss on foreign currency forward contract</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7,715</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Unrealized currency losses, net</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(1,042)</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Other</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1,087</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914</w:t>
            </w:r>
          </w:p>
        </w:tc>
        <w:tc>
          <w:tcPr>
            <w:tcW w:w="0" w:type="dxa"/>
            <w:vAlign w:val="bottom"/>
          </w:tcPr>
          <w:p>
            <w:pPr>
              <w:spacing w:after="0"/>
              <w:rPr>
                <w:sz w:val="1"/>
                <w:szCs w:val="1"/>
                <w:color w:val="auto"/>
              </w:rPr>
            </w:pPr>
          </w:p>
        </w:tc>
      </w:tr>
      <w:tr>
        <w:trPr>
          <w:trHeight w:val="205"/>
        </w:trPr>
        <w:tc>
          <w:tcPr>
            <w:tcW w:w="7520" w:type="dxa"/>
            <w:vAlign w:val="bottom"/>
          </w:tcPr>
          <w:p>
            <w:pPr>
              <w:ind w:left="220"/>
              <w:spacing w:after="0"/>
              <w:rPr>
                <w:sz w:val="20"/>
                <w:szCs w:val="20"/>
                <w:color w:val="auto"/>
              </w:rPr>
            </w:pPr>
            <w:r>
              <w:rPr>
                <w:rFonts w:ascii="Arial" w:cs="Arial" w:eastAsia="Arial" w:hAnsi="Arial"/>
                <w:sz w:val="15"/>
                <w:szCs w:val="15"/>
                <w:color w:val="auto"/>
              </w:rPr>
              <w:t>Changes in operating assets and liabilities:</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Trade receivables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(10,954)</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(12,064)</w:t>
            </w: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Inventories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(350)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(7,122)</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Prepaid expenses and other assets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(3,049)</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(9,042)</w:t>
            </w: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Operating lease assets and liabilities</w:t>
            </w:r>
          </w:p>
        </w:tc>
        <w:tc>
          <w:tcPr>
            <w:tcW w:w="110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345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268</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Accounts payable and other accrued expenses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(32,694)</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(1,239)</w:t>
            </w:r>
          </w:p>
        </w:tc>
        <w:tc>
          <w:tcPr>
            <w:tcW w:w="0" w:type="dxa"/>
            <w:vAlign w:val="bottom"/>
          </w:tcPr>
          <w:p>
            <w:pPr>
              <w:spacing w:after="0"/>
              <w:rPr>
                <w:sz w:val="1"/>
                <w:szCs w:val="1"/>
                <w:color w:val="auto"/>
              </w:rPr>
            </w:pPr>
          </w:p>
        </w:tc>
      </w:tr>
      <w:tr>
        <w:trPr>
          <w:trHeight w:val="205"/>
        </w:trPr>
        <w:tc>
          <w:tcPr>
            <w:tcW w:w="7520" w:type="dxa"/>
            <w:vAlign w:val="bottom"/>
            <w:tcBorders>
              <w:bottom w:val="single" w:sz="8" w:color="DBDBDB"/>
            </w:tcBorders>
          </w:tcPr>
          <w:p>
            <w:pPr>
              <w:ind w:left="440"/>
              <w:spacing w:after="0"/>
              <w:rPr>
                <w:sz w:val="20"/>
                <w:szCs w:val="20"/>
                <w:color w:val="auto"/>
              </w:rPr>
            </w:pPr>
            <w:r>
              <w:rPr>
                <w:rFonts w:ascii="Arial" w:cs="Arial" w:eastAsia="Arial" w:hAnsi="Arial"/>
                <w:sz w:val="15"/>
                <w:szCs w:val="15"/>
                <w:color w:val="auto"/>
              </w:rPr>
              <w:t>Deferred revenue and customer deposits</w:t>
            </w:r>
          </w:p>
        </w:tc>
        <w:tc>
          <w:tcPr>
            <w:tcW w:w="1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(3,427)</w:t>
            </w:r>
          </w:p>
        </w:tc>
        <w:tc>
          <w:tcPr>
            <w:tcW w:w="80" w:type="dxa"/>
            <w:vAlign w:val="bottom"/>
            <w:tcBorders>
              <w:bottom w:val="single" w:sz="8" w:color="DBDBDB"/>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13,120</w:t>
            </w:r>
          </w:p>
        </w:tc>
        <w:tc>
          <w:tcPr>
            <w:tcW w:w="0" w:type="dxa"/>
            <w:vAlign w:val="bottom"/>
          </w:tcPr>
          <w:p>
            <w:pPr>
              <w:spacing w:after="0"/>
              <w:rPr>
                <w:sz w:val="1"/>
                <w:szCs w:val="1"/>
                <w:color w:val="auto"/>
              </w:rPr>
            </w:pPr>
          </w:p>
        </w:tc>
      </w:tr>
      <w:tr>
        <w:trPr>
          <w:trHeight w:val="200"/>
        </w:trPr>
        <w:tc>
          <w:tcPr>
            <w:tcW w:w="7520" w:type="dxa"/>
            <w:vAlign w:val="bottom"/>
            <w:shd w:val="clear" w:color="auto" w:fill="DBDBDB"/>
          </w:tcPr>
          <w:p>
            <w:pPr>
              <w:ind w:left="640"/>
              <w:spacing w:after="0"/>
              <w:rPr>
                <w:sz w:val="20"/>
                <w:szCs w:val="20"/>
                <w:color w:val="auto"/>
              </w:rPr>
            </w:pPr>
            <w:r>
              <w:rPr>
                <w:rFonts w:ascii="Arial" w:cs="Arial" w:eastAsia="Arial" w:hAnsi="Arial"/>
                <w:sz w:val="15"/>
                <w:szCs w:val="15"/>
                <w:color w:val="auto"/>
              </w:rPr>
              <w:t>Net cash provided by operating activities</w:t>
            </w:r>
          </w:p>
        </w:tc>
        <w:tc>
          <w:tcPr>
            <w:tcW w:w="1100" w:type="dxa"/>
            <w:vAlign w:val="bottom"/>
            <w:shd w:val="clear" w:color="auto" w:fill="DBDBDB"/>
          </w:tcPr>
          <w:p>
            <w:pPr>
              <w:spacing w:after="0"/>
              <w:rPr>
                <w:sz w:val="17"/>
                <w:szCs w:val="17"/>
                <w:color w:val="auto"/>
              </w:rPr>
            </w:pP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148,765</w:t>
            </w:r>
          </w:p>
        </w:tc>
        <w:tc>
          <w:tcPr>
            <w:tcW w:w="8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145,527</w:t>
            </w:r>
          </w:p>
        </w:tc>
        <w:tc>
          <w:tcPr>
            <w:tcW w:w="0" w:type="dxa"/>
            <w:vAlign w:val="bottom"/>
          </w:tcPr>
          <w:p>
            <w:pPr>
              <w:spacing w:after="0"/>
              <w:rPr>
                <w:sz w:val="1"/>
                <w:szCs w:val="1"/>
                <w:color w:val="auto"/>
              </w:rPr>
            </w:pPr>
          </w:p>
        </w:tc>
      </w:tr>
      <w:tr>
        <w:trPr>
          <w:trHeight w:val="205"/>
        </w:trPr>
        <w:tc>
          <w:tcPr>
            <w:tcW w:w="7520" w:type="dxa"/>
            <w:vAlign w:val="bottom"/>
          </w:tcPr>
          <w:p>
            <w:pPr>
              <w:ind w:left="20"/>
              <w:spacing w:after="0"/>
              <w:rPr>
                <w:sz w:val="20"/>
                <w:szCs w:val="20"/>
                <w:color w:val="auto"/>
              </w:rPr>
            </w:pPr>
            <w:r>
              <w:rPr>
                <w:rFonts w:ascii="Arial" w:cs="Arial" w:eastAsia="Arial" w:hAnsi="Arial"/>
                <w:sz w:val="15"/>
                <w:szCs w:val="15"/>
                <w:color w:val="auto"/>
              </w:rPr>
              <w:t>Investing activities:</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Proceeds from sale of discontinued operations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403,992</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Acquisitions, net of cash acquired</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(78,503)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(57,457)</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Proceeds from sale of rental equipment</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7,781</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14,554</w:t>
            </w: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Purchase of rental equipment and refurbishments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(47,128)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(95,236)</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Payment for settlement of foreign currency forward contract</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(7,715)</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Proceeds from the sale of property, plant and equipment</w:t>
            </w:r>
          </w:p>
        </w:tc>
        <w:tc>
          <w:tcPr>
            <w:tcW w:w="110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258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260</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Purchase of property, plant and equipment</w:t>
            </w:r>
          </w:p>
        </w:tc>
        <w:tc>
          <w:tcPr>
            <w:tcW w:w="110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(6,736)</w:t>
            </w:r>
          </w:p>
        </w:tc>
        <w:tc>
          <w:tcPr>
            <w:tcW w:w="80" w:type="dxa"/>
            <w:vAlign w:val="bottom"/>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(10,481)</w:t>
            </w:r>
          </w:p>
        </w:tc>
        <w:tc>
          <w:tcPr>
            <w:tcW w:w="0" w:type="dxa"/>
            <w:vAlign w:val="bottom"/>
          </w:tcPr>
          <w:p>
            <w:pPr>
              <w:spacing w:after="0"/>
              <w:rPr>
                <w:sz w:val="1"/>
                <w:szCs w:val="1"/>
                <w:color w:val="auto"/>
              </w:rPr>
            </w:pPr>
          </w:p>
        </w:tc>
      </w:tr>
      <w:tr>
        <w:trPr>
          <w:trHeight w:val="198"/>
        </w:trPr>
        <w:tc>
          <w:tcPr>
            <w:tcW w:w="7520" w:type="dxa"/>
            <w:vAlign w:val="bottom"/>
          </w:tcPr>
          <w:p>
            <w:pPr>
              <w:ind w:left="640"/>
              <w:spacing w:after="0"/>
              <w:rPr>
                <w:sz w:val="20"/>
                <w:szCs w:val="20"/>
                <w:color w:val="auto"/>
              </w:rPr>
            </w:pPr>
            <w:r>
              <w:rPr>
                <w:rFonts w:ascii="Arial" w:cs="Arial" w:eastAsia="Arial" w:hAnsi="Arial"/>
                <w:sz w:val="15"/>
                <w:szCs w:val="15"/>
                <w:color w:val="auto"/>
              </w:rPr>
              <w:t>Net cash provided by (used in) investing activities</w:t>
            </w:r>
          </w:p>
        </w:tc>
        <w:tc>
          <w:tcPr>
            <w:tcW w:w="110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271,949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(148,360)</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20"/>
              <w:spacing w:after="0"/>
              <w:rPr>
                <w:sz w:val="20"/>
                <w:szCs w:val="20"/>
                <w:color w:val="auto"/>
              </w:rPr>
            </w:pPr>
            <w:r>
              <w:rPr>
                <w:rFonts w:ascii="Arial" w:cs="Arial" w:eastAsia="Arial" w:hAnsi="Arial"/>
                <w:sz w:val="15"/>
                <w:szCs w:val="15"/>
                <w:color w:val="auto"/>
              </w:rPr>
              <w:t>Financing activities: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Receipts from issuance of Common Stock from the exercise of options</w:t>
            </w:r>
          </w:p>
        </w:tc>
        <w:tc>
          <w:tcPr>
            <w:tcW w:w="110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68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3,313</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Repurchase and cancellation of Common Stock and warrants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(215,098)</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(77,708)</w:t>
            </w: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Receipts from borrowings</w:t>
            </w:r>
          </w:p>
        </w:tc>
        <w:tc>
          <w:tcPr>
            <w:tcW w:w="110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363,800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152,500</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Repayment of borrowings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(558,300)</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(59,000)</w:t>
            </w:r>
          </w:p>
        </w:tc>
        <w:tc>
          <w:tcPr>
            <w:tcW w:w="0" w:type="dxa"/>
            <w:vAlign w:val="bottom"/>
          </w:tcPr>
          <w:p>
            <w:pPr>
              <w:spacing w:after="0"/>
              <w:rPr>
                <w:sz w:val="1"/>
                <w:szCs w:val="1"/>
                <w:color w:val="auto"/>
              </w:rPr>
            </w:pPr>
          </w:p>
        </w:tc>
      </w:tr>
      <w:tr>
        <w:trPr>
          <w:trHeight w:val="205"/>
        </w:trPr>
        <w:tc>
          <w:tcPr>
            <w:tcW w:w="7520" w:type="dxa"/>
            <w:vAlign w:val="bottom"/>
          </w:tcPr>
          <w:p>
            <w:pPr>
              <w:ind w:left="440"/>
              <w:spacing w:after="0"/>
              <w:rPr>
                <w:sz w:val="20"/>
                <w:szCs w:val="20"/>
                <w:color w:val="auto"/>
              </w:rPr>
            </w:pPr>
            <w:r>
              <w:rPr>
                <w:rFonts w:ascii="Arial" w:cs="Arial" w:eastAsia="Arial" w:hAnsi="Arial"/>
                <w:sz w:val="15"/>
                <w:szCs w:val="15"/>
                <w:color w:val="auto"/>
              </w:rPr>
              <w:t>Principal payments on finance lease obligations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(3,499)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(5,224)</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Taxes paid on employee stock awards</w:t>
            </w:r>
          </w:p>
        </w:tc>
        <w:tc>
          <w:tcPr>
            <w:tcW w:w="110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(10,058)</w:t>
            </w:r>
          </w:p>
        </w:tc>
        <w:tc>
          <w:tcPr>
            <w:tcW w:w="80" w:type="dxa"/>
            <w:vAlign w:val="bottom"/>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(12,295)</w:t>
            </w:r>
          </w:p>
        </w:tc>
        <w:tc>
          <w:tcPr>
            <w:tcW w:w="0" w:type="dxa"/>
            <w:vAlign w:val="bottom"/>
          </w:tcPr>
          <w:p>
            <w:pPr>
              <w:spacing w:after="0"/>
              <w:rPr>
                <w:sz w:val="1"/>
                <w:szCs w:val="1"/>
                <w:color w:val="auto"/>
              </w:rPr>
            </w:pPr>
          </w:p>
        </w:tc>
      </w:tr>
      <w:tr>
        <w:trPr>
          <w:trHeight w:val="198"/>
        </w:trPr>
        <w:tc>
          <w:tcPr>
            <w:tcW w:w="7520" w:type="dxa"/>
            <w:vAlign w:val="bottom"/>
          </w:tcPr>
          <w:p>
            <w:pPr>
              <w:ind w:left="640"/>
              <w:spacing w:after="0"/>
              <w:rPr>
                <w:sz w:val="20"/>
                <w:szCs w:val="20"/>
                <w:color w:val="auto"/>
              </w:rPr>
            </w:pPr>
            <w:r>
              <w:rPr>
                <w:rFonts w:ascii="Arial" w:cs="Arial" w:eastAsia="Arial" w:hAnsi="Arial"/>
                <w:sz w:val="15"/>
                <w:szCs w:val="15"/>
                <w:color w:val="auto"/>
              </w:rPr>
              <w:t>Net cash (used in) provided by financing activities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(423,087)</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1,586</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Effect of exchange rate changes on cash and cash equivalents</w:t>
            </w:r>
          </w:p>
        </w:tc>
        <w:tc>
          <w:tcPr>
            <w:tcW w:w="110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517</w:t>
            </w:r>
          </w:p>
        </w:tc>
        <w:tc>
          <w:tcPr>
            <w:tcW w:w="80" w:type="dxa"/>
            <w:vAlign w:val="bottom"/>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198"/>
        </w:trPr>
        <w:tc>
          <w:tcPr>
            <w:tcW w:w="7520" w:type="dxa"/>
            <w:vAlign w:val="bottom"/>
          </w:tcPr>
          <w:p>
            <w:pPr>
              <w:ind w:left="220"/>
              <w:spacing w:after="0"/>
              <w:rPr>
                <w:sz w:val="20"/>
                <w:szCs w:val="20"/>
                <w:color w:val="auto"/>
              </w:rPr>
            </w:pPr>
            <w:r>
              <w:rPr>
                <w:rFonts w:ascii="Arial" w:cs="Arial" w:eastAsia="Arial" w:hAnsi="Arial"/>
                <w:sz w:val="15"/>
                <w:szCs w:val="15"/>
                <w:color w:val="auto"/>
              </w:rPr>
              <w:t>Net change in cash and cash equivalents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(1,856)</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(1,378)</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Cash and cash equivalents at the beginning of the period</w:t>
            </w:r>
          </w:p>
        </w:tc>
        <w:tc>
          <w:tcPr>
            <w:tcW w:w="110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17,774</w:t>
            </w:r>
          </w:p>
        </w:tc>
        <w:tc>
          <w:tcPr>
            <w:tcW w:w="80" w:type="dxa"/>
            <w:vAlign w:val="bottom"/>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12,699</w:t>
            </w:r>
          </w:p>
        </w:tc>
        <w:tc>
          <w:tcPr>
            <w:tcW w:w="0" w:type="dxa"/>
            <w:vAlign w:val="bottom"/>
          </w:tcPr>
          <w:p>
            <w:pPr>
              <w:spacing w:after="0"/>
              <w:rPr>
                <w:sz w:val="1"/>
                <w:szCs w:val="1"/>
                <w:color w:val="auto"/>
              </w:rPr>
            </w:pPr>
          </w:p>
        </w:tc>
      </w:tr>
      <w:tr>
        <w:trPr>
          <w:trHeight w:val="198"/>
        </w:trPr>
        <w:tc>
          <w:tcPr>
            <w:tcW w:w="7520" w:type="dxa"/>
            <w:vAlign w:val="bottom"/>
          </w:tcPr>
          <w:p>
            <w:pPr>
              <w:ind w:left="220"/>
              <w:spacing w:after="0"/>
              <w:rPr>
                <w:sz w:val="20"/>
                <w:szCs w:val="20"/>
                <w:color w:val="auto"/>
              </w:rPr>
            </w:pPr>
            <w:r>
              <w:rPr>
                <w:rFonts w:ascii="Arial" w:cs="Arial" w:eastAsia="Arial" w:hAnsi="Arial"/>
                <w:sz w:val="15"/>
                <w:szCs w:val="15"/>
                <w:color w:val="auto"/>
              </w:rPr>
              <w:t>Cash and cash equivalents at the end of the period</w:t>
            </w:r>
          </w:p>
        </w:tc>
        <w:tc>
          <w:tcPr>
            <w:tcW w:w="1100" w:type="dxa"/>
            <w:vAlign w:val="bottom"/>
            <w:tcBorders>
              <w:bottom w:val="single" w:sz="8" w:color="auto"/>
            </w:tcBorders>
          </w:tcPr>
          <w:p>
            <w:pPr>
              <w:jc w:val="right"/>
              <w:ind w:right="92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15,918</w:t>
            </w:r>
          </w:p>
        </w:tc>
        <w:tc>
          <w:tcPr>
            <w:tcW w:w="80" w:type="dxa"/>
            <w:vAlign w:val="bottom"/>
          </w:tcPr>
          <w:p>
            <w:pPr>
              <w:spacing w:after="0"/>
              <w:rPr>
                <w:sz w:val="17"/>
                <w:szCs w:val="17"/>
                <w:color w:val="auto"/>
              </w:rPr>
            </w:pPr>
          </w:p>
        </w:tc>
        <w:tc>
          <w:tcPr>
            <w:tcW w:w="1120" w:type="dxa"/>
            <w:vAlign w:val="bottom"/>
            <w:tcBorders>
              <w:bottom w:val="single" w:sz="8" w:color="auto"/>
            </w:tcBorders>
          </w:tcPr>
          <w:p>
            <w:pPr>
              <w:jc w:val="right"/>
              <w:ind w:right="923"/>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11,321</w:t>
            </w:r>
          </w:p>
        </w:tc>
        <w:tc>
          <w:tcPr>
            <w:tcW w:w="0" w:type="dxa"/>
            <w:vAlign w:val="bottom"/>
          </w:tcPr>
          <w:p>
            <w:pPr>
              <w:spacing w:after="0"/>
              <w:rPr>
                <w:sz w:val="1"/>
                <w:szCs w:val="1"/>
                <w:color w:val="auto"/>
              </w:rPr>
            </w:pPr>
          </w:p>
        </w:tc>
      </w:tr>
      <w:tr>
        <w:trPr>
          <w:trHeight w:val="20"/>
        </w:trPr>
        <w:tc>
          <w:tcPr>
            <w:tcW w:w="752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52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520" w:type="dxa"/>
            <w:vAlign w:val="bottom"/>
          </w:tcPr>
          <w:p>
            <w:pPr>
              <w:ind w:left="20"/>
              <w:spacing w:after="0"/>
              <w:rPr>
                <w:sz w:val="20"/>
                <w:szCs w:val="20"/>
                <w:color w:val="auto"/>
              </w:rPr>
            </w:pPr>
            <w:r>
              <w:rPr>
                <w:rFonts w:ascii="Arial" w:cs="Arial" w:eastAsia="Arial" w:hAnsi="Arial"/>
                <w:sz w:val="15"/>
                <w:szCs w:val="15"/>
                <w:color w:val="auto"/>
              </w:rPr>
              <w:t>Supplemental cash flow information:</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paid, net</w:t>
            </w:r>
          </w:p>
        </w:tc>
        <w:tc>
          <w:tcPr>
            <w:tcW w:w="1100" w:type="dxa"/>
            <w:vAlign w:val="bottom"/>
            <w:shd w:val="clear" w:color="auto" w:fill="DBDBDB"/>
          </w:tcPr>
          <w:p>
            <w:pPr>
              <w:jc w:val="right"/>
              <w:ind w:right="92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39,570</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923"/>
              <w:spacing w:after="0"/>
              <w:rPr>
                <w:sz w:val="20"/>
                <w:szCs w:val="20"/>
                <w:color w:val="auto"/>
              </w:rPr>
            </w:pPr>
            <w:r>
              <w:rPr>
                <w:rFonts w:ascii="Arial" w:cs="Arial" w:eastAsia="Arial" w:hAnsi="Arial"/>
                <w:sz w:val="15"/>
                <w:szCs w:val="15"/>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22,197</w:t>
            </w:r>
          </w:p>
        </w:tc>
        <w:tc>
          <w:tcPr>
            <w:tcW w:w="0" w:type="dxa"/>
            <w:vAlign w:val="bottom"/>
          </w:tcPr>
          <w:p>
            <w:pPr>
              <w:spacing w:after="0"/>
              <w:rPr>
                <w:sz w:val="1"/>
                <w:szCs w:val="1"/>
                <w:color w:val="auto"/>
              </w:rPr>
            </w:pPr>
          </w:p>
        </w:tc>
      </w:tr>
      <w:tr>
        <w:trPr>
          <w:trHeight w:val="205"/>
        </w:trPr>
        <w:tc>
          <w:tcPr>
            <w:tcW w:w="7520" w:type="dxa"/>
            <w:vAlign w:val="bottom"/>
          </w:tcPr>
          <w:p>
            <w:pPr>
              <w:ind w:left="220"/>
              <w:spacing w:after="0"/>
              <w:rPr>
                <w:sz w:val="20"/>
                <w:szCs w:val="20"/>
                <w:color w:val="auto"/>
              </w:rPr>
            </w:pPr>
            <w:r>
              <w:rPr>
                <w:rFonts w:ascii="Arial" w:cs="Arial" w:eastAsia="Arial" w:hAnsi="Arial"/>
                <w:sz w:val="15"/>
                <w:szCs w:val="15"/>
                <w:color w:val="auto"/>
              </w:rPr>
              <w:t>Income taxes paid, net</w:t>
            </w:r>
          </w:p>
        </w:tc>
        <w:tc>
          <w:tcPr>
            <w:tcW w:w="1100" w:type="dxa"/>
            <w:vAlign w:val="bottom"/>
          </w:tcPr>
          <w:p>
            <w:pPr>
              <w:jc w:val="right"/>
              <w:ind w:right="9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5,653</w:t>
            </w:r>
          </w:p>
        </w:tc>
        <w:tc>
          <w:tcPr>
            <w:tcW w:w="80" w:type="dxa"/>
            <w:vAlign w:val="bottom"/>
          </w:tcPr>
          <w:p>
            <w:pPr>
              <w:spacing w:after="0"/>
              <w:rPr>
                <w:sz w:val="17"/>
                <w:szCs w:val="17"/>
                <w:color w:val="auto"/>
              </w:rPr>
            </w:pPr>
          </w:p>
        </w:tc>
        <w:tc>
          <w:tcPr>
            <w:tcW w:w="1120" w:type="dxa"/>
            <w:vAlign w:val="bottom"/>
          </w:tcPr>
          <w:p>
            <w:pPr>
              <w:jc w:val="right"/>
              <w:ind w:right="923"/>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2,606</w:t>
            </w:r>
          </w:p>
        </w:tc>
        <w:tc>
          <w:tcPr>
            <w:tcW w:w="0" w:type="dxa"/>
            <w:vAlign w:val="bottom"/>
          </w:tcPr>
          <w:p>
            <w:pPr>
              <w:spacing w:after="0"/>
              <w:rPr>
                <w:sz w:val="1"/>
                <w:szCs w:val="1"/>
                <w:color w:val="auto"/>
              </w:rPr>
            </w:pPr>
          </w:p>
        </w:tc>
      </w:tr>
      <w:tr>
        <w:trPr>
          <w:trHeight w:val="207"/>
        </w:trPr>
        <w:tc>
          <w:tcPr>
            <w:tcW w:w="75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Assets acquired under capital leases</w:t>
            </w:r>
          </w:p>
        </w:tc>
        <w:tc>
          <w:tcPr>
            <w:tcW w:w="1100" w:type="dxa"/>
            <w:vAlign w:val="bottom"/>
            <w:shd w:val="clear" w:color="auto" w:fill="DBDBDB"/>
          </w:tcPr>
          <w:p>
            <w:pPr>
              <w:jc w:val="right"/>
              <w:ind w:right="92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8,907</w:t>
            </w:r>
          </w:p>
        </w:tc>
        <w:tc>
          <w:tcPr>
            <w:tcW w:w="80" w:type="dxa"/>
            <w:vAlign w:val="bottom"/>
            <w:shd w:val="clear" w:color="auto" w:fill="DBDBDB"/>
          </w:tcPr>
          <w:p>
            <w:pPr>
              <w:spacing w:after="0"/>
              <w:rPr>
                <w:sz w:val="18"/>
                <w:szCs w:val="18"/>
                <w:color w:val="auto"/>
              </w:rPr>
            </w:pPr>
          </w:p>
        </w:tc>
        <w:tc>
          <w:tcPr>
            <w:tcW w:w="1120" w:type="dxa"/>
            <w:vAlign w:val="bottom"/>
            <w:shd w:val="clear" w:color="auto" w:fill="DBDBDB"/>
          </w:tcPr>
          <w:p>
            <w:pPr>
              <w:jc w:val="right"/>
              <w:ind w:right="923"/>
              <w:spacing w:after="0"/>
              <w:rPr>
                <w:sz w:val="20"/>
                <w:szCs w:val="20"/>
                <w:color w:val="auto"/>
              </w:rPr>
            </w:pPr>
            <w:r>
              <w:rPr>
                <w:rFonts w:ascii="Arial" w:cs="Arial" w:eastAsia="Arial" w:hAnsi="Arial"/>
                <w:sz w:val="15"/>
                <w:szCs w:val="15"/>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7,011</w:t>
            </w:r>
          </w:p>
        </w:tc>
        <w:tc>
          <w:tcPr>
            <w:tcW w:w="0" w:type="dxa"/>
            <w:vAlign w:val="bottom"/>
          </w:tcPr>
          <w:p>
            <w:pPr>
              <w:spacing w:after="0"/>
              <w:rPr>
                <w:sz w:val="1"/>
                <w:szCs w:val="1"/>
                <w:color w:val="auto"/>
              </w:rPr>
            </w:pPr>
          </w:p>
        </w:tc>
      </w:tr>
      <w:tr>
        <w:trPr>
          <w:trHeight w:val="205"/>
        </w:trPr>
        <w:tc>
          <w:tcPr>
            <w:tcW w:w="7520" w:type="dxa"/>
            <w:vAlign w:val="bottom"/>
          </w:tcPr>
          <w:p>
            <w:pPr>
              <w:ind w:left="220"/>
              <w:spacing w:after="0"/>
              <w:rPr>
                <w:sz w:val="20"/>
                <w:szCs w:val="20"/>
                <w:color w:val="auto"/>
              </w:rPr>
            </w:pPr>
            <w:r>
              <w:rPr>
                <w:rFonts w:ascii="Arial" w:cs="Arial" w:eastAsia="Arial" w:hAnsi="Arial"/>
                <w:sz w:val="15"/>
                <w:szCs w:val="15"/>
                <w:color w:val="auto"/>
              </w:rPr>
              <w:t>Capital expenditures accrued or payable</w:t>
            </w:r>
          </w:p>
        </w:tc>
        <w:tc>
          <w:tcPr>
            <w:tcW w:w="1100" w:type="dxa"/>
            <w:vAlign w:val="bottom"/>
          </w:tcPr>
          <w:p>
            <w:pPr>
              <w:jc w:val="right"/>
              <w:ind w:right="9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3"/>
              <w:spacing w:after="0"/>
              <w:rPr>
                <w:sz w:val="20"/>
                <w:szCs w:val="20"/>
                <w:color w:val="auto"/>
              </w:rPr>
            </w:pPr>
            <w:r>
              <w:rPr>
                <w:rFonts w:ascii="Arial" w:cs="Arial" w:eastAsia="Arial" w:hAnsi="Arial"/>
                <w:sz w:val="15"/>
                <w:szCs w:val="15"/>
                <w:color w:val="auto"/>
              </w:rPr>
              <w:t>17,786</w:t>
            </w:r>
          </w:p>
        </w:tc>
        <w:tc>
          <w:tcPr>
            <w:tcW w:w="80" w:type="dxa"/>
            <w:vAlign w:val="bottom"/>
          </w:tcPr>
          <w:p>
            <w:pPr>
              <w:spacing w:after="0"/>
              <w:rPr>
                <w:sz w:val="17"/>
                <w:szCs w:val="17"/>
                <w:color w:val="auto"/>
              </w:rPr>
            </w:pPr>
          </w:p>
        </w:tc>
        <w:tc>
          <w:tcPr>
            <w:tcW w:w="1120" w:type="dxa"/>
            <w:vAlign w:val="bottom"/>
          </w:tcPr>
          <w:p>
            <w:pPr>
              <w:jc w:val="right"/>
              <w:ind w:right="923"/>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28,433</w:t>
            </w: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57150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color w:val="1D2758"/>
        </w:rPr>
        <w:t>WillScot Mobile Mini Holdings Corp.</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Notes to the Condensed Consolidated Financial Statements (Unaudited)</w:t>
      </w: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1D2758"/>
        </w:rPr>
        <w:t>NOTE 1 - Summary of Significant Accounting Policies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 and Nature of Operations</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WillScot Mobile Mini Holdings Corp. (“WillScot Mobile Mini” and, together with its subsidiaries, the “Company”) is a leading business services provider specializing in innovative flexible work space and portable storage solutions in the United States (“US”), Canada, and Mexico. The Company leases, sells, delivers and installs modular space solutions and portable storage products through an integrated network of branch locations that spans North America.</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Principles of Consolidation</w:t>
      </w:r>
    </w:p>
    <w:p>
      <w:pPr>
        <w:spacing w:after="0" w:line="6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the instructions to Form 10-Q and do not include all the information and notes required by US Generally Accepted Accounting Principles ("GAAP") for complete financial statements. The accompanying unaudited condensed consolidated financial statements comprise the financial statements of WillScot Mobile Mini and its subsidiaries that it controls due to ownership of a majority voting interest and contain all adjustments, which are of a normal and recurring nature, considered necessary by management to present fairly the financial position, results of operations and cash flows for the interim periods presented.</w:t>
      </w:r>
    </w:p>
    <w:p>
      <w:pPr>
        <w:spacing w:after="0" w:line="24"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the Company. All intercompany balances and transactions are eliminated.</w:t>
      </w:r>
    </w:p>
    <w:p>
      <w:pPr>
        <w:spacing w:after="0" w:line="17" w:lineRule="exact"/>
        <w:rPr>
          <w:sz w:val="20"/>
          <w:szCs w:val="20"/>
          <w:color w:val="auto"/>
        </w:rPr>
      </w:pPr>
    </w:p>
    <w:p>
      <w:pPr>
        <w:jc w:val="both"/>
        <w:ind w:firstLine="619"/>
        <w:spacing w:after="0" w:line="284" w:lineRule="auto"/>
        <w:rPr>
          <w:sz w:val="20"/>
          <w:szCs w:val="20"/>
          <w:color w:val="auto"/>
        </w:rPr>
      </w:pPr>
      <w:r>
        <w:rPr>
          <w:rFonts w:ascii="Arial" w:cs="Arial" w:eastAsia="Arial" w:hAnsi="Arial"/>
          <w:sz w:val="15"/>
          <w:szCs w:val="15"/>
          <w:color w:val="auto"/>
        </w:rPr>
        <w:t>The results of operations for the three months ended March 31, 2023 are not necessarily indicative of the results to be expected for the full year. For further information, refer to the consolidated financial statements and notes included in the Company's Annual Report on Form 10-K for the year ended December 31, 2022.</w:t>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Reclassifications</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Certain reclassifications have been made to prior year financial statements to conform to the current year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and Adopted Accounting Standards</w:t>
      </w:r>
    </w:p>
    <w:p>
      <w:pPr>
        <w:spacing w:after="0" w:line="6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In October 2021, the Financial Accounting Standards Board ("FASB") issued Accounting Standards Update No. 2021-08, B</w:t>
      </w:r>
      <w:r>
        <w:rPr>
          <w:rFonts w:ascii="Arial" w:cs="Arial" w:eastAsia="Arial" w:hAnsi="Arial"/>
          <w:sz w:val="15"/>
          <w:szCs w:val="15"/>
          <w:i w:val="1"/>
          <w:iCs w:val="1"/>
          <w:color w:val="auto"/>
        </w:rPr>
        <w:t>usiness Combinations (Topic</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805): Accounting for Contract Assets and Contract Liabilities from Contracts with Customers </w:t>
      </w:r>
      <w:r>
        <w:rPr>
          <w:rFonts w:ascii="Arial" w:cs="Arial" w:eastAsia="Arial" w:hAnsi="Arial"/>
          <w:sz w:val="15"/>
          <w:szCs w:val="15"/>
          <w:color w:val="auto"/>
        </w:rPr>
        <w:t>("ASU 2021-08"). ASU 2021-08 requires that an acquirer recognize and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measure contract assets and liabilities acquired in a business combination in accordance with FASB Accounting Standards Codification 606, </w:t>
      </w:r>
      <w:r>
        <w:rPr>
          <w:rFonts w:ascii="Arial" w:cs="Arial" w:eastAsia="Arial" w:hAnsi="Arial"/>
          <w:sz w:val="15"/>
          <w:szCs w:val="15"/>
          <w:i w:val="1"/>
          <w:iCs w:val="1"/>
          <w:color w:val="auto"/>
        </w:rPr>
        <w:t>Revenue from</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Contracts with Customers </w:t>
      </w:r>
      <w:r>
        <w:rPr>
          <w:rFonts w:ascii="Arial" w:cs="Arial" w:eastAsia="Arial" w:hAnsi="Arial"/>
          <w:sz w:val="15"/>
          <w:szCs w:val="15"/>
          <w:color w:val="auto"/>
        </w:rPr>
        <w:t>("ASC 606"). The Company adopted ASU 2021-08 on January 1, 2023 on a prospective basis. The adoption of this ASU did not have a</w:t>
      </w:r>
      <w:r>
        <w:rPr>
          <w:rFonts w:ascii="Arial" w:cs="Arial" w:eastAsia="Arial" w:hAnsi="Arial"/>
          <w:sz w:val="15"/>
          <w:szCs w:val="15"/>
          <w:i w:val="1"/>
          <w:iCs w:val="1"/>
          <w:color w:val="auto"/>
        </w:rPr>
        <w:t xml:space="preserve"> </w:t>
      </w:r>
      <w:r>
        <w:rPr>
          <w:rFonts w:ascii="Arial" w:cs="Arial" w:eastAsia="Arial" w:hAnsi="Arial"/>
          <w:sz w:val="15"/>
          <w:szCs w:val="15"/>
          <w:color w:val="auto"/>
        </w:rPr>
        <w:t>material impact on the Company's financial statements or related disclosures.</w:t>
      </w: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1D2758"/>
        </w:rPr>
        <w:t>NOTE 2 - Acquisitions</w:t>
      </w:r>
    </w:p>
    <w:p>
      <w:pPr>
        <w:spacing w:after="0" w:line="114"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WillScot Mobile Mini is the holding company for the Williams Scotsman and Mobile Mini family of companies, which resulted from the combination of WillScot Corporation (“WillScot”) and Mobile Mini, Inc. (“Mobile Mini”) through a merger that occurred on July 1, 2020 (the "Merger").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Acquisitions</w:t>
      </w:r>
    </w:p>
    <w:p>
      <w:pPr>
        <w:spacing w:after="0" w:line="56"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15"/>
          <w:szCs w:val="15"/>
          <w:color w:val="auto"/>
        </w:rPr>
        <w:t>During the first quarter of 2023, the Company acquired certain assets and liabilities of two regional and local storage and modular companies, which consisted primarily of approximately 300 storage units and 500 modular units for $79.6 million in cash. The accompanying consolidated financial statements include $70.4 million of rental equipment and $4.5 million of land held for sale as of March 31, 2023 as a result of these acquisitions. A sale of the acquired land is expected to close before the end of the year.</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Integration Costs</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 recorded $3.9 million and $4.1 million in integration costs related to asset acquisitions and the Merger within selling, general and administrative ("SG&amp;A") expense during the three months ended March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1D2758"/>
        </w:rPr>
        <w:t>NOTE 3 - Discontinued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Tank and Pump Divestiture</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September 30, 2022, the Company sold its former Tank and Pump segment for $321.9 million. Exiting the former Tank and Pump segment represented the Company’s strategic shift to concentrate its operations on its core modular and storage businesses. The criteria for discontinued operations presentation were met during the third quarter of 2022 and results for the former Tank and Pump segment are reported in income from discontinued operations within the consolidated statements of operations for periods presented prior to September 30, 2022.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UK Storage Solutions Divestiture</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On December 12, 2022, the Company entered into a stock purchase agreement to sell its former UK Storage Solutions segment. The sale transaction was completed on January 31, 2023. Total cash consideration for the transaction was $418.1 million. Exiting the former UK Storage Solutions segment represented the Company’s strategic shift to concentrate its operations on its core modular and storage businesses in North America. The criteria for discontinued operations presentation were met during the fourth quarter of 2022 and results for the former UK Storage Solutions segment are reported in income from discontinued operations within the consolidated statements of operations for all periods presented. The carrying value of the former UK Storage Solutions segment's assets and liabilities are presented within assets and liabilities held for sale on the consolidated balance sheet as of December 31, 2022.</w:t>
      </w:r>
    </w:p>
    <w:p>
      <w:pPr>
        <w:spacing w:after="0" w:line="2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following tables present the results of the former Tank and Pump segment and the former UK Storage Solutions segment as reported in income from discontinued operations within the consolidated statements of operations, and the carrying value of the former UK Storage Solutions segment's assets and liabilities as presented within assets and liabilities held for sale on the consolidated balance sheet.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64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24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Three Months Ended March 31,</w:t>
            </w:r>
          </w:p>
        </w:tc>
        <w:tc>
          <w:tcPr>
            <w:tcW w:w="0" w:type="dxa"/>
            <w:vAlign w:val="bottom"/>
          </w:tcPr>
          <w:p>
            <w:pPr>
              <w:spacing w:after="0"/>
              <w:rPr>
                <w:sz w:val="1"/>
                <w:szCs w:val="1"/>
                <w:color w:val="auto"/>
              </w:rPr>
            </w:pPr>
          </w:p>
        </w:tc>
      </w:tr>
      <w:tr>
        <w:trPr>
          <w:trHeight w:val="206"/>
        </w:trPr>
        <w:tc>
          <w:tcPr>
            <w:tcW w:w="864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2460" w:type="dxa"/>
            <w:vAlign w:val="bottom"/>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2023</w:t>
            </w:r>
          </w:p>
        </w:tc>
        <w:tc>
          <w:tcPr>
            <w:tcW w:w="0" w:type="dxa"/>
            <w:vAlign w:val="bottom"/>
          </w:tcPr>
          <w:p>
            <w:pPr>
              <w:spacing w:after="0"/>
              <w:rPr>
                <w:sz w:val="1"/>
                <w:szCs w:val="1"/>
                <w:color w:val="auto"/>
              </w:rPr>
            </w:pPr>
          </w:p>
        </w:tc>
      </w:tr>
      <w:tr>
        <w:trPr>
          <w:trHeight w:val="206"/>
        </w:trPr>
        <w:tc>
          <w:tcPr>
            <w:tcW w:w="86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40" w:type="dxa"/>
            <w:vAlign w:val="bottom"/>
            <w:shd w:val="clear" w:color="auto" w:fill="1D2758"/>
          </w:tcPr>
          <w:p>
            <w:pPr>
              <w:spacing w:after="0"/>
              <w:rPr>
                <w:sz w:val="17"/>
                <w:szCs w:val="17"/>
                <w:color w:val="auto"/>
              </w:rPr>
            </w:pPr>
          </w:p>
        </w:tc>
        <w:tc>
          <w:tcPr>
            <w:tcW w:w="24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UK Storage Solutions</w:t>
            </w:r>
          </w:p>
        </w:tc>
        <w:tc>
          <w:tcPr>
            <w:tcW w:w="0" w:type="dxa"/>
            <w:vAlign w:val="bottom"/>
          </w:tcPr>
          <w:p>
            <w:pPr>
              <w:spacing w:after="0"/>
              <w:rPr>
                <w:sz w:val="1"/>
                <w:szCs w:val="1"/>
                <w:color w:val="auto"/>
              </w:rPr>
            </w:pPr>
          </w:p>
        </w:tc>
      </w:tr>
      <w:tr>
        <w:trPr>
          <w:trHeight w:val="206"/>
        </w:trPr>
        <w:tc>
          <w:tcPr>
            <w:tcW w:w="86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40" w:type="dxa"/>
            <w:vAlign w:val="bottom"/>
            <w:shd w:val="clear" w:color="auto" w:fill="DBDBDB"/>
          </w:tcPr>
          <w:p>
            <w:pPr>
              <w:spacing w:after="0"/>
              <w:rPr>
                <w:sz w:val="17"/>
                <w:szCs w:val="17"/>
                <w:color w:val="auto"/>
              </w:rPr>
            </w:pPr>
          </w:p>
        </w:tc>
        <w:tc>
          <w:tcPr>
            <w:tcW w:w="24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4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1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2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6,389</w:t>
            </w:r>
          </w:p>
        </w:tc>
        <w:tc>
          <w:tcPr>
            <w:tcW w:w="0" w:type="dxa"/>
            <w:vAlign w:val="bottom"/>
          </w:tcPr>
          <w:p>
            <w:pPr>
              <w:spacing w:after="0"/>
              <w:rPr>
                <w:sz w:val="1"/>
                <w:szCs w:val="1"/>
                <w:color w:val="auto"/>
              </w:rPr>
            </w:pPr>
          </w:p>
        </w:tc>
      </w:tr>
      <w:tr>
        <w:trPr>
          <w:trHeight w:val="205"/>
        </w:trPr>
        <w:tc>
          <w:tcPr>
            <w:tcW w:w="86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4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1,802</w:t>
            </w:r>
          </w:p>
        </w:tc>
        <w:tc>
          <w:tcPr>
            <w:tcW w:w="0" w:type="dxa"/>
            <w:vAlign w:val="bottom"/>
          </w:tcPr>
          <w:p>
            <w:pPr>
              <w:spacing w:after="0"/>
              <w:rPr>
                <w:sz w:val="1"/>
                <w:szCs w:val="1"/>
                <w:color w:val="auto"/>
              </w:rPr>
            </w:pPr>
          </w:p>
        </w:tc>
      </w:tr>
      <w:tr>
        <w:trPr>
          <w:trHeight w:val="207"/>
        </w:trPr>
        <w:tc>
          <w:tcPr>
            <w:tcW w:w="86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140" w:type="dxa"/>
            <w:vAlign w:val="bottom"/>
            <w:shd w:val="clear" w:color="auto" w:fill="DBDBDB"/>
          </w:tcPr>
          <w:p>
            <w:pPr>
              <w:spacing w:after="0"/>
              <w:rPr>
                <w:sz w:val="18"/>
                <w:szCs w:val="18"/>
                <w:color w:val="auto"/>
              </w:rPr>
            </w:pPr>
          </w:p>
        </w:tc>
        <w:tc>
          <w:tcPr>
            <w:tcW w:w="24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6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4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07"/>
        </w:trPr>
        <w:tc>
          <w:tcPr>
            <w:tcW w:w="86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40" w:type="dxa"/>
            <w:vAlign w:val="bottom"/>
            <w:tcBorders>
              <w:bottom w:val="single" w:sz="8" w:color="auto"/>
            </w:tcBorders>
            <w:shd w:val="clear" w:color="auto" w:fill="DBDBDB"/>
          </w:tcPr>
          <w:p>
            <w:pPr>
              <w:spacing w:after="0"/>
              <w:rPr>
                <w:sz w:val="18"/>
                <w:szCs w:val="18"/>
                <w:color w:val="auto"/>
              </w:rPr>
            </w:pPr>
          </w:p>
        </w:tc>
        <w:tc>
          <w:tcPr>
            <w:tcW w:w="2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449</w:t>
            </w:r>
          </w:p>
        </w:tc>
        <w:tc>
          <w:tcPr>
            <w:tcW w:w="0" w:type="dxa"/>
            <w:vAlign w:val="bottom"/>
          </w:tcPr>
          <w:p>
            <w:pPr>
              <w:spacing w:after="0"/>
              <w:rPr>
                <w:sz w:val="1"/>
                <w:szCs w:val="1"/>
                <w:color w:val="auto"/>
              </w:rPr>
            </w:pPr>
          </w:p>
        </w:tc>
      </w:tr>
      <w:tr>
        <w:trPr>
          <w:trHeight w:val="198"/>
        </w:trPr>
        <w:tc>
          <w:tcPr>
            <w:tcW w:w="864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14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8,694</w:t>
            </w:r>
          </w:p>
        </w:tc>
        <w:tc>
          <w:tcPr>
            <w:tcW w:w="0" w:type="dxa"/>
            <w:vAlign w:val="bottom"/>
          </w:tcPr>
          <w:p>
            <w:pPr>
              <w:spacing w:after="0"/>
              <w:rPr>
                <w:sz w:val="1"/>
                <w:szCs w:val="1"/>
                <w:color w:val="auto"/>
              </w:rPr>
            </w:pPr>
          </w:p>
        </w:tc>
      </w:tr>
      <w:tr>
        <w:trPr>
          <w:trHeight w:val="207"/>
        </w:trPr>
        <w:tc>
          <w:tcPr>
            <w:tcW w:w="864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140" w:type="dxa"/>
            <w:vAlign w:val="bottom"/>
            <w:shd w:val="clear" w:color="auto" w:fill="DBDBDB"/>
          </w:tcPr>
          <w:p>
            <w:pPr>
              <w:spacing w:after="0"/>
              <w:rPr>
                <w:sz w:val="18"/>
                <w:szCs w:val="18"/>
                <w:color w:val="auto"/>
              </w:rPr>
            </w:pPr>
          </w:p>
        </w:tc>
        <w:tc>
          <w:tcPr>
            <w:tcW w:w="24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64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1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40" w:type="dxa"/>
            <w:vAlign w:val="bottom"/>
            <w:shd w:val="clear" w:color="auto" w:fill="DBDBDB"/>
          </w:tcPr>
          <w:p>
            <w:pPr>
              <w:spacing w:after="0"/>
              <w:rPr>
                <w:sz w:val="18"/>
                <w:szCs w:val="18"/>
                <w:color w:val="auto"/>
              </w:rPr>
            </w:pPr>
          </w:p>
        </w:tc>
        <w:tc>
          <w:tcPr>
            <w:tcW w:w="2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1,407</w:t>
            </w:r>
          </w:p>
        </w:tc>
        <w:tc>
          <w:tcPr>
            <w:tcW w:w="0" w:type="dxa"/>
            <w:vAlign w:val="bottom"/>
          </w:tcPr>
          <w:p>
            <w:pPr>
              <w:spacing w:after="0"/>
              <w:rPr>
                <w:sz w:val="1"/>
                <w:szCs w:val="1"/>
                <w:color w:val="auto"/>
              </w:rPr>
            </w:pPr>
          </w:p>
        </w:tc>
      </w:tr>
      <w:tr>
        <w:trPr>
          <w:trHeight w:val="205"/>
        </w:trPr>
        <w:tc>
          <w:tcPr>
            <w:tcW w:w="86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4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1,213</w:t>
            </w:r>
          </w:p>
        </w:tc>
        <w:tc>
          <w:tcPr>
            <w:tcW w:w="0" w:type="dxa"/>
            <w:vAlign w:val="bottom"/>
          </w:tcPr>
          <w:p>
            <w:pPr>
              <w:spacing w:after="0"/>
              <w:rPr>
                <w:sz w:val="1"/>
                <w:szCs w:val="1"/>
                <w:color w:val="auto"/>
              </w:rPr>
            </w:pPr>
          </w:p>
        </w:tc>
      </w:tr>
      <w:tr>
        <w:trPr>
          <w:trHeight w:val="207"/>
        </w:trPr>
        <w:tc>
          <w:tcPr>
            <w:tcW w:w="86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140" w:type="dxa"/>
            <w:vAlign w:val="bottom"/>
            <w:shd w:val="clear" w:color="auto" w:fill="DBDBDB"/>
          </w:tcPr>
          <w:p>
            <w:pPr>
              <w:spacing w:after="0"/>
              <w:rPr>
                <w:sz w:val="18"/>
                <w:szCs w:val="18"/>
                <w:color w:val="auto"/>
              </w:rPr>
            </w:pPr>
          </w:p>
        </w:tc>
        <w:tc>
          <w:tcPr>
            <w:tcW w:w="24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6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4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07"/>
        </w:trPr>
        <w:tc>
          <w:tcPr>
            <w:tcW w:w="86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40" w:type="dxa"/>
            <w:vAlign w:val="bottom"/>
            <w:tcBorders>
              <w:bottom w:val="single" w:sz="8" w:color="auto"/>
            </w:tcBorders>
            <w:shd w:val="clear" w:color="auto" w:fill="DBDBDB"/>
          </w:tcPr>
          <w:p>
            <w:pPr>
              <w:spacing w:after="0"/>
              <w:rPr>
                <w:sz w:val="18"/>
                <w:szCs w:val="18"/>
                <w:color w:val="auto"/>
              </w:rPr>
            </w:pPr>
          </w:p>
        </w:tc>
        <w:tc>
          <w:tcPr>
            <w:tcW w:w="2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492</w:t>
            </w:r>
          </w:p>
        </w:tc>
        <w:tc>
          <w:tcPr>
            <w:tcW w:w="0" w:type="dxa"/>
            <w:vAlign w:val="bottom"/>
          </w:tcPr>
          <w:p>
            <w:pPr>
              <w:spacing w:after="0"/>
              <w:rPr>
                <w:sz w:val="1"/>
                <w:szCs w:val="1"/>
                <w:color w:val="auto"/>
              </w:rPr>
            </w:pPr>
          </w:p>
        </w:tc>
      </w:tr>
      <w:tr>
        <w:trPr>
          <w:trHeight w:val="198"/>
        </w:trPr>
        <w:tc>
          <w:tcPr>
            <w:tcW w:w="8640" w:type="dxa"/>
            <w:vAlign w:val="bottom"/>
          </w:tcPr>
          <w:p>
            <w:pPr>
              <w:ind w:left="320"/>
              <w:spacing w:after="0"/>
              <w:rPr>
                <w:sz w:val="20"/>
                <w:szCs w:val="20"/>
                <w:color w:val="auto"/>
              </w:rPr>
            </w:pPr>
            <w:r>
              <w:rPr>
                <w:rFonts w:ascii="Arial" w:cs="Arial" w:eastAsia="Arial" w:hAnsi="Arial"/>
                <w:sz w:val="15"/>
                <w:szCs w:val="15"/>
                <w:color w:val="auto"/>
              </w:rPr>
              <w:t>Gross profit</w:t>
            </w:r>
          </w:p>
        </w:tc>
        <w:tc>
          <w:tcPr>
            <w:tcW w:w="14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5,544</w:t>
            </w:r>
          </w:p>
        </w:tc>
        <w:tc>
          <w:tcPr>
            <w:tcW w:w="0" w:type="dxa"/>
            <w:vAlign w:val="bottom"/>
          </w:tcPr>
          <w:p>
            <w:pPr>
              <w:spacing w:after="0"/>
              <w:rPr>
                <w:sz w:val="1"/>
                <w:szCs w:val="1"/>
                <w:color w:val="auto"/>
              </w:rPr>
            </w:pPr>
          </w:p>
        </w:tc>
      </w:tr>
      <w:tr>
        <w:trPr>
          <w:trHeight w:val="207"/>
        </w:trPr>
        <w:tc>
          <w:tcPr>
            <w:tcW w:w="8640" w:type="dxa"/>
            <w:vAlign w:val="bottom"/>
            <w:shd w:val="clear" w:color="auto" w:fill="DBDBDB"/>
          </w:tcPr>
          <w:p>
            <w:pPr>
              <w:ind w:left="20"/>
              <w:spacing w:after="0"/>
              <w:rPr>
                <w:sz w:val="20"/>
                <w:szCs w:val="20"/>
                <w:color w:val="auto"/>
              </w:rPr>
            </w:pPr>
            <w:r>
              <w:rPr>
                <w:rFonts w:ascii="Arial" w:cs="Arial" w:eastAsia="Arial" w:hAnsi="Arial"/>
                <w:sz w:val="15"/>
                <w:szCs w:val="15"/>
                <w:color w:val="auto"/>
              </w:rPr>
              <w:t>Expenses:</w:t>
            </w:r>
          </w:p>
        </w:tc>
        <w:tc>
          <w:tcPr>
            <w:tcW w:w="140" w:type="dxa"/>
            <w:vAlign w:val="bottom"/>
            <w:shd w:val="clear" w:color="auto" w:fill="DBDBDB"/>
          </w:tcPr>
          <w:p>
            <w:pPr>
              <w:spacing w:after="0"/>
              <w:rPr>
                <w:sz w:val="18"/>
                <w:szCs w:val="18"/>
                <w:color w:val="auto"/>
              </w:rPr>
            </w:pPr>
          </w:p>
        </w:tc>
        <w:tc>
          <w:tcPr>
            <w:tcW w:w="24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640" w:type="dxa"/>
            <w:vAlign w:val="bottom"/>
          </w:tcPr>
          <w:p>
            <w:pPr>
              <w:ind w:left="220"/>
              <w:spacing w:after="0"/>
              <w:rPr>
                <w:sz w:val="20"/>
                <w:szCs w:val="20"/>
                <w:color w:val="auto"/>
              </w:rPr>
            </w:pPr>
            <w:r>
              <w:rPr>
                <w:rFonts w:ascii="Arial" w:cs="Arial" w:eastAsia="Arial" w:hAnsi="Arial"/>
                <w:sz w:val="15"/>
                <w:szCs w:val="15"/>
                <w:color w:val="auto"/>
              </w:rPr>
              <w:t>Selling, general and administrative</w:t>
            </w:r>
          </w:p>
        </w:tc>
        <w:tc>
          <w:tcPr>
            <w:tcW w:w="14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1,486</w:t>
            </w:r>
          </w:p>
        </w:tc>
        <w:tc>
          <w:tcPr>
            <w:tcW w:w="0" w:type="dxa"/>
            <w:vAlign w:val="bottom"/>
          </w:tcPr>
          <w:p>
            <w:pPr>
              <w:spacing w:after="0"/>
              <w:rPr>
                <w:sz w:val="1"/>
                <w:szCs w:val="1"/>
                <w:color w:val="auto"/>
              </w:rPr>
            </w:pPr>
          </w:p>
        </w:tc>
      </w:tr>
      <w:tr>
        <w:trPr>
          <w:trHeight w:val="207"/>
        </w:trPr>
        <w:tc>
          <w:tcPr>
            <w:tcW w:w="86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income, net</w:t>
            </w:r>
          </w:p>
        </w:tc>
        <w:tc>
          <w:tcPr>
            <w:tcW w:w="140" w:type="dxa"/>
            <w:vAlign w:val="bottom"/>
            <w:tcBorders>
              <w:bottom w:val="single" w:sz="8" w:color="auto"/>
            </w:tcBorders>
            <w:shd w:val="clear" w:color="auto" w:fill="DBDBDB"/>
          </w:tcPr>
          <w:p>
            <w:pPr>
              <w:spacing w:after="0"/>
              <w:rPr>
                <w:sz w:val="18"/>
                <w:szCs w:val="18"/>
                <w:color w:val="auto"/>
              </w:rPr>
            </w:pPr>
          </w:p>
        </w:tc>
        <w:tc>
          <w:tcPr>
            <w:tcW w:w="2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8"/>
        </w:trPr>
        <w:tc>
          <w:tcPr>
            <w:tcW w:w="8640" w:type="dxa"/>
            <w:vAlign w:val="bottom"/>
          </w:tcPr>
          <w:p>
            <w:pPr>
              <w:ind w:left="440"/>
              <w:spacing w:after="0"/>
              <w:rPr>
                <w:sz w:val="20"/>
                <w:szCs w:val="20"/>
                <w:color w:val="auto"/>
              </w:rPr>
            </w:pPr>
            <w:r>
              <w:rPr>
                <w:rFonts w:ascii="Arial" w:cs="Arial" w:eastAsia="Arial" w:hAnsi="Arial"/>
                <w:sz w:val="15"/>
                <w:szCs w:val="15"/>
                <w:color w:val="auto"/>
              </w:rPr>
              <w:t>Operating income</w:t>
            </w:r>
          </w:p>
        </w:tc>
        <w:tc>
          <w:tcPr>
            <w:tcW w:w="14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4,059</w:t>
            </w:r>
          </w:p>
        </w:tc>
        <w:tc>
          <w:tcPr>
            <w:tcW w:w="0" w:type="dxa"/>
            <w:vAlign w:val="bottom"/>
          </w:tcPr>
          <w:p>
            <w:pPr>
              <w:spacing w:after="0"/>
              <w:rPr>
                <w:sz w:val="1"/>
                <w:szCs w:val="1"/>
                <w:color w:val="auto"/>
              </w:rPr>
            </w:pPr>
          </w:p>
        </w:tc>
      </w:tr>
      <w:tr>
        <w:trPr>
          <w:trHeight w:val="207"/>
        </w:trPr>
        <w:tc>
          <w:tcPr>
            <w:tcW w:w="86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140" w:type="dxa"/>
            <w:vAlign w:val="bottom"/>
            <w:tcBorders>
              <w:bottom w:val="single" w:sz="8" w:color="auto"/>
            </w:tcBorders>
            <w:shd w:val="clear" w:color="auto" w:fill="DBDBDB"/>
          </w:tcPr>
          <w:p>
            <w:pPr>
              <w:spacing w:after="0"/>
              <w:rPr>
                <w:sz w:val="18"/>
                <w:szCs w:val="18"/>
                <w:color w:val="auto"/>
              </w:rPr>
            </w:pPr>
          </w:p>
        </w:tc>
        <w:tc>
          <w:tcPr>
            <w:tcW w:w="2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98"/>
        </w:trPr>
        <w:tc>
          <w:tcPr>
            <w:tcW w:w="8640" w:type="dxa"/>
            <w:vAlign w:val="bottom"/>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14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5"/>
                <w:szCs w:val="15"/>
                <w:color w:val="auto"/>
              </w:rPr>
              <w:t>4,003</w:t>
            </w:r>
          </w:p>
        </w:tc>
        <w:tc>
          <w:tcPr>
            <w:tcW w:w="0" w:type="dxa"/>
            <w:vAlign w:val="bottom"/>
          </w:tcPr>
          <w:p>
            <w:pPr>
              <w:spacing w:after="0"/>
              <w:rPr>
                <w:sz w:val="1"/>
                <w:szCs w:val="1"/>
                <w:color w:val="auto"/>
              </w:rPr>
            </w:pPr>
          </w:p>
        </w:tc>
      </w:tr>
      <w:tr>
        <w:trPr>
          <w:trHeight w:val="207"/>
        </w:trPr>
        <w:tc>
          <w:tcPr>
            <w:tcW w:w="86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140" w:type="dxa"/>
            <w:vAlign w:val="bottom"/>
            <w:shd w:val="clear" w:color="auto" w:fill="DBDBDB"/>
          </w:tcPr>
          <w:p>
            <w:pPr>
              <w:spacing w:after="0"/>
              <w:rPr>
                <w:sz w:val="18"/>
                <w:szCs w:val="18"/>
                <w:color w:val="auto"/>
              </w:rPr>
            </w:pPr>
          </w:p>
        </w:tc>
        <w:tc>
          <w:tcPr>
            <w:tcW w:w="2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175,708</w:t>
            </w:r>
          </w:p>
        </w:tc>
        <w:tc>
          <w:tcPr>
            <w:tcW w:w="0" w:type="dxa"/>
            <w:vAlign w:val="bottom"/>
          </w:tcPr>
          <w:p>
            <w:pPr>
              <w:spacing w:after="0"/>
              <w:rPr>
                <w:sz w:val="1"/>
                <w:szCs w:val="1"/>
                <w:color w:val="auto"/>
              </w:rPr>
            </w:pPr>
          </w:p>
        </w:tc>
      </w:tr>
      <w:tr>
        <w:trPr>
          <w:trHeight w:val="205"/>
        </w:trPr>
        <w:tc>
          <w:tcPr>
            <w:tcW w:w="86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1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45,468</w:t>
            </w:r>
          </w:p>
        </w:tc>
        <w:tc>
          <w:tcPr>
            <w:tcW w:w="0" w:type="dxa"/>
            <w:vAlign w:val="bottom"/>
          </w:tcPr>
          <w:p>
            <w:pPr>
              <w:spacing w:after="0"/>
              <w:rPr>
                <w:sz w:val="1"/>
                <w:szCs w:val="1"/>
                <w:color w:val="auto"/>
              </w:rPr>
            </w:pPr>
          </w:p>
        </w:tc>
      </w:tr>
      <w:tr>
        <w:trPr>
          <w:trHeight w:val="224"/>
        </w:trPr>
        <w:tc>
          <w:tcPr>
            <w:tcW w:w="8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2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134,243</w:t>
            </w:r>
          </w:p>
        </w:tc>
        <w:tc>
          <w:tcPr>
            <w:tcW w:w="0" w:type="dxa"/>
            <w:vAlign w:val="bottom"/>
          </w:tcPr>
          <w:p>
            <w:pPr>
              <w:spacing w:after="0"/>
              <w:rPr>
                <w:sz w:val="1"/>
                <w:szCs w:val="1"/>
                <w:color w:val="auto"/>
              </w:rPr>
            </w:pPr>
          </w:p>
        </w:tc>
      </w:tr>
      <w:tr>
        <w:trPr>
          <w:trHeight w:val="20"/>
        </w:trPr>
        <w:tc>
          <w:tcPr>
            <w:tcW w:w="864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5"/>
                <w:szCs w:val="15"/>
                <w:color w:val="auto"/>
              </w:rPr>
              <w:t>Other selected data:</w:t>
            </w: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24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86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Adjusted EBITDA from discontinued operations</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2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4,124</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In January 2023, a $0.4 million adjustment was made to the gain on sale of the former Tank and Pump segment due to the final contractual working capital adjustment. Including this adjustment, the total gain on sale of discontinued operations was $176.1 million for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6"/>
        </w:trPr>
        <w:tc>
          <w:tcPr>
            <w:tcW w:w="558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4160" w:type="dxa"/>
            <w:vAlign w:val="bottom"/>
            <w:gridSpan w:val="6"/>
            <w:shd w:val="clear" w:color="auto" w:fill="1D2758"/>
          </w:tcPr>
          <w:p>
            <w:pPr>
              <w:jc w:val="center"/>
              <w:ind w:left="1003"/>
              <w:spacing w:after="0"/>
              <w:rPr>
                <w:sz w:val="20"/>
                <w:szCs w:val="20"/>
                <w:color w:val="auto"/>
              </w:rPr>
            </w:pPr>
            <w:r>
              <w:rPr>
                <w:rFonts w:ascii="Arial" w:cs="Arial" w:eastAsia="Arial" w:hAnsi="Arial"/>
                <w:sz w:val="15"/>
                <w:szCs w:val="15"/>
                <w:b w:val="1"/>
                <w:bCs w:val="1"/>
                <w:color w:val="FFFFFF"/>
              </w:rPr>
              <w:t>Three Months Ended March 31, 2022</w:t>
            </w:r>
          </w:p>
        </w:tc>
        <w:tc>
          <w:tcPr>
            <w:tcW w:w="128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20" w:type="dxa"/>
            <w:vAlign w:val="bottom"/>
            <w:shd w:val="clear" w:color="auto" w:fill="1D2758"/>
          </w:tcPr>
          <w:p>
            <w:pPr>
              <w:spacing w:after="0"/>
              <w:rPr>
                <w:sz w:val="17"/>
                <w:szCs w:val="17"/>
                <w:color w:val="auto"/>
              </w:rPr>
            </w:pPr>
          </w:p>
        </w:tc>
        <w:tc>
          <w:tcPr>
            <w:tcW w:w="1700" w:type="dxa"/>
            <w:vAlign w:val="bottom"/>
            <w:gridSpan w:val="2"/>
            <w:shd w:val="clear" w:color="auto" w:fill="1D2758"/>
          </w:tcPr>
          <w:p>
            <w:pPr>
              <w:ind w:left="120"/>
              <w:spacing w:after="0"/>
              <w:rPr>
                <w:sz w:val="20"/>
                <w:szCs w:val="20"/>
                <w:color w:val="auto"/>
              </w:rPr>
            </w:pPr>
            <w:r>
              <w:rPr>
                <w:rFonts w:ascii="Arial" w:cs="Arial" w:eastAsia="Arial" w:hAnsi="Arial"/>
                <w:sz w:val="15"/>
                <w:szCs w:val="15"/>
                <w:b w:val="1"/>
                <w:bCs w:val="1"/>
                <w:color w:val="FFFFFF"/>
              </w:rPr>
              <w:t>Tank and Pump</w:t>
            </w:r>
          </w:p>
        </w:tc>
        <w:tc>
          <w:tcPr>
            <w:tcW w:w="100" w:type="dxa"/>
            <w:vAlign w:val="bottom"/>
            <w:shd w:val="clear" w:color="auto" w:fill="1D2758"/>
          </w:tcPr>
          <w:p>
            <w:pPr>
              <w:spacing w:after="0"/>
              <w:rPr>
                <w:sz w:val="17"/>
                <w:szCs w:val="17"/>
                <w:color w:val="auto"/>
              </w:rPr>
            </w:pPr>
          </w:p>
        </w:tc>
        <w:tc>
          <w:tcPr>
            <w:tcW w:w="1820" w:type="dxa"/>
            <w:vAlign w:val="bottom"/>
            <w:gridSpan w:val="2"/>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rPr>
              <w:t>UK Storage Solutions</w:t>
            </w:r>
          </w:p>
        </w:tc>
        <w:tc>
          <w:tcPr>
            <w:tcW w:w="54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220" w:type="dxa"/>
            <w:vAlign w:val="bottom"/>
            <w:shd w:val="clear" w:color="auto" w:fill="DBDBDB"/>
          </w:tcPr>
          <w:p>
            <w:pPr>
              <w:spacing w:after="0"/>
              <w:rPr>
                <w:sz w:val="17"/>
                <w:szCs w:val="17"/>
                <w:color w:val="auto"/>
              </w:rPr>
            </w:pPr>
          </w:p>
        </w:tc>
        <w:tc>
          <w:tcPr>
            <w:tcW w:w="16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7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21,062</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20,571</w:t>
            </w: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jc w:val="right"/>
              <w:ind w:right="36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41,633</w:t>
            </w:r>
          </w:p>
        </w:tc>
        <w:tc>
          <w:tcPr>
            <w:tcW w:w="0" w:type="dxa"/>
            <w:vAlign w:val="bottom"/>
          </w:tcPr>
          <w:p>
            <w:pPr>
              <w:spacing w:after="0"/>
              <w:rPr>
                <w:sz w:val="1"/>
                <w:szCs w:val="1"/>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8,325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6,467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14,792</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682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128</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810</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220" w:type="dxa"/>
            <w:vAlign w:val="bottom"/>
            <w:tcBorders>
              <w:bottom w:val="single" w:sz="8" w:color="auto"/>
            </w:tcBorders>
            <w:shd w:val="clear" w:color="auto" w:fill="DBDBDB"/>
          </w:tcPr>
          <w:p>
            <w:pPr>
              <w:spacing w:after="0"/>
              <w:rPr>
                <w:sz w:val="18"/>
                <w:szCs w:val="18"/>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214</w:t>
            </w:r>
          </w:p>
        </w:tc>
        <w:tc>
          <w:tcPr>
            <w:tcW w:w="100" w:type="dxa"/>
            <w:vAlign w:val="bottom"/>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274</w:t>
            </w:r>
          </w:p>
        </w:tc>
        <w:tc>
          <w:tcPr>
            <w:tcW w:w="100" w:type="dxa"/>
            <w:vAlign w:val="bottom"/>
            <w:shd w:val="clear" w:color="auto" w:fill="DBDBDB"/>
          </w:tcPr>
          <w:p>
            <w:pPr>
              <w:spacing w:after="0"/>
              <w:rPr>
                <w:sz w:val="18"/>
                <w:szCs w:val="18"/>
                <w:color w:val="auto"/>
              </w:rPr>
            </w:pPr>
          </w:p>
        </w:tc>
        <w:tc>
          <w:tcPr>
            <w:tcW w:w="54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488</w:t>
            </w:r>
          </w:p>
        </w:tc>
        <w:tc>
          <w:tcPr>
            <w:tcW w:w="0" w:type="dxa"/>
            <w:vAlign w:val="bottom"/>
          </w:tcPr>
          <w:p>
            <w:pPr>
              <w:spacing w:after="0"/>
              <w:rPr>
                <w:sz w:val="1"/>
                <w:szCs w:val="1"/>
                <w:color w:val="auto"/>
              </w:rPr>
            </w:pPr>
          </w:p>
        </w:tc>
      </w:tr>
      <w:tr>
        <w:trPr>
          <w:trHeight w:val="198"/>
        </w:trPr>
        <w:tc>
          <w:tcPr>
            <w:tcW w:w="558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30,283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27,440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57,723</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4,307</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4,237</w:t>
            </w: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8,544</w:t>
            </w:r>
          </w:p>
        </w:tc>
        <w:tc>
          <w:tcPr>
            <w:tcW w:w="0" w:type="dxa"/>
            <w:vAlign w:val="bottom"/>
          </w:tcPr>
          <w:p>
            <w:pPr>
              <w:spacing w:after="0"/>
              <w:rPr>
                <w:sz w:val="1"/>
                <w:szCs w:val="1"/>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7,011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3,924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10,935</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507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570</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95</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157</w:t>
            </w: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252</w:t>
            </w:r>
          </w:p>
        </w:tc>
        <w:tc>
          <w:tcPr>
            <w:tcW w:w="0" w:type="dxa"/>
            <w:vAlign w:val="bottom"/>
          </w:tcPr>
          <w:p>
            <w:pPr>
              <w:spacing w:after="0"/>
              <w:rPr>
                <w:sz w:val="1"/>
                <w:szCs w:val="1"/>
                <w:color w:val="auto"/>
              </w:rPr>
            </w:pPr>
          </w:p>
        </w:tc>
      </w:tr>
      <w:tr>
        <w:trPr>
          <w:trHeight w:val="205"/>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3,530</w:t>
            </w:r>
          </w:p>
        </w:tc>
        <w:tc>
          <w:tcPr>
            <w:tcW w:w="10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1,138</w:t>
            </w:r>
          </w:p>
        </w:tc>
        <w:tc>
          <w:tcPr>
            <w:tcW w:w="100" w:type="dxa"/>
            <w:vAlign w:val="bottom"/>
            <w:tcBorders>
              <w:bottom w:val="single" w:sz="8" w:color="DBDBDB"/>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4,668</w:t>
            </w:r>
          </w:p>
        </w:tc>
        <w:tc>
          <w:tcPr>
            <w:tcW w:w="0" w:type="dxa"/>
            <w:vAlign w:val="bottom"/>
          </w:tcPr>
          <w:p>
            <w:pPr>
              <w:spacing w:after="0"/>
              <w:rPr>
                <w:sz w:val="1"/>
                <w:szCs w:val="1"/>
                <w:color w:val="auto"/>
              </w:rPr>
            </w:pPr>
          </w:p>
        </w:tc>
      </w:tr>
      <w:tr>
        <w:trPr>
          <w:trHeight w:val="200"/>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220" w:type="dxa"/>
            <w:vAlign w:val="bottom"/>
            <w:shd w:val="clear" w:color="auto" w:fill="DBDBDB"/>
          </w:tcPr>
          <w:p>
            <w:pPr>
              <w:spacing w:after="0"/>
              <w:rPr>
                <w:sz w:val="17"/>
                <w:szCs w:val="17"/>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14,833</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17,921</w:t>
            </w:r>
          </w:p>
        </w:tc>
        <w:tc>
          <w:tcPr>
            <w:tcW w:w="10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32,754</w:t>
            </w:r>
          </w:p>
        </w:tc>
        <w:tc>
          <w:tcPr>
            <w:tcW w:w="0" w:type="dxa"/>
            <w:vAlign w:val="bottom"/>
          </w:tcPr>
          <w:p>
            <w:pPr>
              <w:spacing w:after="0"/>
              <w:rPr>
                <w:sz w:val="1"/>
                <w:szCs w:val="1"/>
                <w:color w:val="auto"/>
              </w:rPr>
            </w:pPr>
          </w:p>
        </w:tc>
      </w:tr>
      <w:tr>
        <w:trPr>
          <w:trHeight w:val="205"/>
        </w:trPr>
        <w:tc>
          <w:tcPr>
            <w:tcW w:w="5580" w:type="dxa"/>
            <w:vAlign w:val="bottom"/>
          </w:tcPr>
          <w:p>
            <w:pPr>
              <w:ind w:left="20"/>
              <w:spacing w:after="0"/>
              <w:rPr>
                <w:sz w:val="20"/>
                <w:szCs w:val="20"/>
                <w:color w:val="auto"/>
              </w:rPr>
            </w:pPr>
            <w:r>
              <w:rPr>
                <w:rFonts w:ascii="Arial" w:cs="Arial" w:eastAsia="Arial" w:hAnsi="Arial"/>
                <w:sz w:val="15"/>
                <w:szCs w:val="15"/>
                <w:color w:val="auto"/>
              </w:rPr>
              <w:t>Expenses:</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22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6,212</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6,117</w:t>
            </w: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12,329</w:t>
            </w: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2,416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1,825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4,241</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220" w:type="dxa"/>
            <w:vAlign w:val="bottom"/>
            <w:shd w:val="clear" w:color="auto" w:fill="DBDBDB"/>
          </w:tcPr>
          <w:p>
            <w:pPr>
              <w:spacing w:after="0"/>
              <w:rPr>
                <w:sz w:val="18"/>
                <w:szCs w:val="18"/>
                <w:color w:val="auto"/>
              </w:rPr>
            </w:pPr>
          </w:p>
        </w:tc>
        <w:tc>
          <w:tcPr>
            <w:tcW w:w="17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5"/>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expense (income), net</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c>
          <w:tcPr>
            <w:tcW w:w="10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100" w:type="dxa"/>
            <w:vAlign w:val="bottom"/>
            <w:tcBorders>
              <w:bottom w:val="single" w:sz="8" w:color="DBDBDB"/>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00"/>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income</w:t>
            </w:r>
          </w:p>
        </w:tc>
        <w:tc>
          <w:tcPr>
            <w:tcW w:w="220" w:type="dxa"/>
            <w:vAlign w:val="bottom"/>
            <w:shd w:val="clear" w:color="auto" w:fill="DBDBDB"/>
          </w:tcPr>
          <w:p>
            <w:pPr>
              <w:spacing w:after="0"/>
              <w:rPr>
                <w:sz w:val="17"/>
                <w:szCs w:val="17"/>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6,186</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10,023</w:t>
            </w:r>
          </w:p>
        </w:tc>
        <w:tc>
          <w:tcPr>
            <w:tcW w:w="10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16,209</w:t>
            </w:r>
          </w:p>
        </w:tc>
        <w:tc>
          <w:tcPr>
            <w:tcW w:w="0" w:type="dxa"/>
            <w:vAlign w:val="bottom"/>
          </w:tcPr>
          <w:p>
            <w:pPr>
              <w:spacing w:after="0"/>
              <w:rPr>
                <w:sz w:val="1"/>
                <w:szCs w:val="1"/>
                <w:color w:val="auto"/>
              </w:rPr>
            </w:pPr>
          </w:p>
        </w:tc>
      </w:tr>
      <w:tr>
        <w:trPr>
          <w:trHeight w:val="205"/>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Interest expense</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w:t>
            </w:r>
          </w:p>
        </w:tc>
        <w:tc>
          <w:tcPr>
            <w:tcW w:w="10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244</w:t>
            </w:r>
          </w:p>
        </w:tc>
        <w:tc>
          <w:tcPr>
            <w:tcW w:w="100" w:type="dxa"/>
            <w:vAlign w:val="bottom"/>
            <w:tcBorders>
              <w:bottom w:val="single" w:sz="8" w:color="DBDBDB"/>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422</w:t>
            </w:r>
          </w:p>
        </w:tc>
        <w:tc>
          <w:tcPr>
            <w:tcW w:w="0" w:type="dxa"/>
            <w:vAlign w:val="bottom"/>
          </w:tcPr>
          <w:p>
            <w:pPr>
              <w:spacing w:after="0"/>
              <w:rPr>
                <w:sz w:val="1"/>
                <w:szCs w:val="1"/>
                <w:color w:val="auto"/>
              </w:rPr>
            </w:pPr>
          </w:p>
        </w:tc>
      </w:tr>
      <w:tr>
        <w:trPr>
          <w:trHeight w:val="200"/>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220" w:type="dxa"/>
            <w:vAlign w:val="bottom"/>
            <w:shd w:val="clear" w:color="auto" w:fill="DBDBDB"/>
          </w:tcPr>
          <w:p>
            <w:pPr>
              <w:spacing w:after="0"/>
              <w:rPr>
                <w:sz w:val="17"/>
                <w:szCs w:val="17"/>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6,008</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9,779</w:t>
            </w:r>
          </w:p>
        </w:tc>
        <w:tc>
          <w:tcPr>
            <w:tcW w:w="10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15,787</w:t>
            </w:r>
          </w:p>
        </w:tc>
        <w:tc>
          <w:tcPr>
            <w:tcW w:w="0" w:type="dxa"/>
            <w:vAlign w:val="bottom"/>
          </w:tcPr>
          <w:p>
            <w:pPr>
              <w:spacing w:after="0"/>
              <w:rPr>
                <w:sz w:val="1"/>
                <w:szCs w:val="1"/>
                <w:color w:val="auto"/>
              </w:rPr>
            </w:pPr>
          </w:p>
        </w:tc>
      </w:tr>
      <w:tr>
        <w:trPr>
          <w:trHeight w:val="205"/>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1,513</w:t>
            </w:r>
          </w:p>
        </w:tc>
        <w:tc>
          <w:tcPr>
            <w:tcW w:w="10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2,151</w:t>
            </w:r>
          </w:p>
        </w:tc>
        <w:tc>
          <w:tcPr>
            <w:tcW w:w="100" w:type="dxa"/>
            <w:vAlign w:val="bottom"/>
            <w:tcBorders>
              <w:bottom w:val="single" w:sz="8" w:color="DBDBDB"/>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3,664</w:t>
            </w:r>
          </w:p>
        </w:tc>
        <w:tc>
          <w:tcPr>
            <w:tcW w:w="0" w:type="dxa"/>
            <w:vAlign w:val="bottom"/>
          </w:tcPr>
          <w:p>
            <w:pPr>
              <w:spacing w:after="0"/>
              <w:rPr>
                <w:sz w:val="1"/>
                <w:szCs w:val="1"/>
                <w:color w:val="auto"/>
              </w:rPr>
            </w:pPr>
          </w:p>
        </w:tc>
      </w:tr>
      <w:tr>
        <w:trPr>
          <w:trHeight w:val="224"/>
        </w:trPr>
        <w:tc>
          <w:tcPr>
            <w:tcW w:w="5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22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4,495</w:t>
            </w:r>
          </w:p>
        </w:tc>
        <w:tc>
          <w:tcPr>
            <w:tcW w:w="10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7,628</w:t>
            </w:r>
          </w:p>
        </w:tc>
        <w:tc>
          <w:tcPr>
            <w:tcW w:w="100" w:type="dxa"/>
            <w:vAlign w:val="bottom"/>
            <w:tcBorders>
              <w:bottom w:val="single" w:sz="8" w:color="DBDBDB"/>
            </w:tcBorders>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jc w:val="right"/>
              <w:ind w:right="36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12,123</w:t>
            </w:r>
          </w:p>
        </w:tc>
        <w:tc>
          <w:tcPr>
            <w:tcW w:w="0" w:type="dxa"/>
            <w:vAlign w:val="bottom"/>
          </w:tcPr>
          <w:p>
            <w:pPr>
              <w:spacing w:after="0"/>
              <w:rPr>
                <w:sz w:val="1"/>
                <w:szCs w:val="1"/>
                <w:color w:val="auto"/>
              </w:rPr>
            </w:pPr>
          </w:p>
        </w:tc>
      </w:tr>
      <w:tr>
        <w:trPr>
          <w:trHeight w:val="20"/>
        </w:trPr>
        <w:tc>
          <w:tcPr>
            <w:tcW w:w="558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5"/>
                <w:szCs w:val="15"/>
                <w:color w:val="auto"/>
              </w:rPr>
              <w:t>Other selected data:</w:t>
            </w: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5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Adjusted EBITDA from discontinued operations</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11,506</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12,544</w:t>
            </w: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jc w:val="right"/>
              <w:ind w:right="36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24,050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6"/>
        </w:trPr>
        <w:tc>
          <w:tcPr>
            <w:tcW w:w="906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900" w:type="dxa"/>
            <w:vAlign w:val="bottom"/>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December 31, 2022</w:t>
            </w:r>
          </w:p>
        </w:tc>
      </w:tr>
      <w:tr>
        <w:trPr>
          <w:trHeight w:val="206"/>
        </w:trPr>
        <w:tc>
          <w:tcPr>
            <w:tcW w:w="90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0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900" w:type="dxa"/>
            <w:vAlign w:val="bottom"/>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UK Storage Solutions</w:t>
            </w:r>
          </w:p>
        </w:tc>
      </w:tr>
      <w:tr>
        <w:trPr>
          <w:trHeight w:val="206"/>
        </w:trPr>
        <w:tc>
          <w:tcPr>
            <w:tcW w:w="9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Assets</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900" w:type="dxa"/>
            <w:vAlign w:val="bottom"/>
            <w:shd w:val="clear" w:color="auto" w:fill="DBDBDB"/>
          </w:tcPr>
          <w:p>
            <w:pPr>
              <w:spacing w:after="0"/>
              <w:rPr>
                <w:sz w:val="17"/>
                <w:szCs w:val="17"/>
                <w:color w:val="auto"/>
              </w:rPr>
            </w:pPr>
          </w:p>
        </w:tc>
      </w:tr>
      <w:tr>
        <w:trPr>
          <w:trHeight w:val="205"/>
        </w:trPr>
        <w:tc>
          <w:tcPr>
            <w:tcW w:w="9060" w:type="dxa"/>
            <w:vAlign w:val="bottom"/>
          </w:tcPr>
          <w:p>
            <w:pPr>
              <w:ind w:left="220"/>
              <w:spacing w:after="0"/>
              <w:rPr>
                <w:sz w:val="20"/>
                <w:szCs w:val="20"/>
                <w:color w:val="auto"/>
              </w:rPr>
            </w:pPr>
            <w:r>
              <w:rPr>
                <w:rFonts w:ascii="Arial" w:cs="Arial" w:eastAsia="Arial" w:hAnsi="Arial"/>
                <w:sz w:val="15"/>
                <w:szCs w:val="15"/>
                <w:color w:val="auto"/>
              </w:rPr>
              <w:t>Cash and cash equivalents</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900" w:type="dxa"/>
            <w:vAlign w:val="bottom"/>
          </w:tcPr>
          <w:p>
            <w:pPr>
              <w:jc w:val="right"/>
              <w:spacing w:after="0"/>
              <w:rPr>
                <w:sz w:val="20"/>
                <w:szCs w:val="20"/>
                <w:color w:val="auto"/>
              </w:rPr>
            </w:pPr>
            <w:r>
              <w:rPr>
                <w:rFonts w:ascii="Arial" w:cs="Arial" w:eastAsia="Arial" w:hAnsi="Arial"/>
                <w:sz w:val="15"/>
                <w:szCs w:val="15"/>
                <w:color w:val="auto"/>
              </w:rPr>
              <w:t>10,384</w:t>
            </w:r>
          </w:p>
        </w:tc>
      </w:tr>
      <w:tr>
        <w:trPr>
          <w:trHeight w:val="207"/>
        </w:trPr>
        <w:tc>
          <w:tcPr>
            <w:tcW w:w="9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Trade receivables, net of allowances for doubtful accounts of $300</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15,991</w:t>
            </w:r>
          </w:p>
        </w:tc>
      </w:tr>
      <w:tr>
        <w:trPr>
          <w:trHeight w:val="205"/>
        </w:trPr>
        <w:tc>
          <w:tcPr>
            <w:tcW w:w="9060" w:type="dxa"/>
            <w:vAlign w:val="bottom"/>
          </w:tcPr>
          <w:p>
            <w:pPr>
              <w:ind w:left="220"/>
              <w:spacing w:after="0"/>
              <w:rPr>
                <w:sz w:val="20"/>
                <w:szCs w:val="20"/>
                <w:color w:val="auto"/>
              </w:rPr>
            </w:pPr>
            <w:r>
              <w:rPr>
                <w:rFonts w:ascii="Arial" w:cs="Arial" w:eastAsia="Arial" w:hAnsi="Arial"/>
                <w:sz w:val="15"/>
                <w:szCs w:val="15"/>
                <w:color w:val="auto"/>
              </w:rPr>
              <w:t>Inventories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3,058</w:t>
            </w:r>
          </w:p>
        </w:tc>
      </w:tr>
      <w:tr>
        <w:trPr>
          <w:trHeight w:val="207"/>
        </w:trPr>
        <w:tc>
          <w:tcPr>
            <w:tcW w:w="9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1,787</w:t>
            </w:r>
          </w:p>
        </w:tc>
      </w:tr>
      <w:tr>
        <w:trPr>
          <w:trHeight w:val="205"/>
        </w:trPr>
        <w:tc>
          <w:tcPr>
            <w:tcW w:w="9060" w:type="dxa"/>
            <w:vAlign w:val="bottom"/>
          </w:tcPr>
          <w:p>
            <w:pPr>
              <w:ind w:left="220"/>
              <w:spacing w:after="0"/>
              <w:rPr>
                <w:sz w:val="20"/>
                <w:szCs w:val="20"/>
                <w:color w:val="auto"/>
              </w:rPr>
            </w:pPr>
            <w:r>
              <w:rPr>
                <w:rFonts w:ascii="Arial" w:cs="Arial" w:eastAsia="Arial" w:hAnsi="Arial"/>
                <w:sz w:val="15"/>
                <w:szCs w:val="15"/>
                <w:color w:val="auto"/>
              </w:rPr>
              <w:t>Rental equipment, net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165,853</w:t>
            </w:r>
          </w:p>
        </w:tc>
      </w:tr>
      <w:tr>
        <w:trPr>
          <w:trHeight w:val="207"/>
        </w:trPr>
        <w:tc>
          <w:tcPr>
            <w:tcW w:w="9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Property, plant and equipment, net</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20,645</w:t>
            </w:r>
          </w:p>
        </w:tc>
      </w:tr>
      <w:tr>
        <w:trPr>
          <w:trHeight w:val="205"/>
        </w:trPr>
        <w:tc>
          <w:tcPr>
            <w:tcW w:w="9060" w:type="dxa"/>
            <w:vAlign w:val="bottom"/>
          </w:tcPr>
          <w:p>
            <w:pPr>
              <w:ind w:left="220"/>
              <w:spacing w:after="0"/>
              <w:rPr>
                <w:sz w:val="20"/>
                <w:szCs w:val="20"/>
                <w:color w:val="auto"/>
              </w:rPr>
            </w:pPr>
            <w:r>
              <w:rPr>
                <w:rFonts w:ascii="Arial" w:cs="Arial" w:eastAsia="Arial" w:hAnsi="Arial"/>
                <w:sz w:val="15"/>
                <w:szCs w:val="15"/>
                <w:color w:val="auto"/>
              </w:rPr>
              <w:t>Operating lease assets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15,134</w:t>
            </w:r>
          </w:p>
        </w:tc>
      </w:tr>
      <w:tr>
        <w:trPr>
          <w:trHeight w:val="207"/>
        </w:trPr>
        <w:tc>
          <w:tcPr>
            <w:tcW w:w="9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Goodwill</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58,144</w:t>
            </w:r>
          </w:p>
        </w:tc>
      </w:tr>
      <w:tr>
        <w:trPr>
          <w:trHeight w:val="205"/>
        </w:trPr>
        <w:tc>
          <w:tcPr>
            <w:tcW w:w="9060" w:type="dxa"/>
            <w:vAlign w:val="bottom"/>
          </w:tcPr>
          <w:p>
            <w:pPr>
              <w:ind w:left="220"/>
              <w:spacing w:after="0"/>
              <w:rPr>
                <w:sz w:val="20"/>
                <w:szCs w:val="20"/>
                <w:color w:val="auto"/>
              </w:rPr>
            </w:pPr>
            <w:r>
              <w:rPr>
                <w:rFonts w:ascii="Arial" w:cs="Arial" w:eastAsia="Arial" w:hAnsi="Arial"/>
                <w:sz w:val="15"/>
                <w:szCs w:val="15"/>
                <w:color w:val="auto"/>
              </w:rPr>
              <w:t>Intangible assets, net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6,414</w:t>
            </w:r>
          </w:p>
        </w:tc>
      </w:tr>
      <w:tr>
        <w:trPr>
          <w:trHeight w:val="206"/>
        </w:trPr>
        <w:tc>
          <w:tcPr>
            <w:tcW w:w="9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non-current assets</w:t>
            </w:r>
          </w:p>
        </w:tc>
        <w:tc>
          <w:tcPr>
            <w:tcW w:w="10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1,832</w:t>
            </w:r>
          </w:p>
        </w:tc>
      </w:tr>
      <w:tr>
        <w:trPr>
          <w:trHeight w:val="200"/>
        </w:trPr>
        <w:tc>
          <w:tcPr>
            <w:tcW w:w="9060" w:type="dxa"/>
            <w:vAlign w:val="bottom"/>
          </w:tcPr>
          <w:p>
            <w:pPr>
              <w:ind w:left="20"/>
              <w:spacing w:after="0"/>
              <w:rPr>
                <w:sz w:val="20"/>
                <w:szCs w:val="20"/>
                <w:color w:val="auto"/>
              </w:rPr>
            </w:pPr>
            <w:r>
              <w:rPr>
                <w:rFonts w:ascii="Arial" w:cs="Arial" w:eastAsia="Arial" w:hAnsi="Arial"/>
                <w:sz w:val="15"/>
                <w:szCs w:val="15"/>
                <w:color w:val="auto"/>
              </w:rPr>
              <w:t>Total assets held for sale</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900" w:type="dxa"/>
            <w:vAlign w:val="bottom"/>
          </w:tcPr>
          <w:p>
            <w:pPr>
              <w:jc w:val="right"/>
              <w:spacing w:after="0"/>
              <w:rPr>
                <w:sz w:val="20"/>
                <w:szCs w:val="20"/>
                <w:color w:val="auto"/>
              </w:rPr>
            </w:pPr>
            <w:r>
              <w:rPr>
                <w:rFonts w:ascii="Arial" w:cs="Arial" w:eastAsia="Arial" w:hAnsi="Arial"/>
                <w:sz w:val="15"/>
                <w:szCs w:val="15"/>
                <w:color w:val="auto"/>
              </w:rPr>
              <w:t>299,242</w:t>
            </w:r>
          </w:p>
        </w:tc>
      </w:tr>
      <w:tr>
        <w:trPr>
          <w:trHeight w:val="20"/>
        </w:trPr>
        <w:tc>
          <w:tcPr>
            <w:tcW w:w="90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9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Liabilities</w:t>
            </w:r>
          </w:p>
        </w:tc>
        <w:tc>
          <w:tcPr>
            <w:tcW w:w="1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900" w:type="dxa"/>
            <w:vAlign w:val="bottom"/>
            <w:shd w:val="clear" w:color="auto" w:fill="DBDBDB"/>
          </w:tcPr>
          <w:p>
            <w:pPr>
              <w:spacing w:after="0"/>
              <w:rPr>
                <w:sz w:val="14"/>
                <w:szCs w:val="14"/>
                <w:color w:val="auto"/>
              </w:rPr>
            </w:pPr>
          </w:p>
        </w:tc>
      </w:tr>
      <w:tr>
        <w:trPr>
          <w:trHeight w:val="205"/>
        </w:trPr>
        <w:tc>
          <w:tcPr>
            <w:tcW w:w="9060" w:type="dxa"/>
            <w:vAlign w:val="bottom"/>
          </w:tcPr>
          <w:p>
            <w:pPr>
              <w:ind w:left="220"/>
              <w:spacing w:after="0"/>
              <w:rPr>
                <w:sz w:val="20"/>
                <w:szCs w:val="20"/>
                <w:color w:val="auto"/>
              </w:rPr>
            </w:pPr>
            <w:r>
              <w:rPr>
                <w:rFonts w:ascii="Arial" w:cs="Arial" w:eastAsia="Arial" w:hAnsi="Arial"/>
                <w:sz w:val="15"/>
                <w:szCs w:val="15"/>
                <w:color w:val="auto"/>
              </w:rPr>
              <w:t>Accounts payable</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900" w:type="dxa"/>
            <w:vAlign w:val="bottom"/>
          </w:tcPr>
          <w:p>
            <w:pPr>
              <w:jc w:val="right"/>
              <w:spacing w:after="0"/>
              <w:rPr>
                <w:sz w:val="20"/>
                <w:szCs w:val="20"/>
                <w:color w:val="auto"/>
              </w:rPr>
            </w:pPr>
            <w:r>
              <w:rPr>
                <w:rFonts w:ascii="Arial" w:cs="Arial" w:eastAsia="Arial" w:hAnsi="Arial"/>
                <w:sz w:val="15"/>
                <w:szCs w:val="15"/>
                <w:color w:val="auto"/>
              </w:rPr>
              <w:t>4,515</w:t>
            </w:r>
          </w:p>
        </w:tc>
      </w:tr>
      <w:tr>
        <w:trPr>
          <w:trHeight w:val="207"/>
        </w:trPr>
        <w:tc>
          <w:tcPr>
            <w:tcW w:w="9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Accrued expenses</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3,273</w:t>
            </w:r>
          </w:p>
        </w:tc>
      </w:tr>
      <w:tr>
        <w:trPr>
          <w:trHeight w:val="205"/>
        </w:trPr>
        <w:tc>
          <w:tcPr>
            <w:tcW w:w="9060" w:type="dxa"/>
            <w:vAlign w:val="bottom"/>
          </w:tcPr>
          <w:p>
            <w:pPr>
              <w:ind w:left="220"/>
              <w:spacing w:after="0"/>
              <w:rPr>
                <w:sz w:val="20"/>
                <w:szCs w:val="20"/>
                <w:color w:val="auto"/>
              </w:rPr>
            </w:pPr>
            <w:r>
              <w:rPr>
                <w:rFonts w:ascii="Arial" w:cs="Arial" w:eastAsia="Arial" w:hAnsi="Arial"/>
                <w:sz w:val="15"/>
                <w:szCs w:val="15"/>
                <w:color w:val="auto"/>
              </w:rPr>
              <w:t>Accrued employee benefits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1,009</w:t>
            </w:r>
          </w:p>
        </w:tc>
      </w:tr>
      <w:tr>
        <w:trPr>
          <w:trHeight w:val="207"/>
        </w:trPr>
        <w:tc>
          <w:tcPr>
            <w:tcW w:w="9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Deferred revenue and customer deposits</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6,850</w:t>
            </w:r>
          </w:p>
        </w:tc>
      </w:tr>
      <w:tr>
        <w:trPr>
          <w:trHeight w:val="205"/>
        </w:trPr>
        <w:tc>
          <w:tcPr>
            <w:tcW w:w="9060" w:type="dxa"/>
            <w:vAlign w:val="bottom"/>
          </w:tcPr>
          <w:p>
            <w:pPr>
              <w:ind w:left="220"/>
              <w:spacing w:after="0"/>
              <w:rPr>
                <w:sz w:val="20"/>
                <w:szCs w:val="20"/>
                <w:color w:val="auto"/>
              </w:rPr>
            </w:pPr>
            <w:r>
              <w:rPr>
                <w:rFonts w:ascii="Arial" w:cs="Arial" w:eastAsia="Arial" w:hAnsi="Arial"/>
                <w:sz w:val="15"/>
                <w:szCs w:val="15"/>
                <w:color w:val="auto"/>
              </w:rPr>
              <w:t>Deferred tax liabilities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29,737</w:t>
            </w:r>
          </w:p>
        </w:tc>
      </w:tr>
      <w:tr>
        <w:trPr>
          <w:trHeight w:val="207"/>
        </w:trPr>
        <w:tc>
          <w:tcPr>
            <w:tcW w:w="9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Operating lease liabilities</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15,192</w:t>
            </w:r>
          </w:p>
        </w:tc>
      </w:tr>
      <w:tr>
        <w:trPr>
          <w:trHeight w:val="205"/>
        </w:trPr>
        <w:tc>
          <w:tcPr>
            <w:tcW w:w="90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non-current liabilities</w:t>
            </w:r>
          </w:p>
        </w:tc>
        <w:tc>
          <w:tcPr>
            <w:tcW w:w="10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6,278</w:t>
            </w:r>
          </w:p>
        </w:tc>
      </w:tr>
      <w:tr>
        <w:trPr>
          <w:trHeight w:val="220"/>
        </w:trPr>
        <w:tc>
          <w:tcPr>
            <w:tcW w:w="9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liabilities held for sale</w:t>
            </w: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5"/>
                <w:szCs w:val="15"/>
                <w:color w:val="auto"/>
              </w:rPr>
              <w:t>$</w:t>
            </w: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66,854</w:t>
            </w:r>
          </w:p>
        </w:tc>
      </w:tr>
      <w:tr>
        <w:trPr>
          <w:trHeight w:val="20"/>
        </w:trPr>
        <w:tc>
          <w:tcPr>
            <w:tcW w:w="90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For the three months ended March 31, 2022, significant operating and investing items related to the former Tank and Pump segment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4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60" w:type="dxa"/>
            <w:vAlign w:val="bottom"/>
            <w:shd w:val="clear" w:color="auto" w:fill="1D2758"/>
          </w:tcPr>
          <w:p>
            <w:pPr>
              <w:spacing w:after="0"/>
              <w:rPr>
                <w:sz w:val="17"/>
                <w:szCs w:val="17"/>
                <w:color w:val="auto"/>
              </w:rPr>
            </w:pPr>
          </w:p>
        </w:tc>
        <w:tc>
          <w:tcPr>
            <w:tcW w:w="2840" w:type="dxa"/>
            <w:vAlign w:val="bottom"/>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Three Months Ended March 31,</w:t>
            </w:r>
          </w:p>
        </w:tc>
        <w:tc>
          <w:tcPr>
            <w:tcW w:w="0" w:type="dxa"/>
            <w:vAlign w:val="bottom"/>
          </w:tcPr>
          <w:p>
            <w:pPr>
              <w:spacing w:after="0"/>
              <w:rPr>
                <w:sz w:val="1"/>
                <w:szCs w:val="1"/>
                <w:color w:val="auto"/>
              </w:rPr>
            </w:pPr>
          </w:p>
        </w:tc>
      </w:tr>
      <w:tr>
        <w:trPr>
          <w:trHeight w:val="213"/>
        </w:trPr>
        <w:tc>
          <w:tcPr>
            <w:tcW w:w="8140" w:type="dxa"/>
            <w:vAlign w:val="bottom"/>
            <w:vMerge w:val="continue"/>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2840" w:type="dxa"/>
            <w:vAlign w:val="bottom"/>
            <w:vMerge w:val="restart"/>
            <w:shd w:val="clear" w:color="auto" w:fill="1D2758"/>
          </w:tcPr>
          <w:p>
            <w:pPr>
              <w:jc w:val="right"/>
              <w:ind w:right="1303"/>
              <w:spacing w:after="0"/>
              <w:rPr>
                <w:sz w:val="20"/>
                <w:szCs w:val="20"/>
                <w:color w:val="auto"/>
              </w:rPr>
            </w:pPr>
            <w:r>
              <w:rPr>
                <w:rFonts w:ascii="Arial" w:cs="Arial" w:eastAsia="Arial" w:hAnsi="Arial"/>
                <w:sz w:val="15"/>
                <w:szCs w:val="15"/>
                <w:b w:val="1"/>
                <w:bCs w:val="1"/>
                <w:color w:val="FFFFFF"/>
              </w:rPr>
              <w:t>2022</w:t>
            </w:r>
          </w:p>
        </w:tc>
        <w:tc>
          <w:tcPr>
            <w:tcW w:w="0" w:type="dxa"/>
            <w:vAlign w:val="bottom"/>
          </w:tcPr>
          <w:p>
            <w:pPr>
              <w:spacing w:after="0"/>
              <w:rPr>
                <w:sz w:val="1"/>
                <w:szCs w:val="1"/>
                <w:color w:val="auto"/>
              </w:rPr>
            </w:pPr>
          </w:p>
        </w:tc>
      </w:tr>
      <w:tr>
        <w:trPr>
          <w:trHeight w:val="161"/>
        </w:trPr>
        <w:tc>
          <w:tcPr>
            <w:tcW w:w="8140" w:type="dxa"/>
            <w:vAlign w:val="bottom"/>
            <w:shd w:val="clear" w:color="auto" w:fill="1D2758"/>
          </w:tcPr>
          <w:p>
            <w:pPr>
              <w:spacing w:after="0"/>
              <w:rPr>
                <w:sz w:val="14"/>
                <w:szCs w:val="14"/>
                <w:color w:val="auto"/>
              </w:rPr>
            </w:pPr>
          </w:p>
        </w:tc>
        <w:tc>
          <w:tcPr>
            <w:tcW w:w="260" w:type="dxa"/>
            <w:vAlign w:val="bottom"/>
            <w:shd w:val="clear" w:color="auto" w:fill="1D2758"/>
          </w:tcPr>
          <w:p>
            <w:pPr>
              <w:spacing w:after="0"/>
              <w:rPr>
                <w:sz w:val="14"/>
                <w:szCs w:val="14"/>
                <w:color w:val="auto"/>
              </w:rPr>
            </w:pPr>
          </w:p>
        </w:tc>
        <w:tc>
          <w:tcPr>
            <w:tcW w:w="284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activities of discontinued operations:</w:t>
            </w:r>
          </w:p>
        </w:tc>
        <w:tc>
          <w:tcPr>
            <w:tcW w:w="260" w:type="dxa"/>
            <w:vAlign w:val="bottom"/>
            <w:shd w:val="clear" w:color="auto" w:fill="DBDBDB"/>
          </w:tcPr>
          <w:p>
            <w:pPr>
              <w:spacing w:after="0"/>
              <w:rPr>
                <w:sz w:val="17"/>
                <w:szCs w:val="17"/>
                <w:color w:val="auto"/>
              </w:rPr>
            </w:pPr>
          </w:p>
        </w:tc>
        <w:tc>
          <w:tcPr>
            <w:tcW w:w="28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14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2840" w:type="dxa"/>
            <w:vAlign w:val="bottom"/>
          </w:tcPr>
          <w:p>
            <w:pPr>
              <w:jc w:val="right"/>
              <w:spacing w:after="0"/>
              <w:rPr>
                <w:sz w:val="20"/>
                <w:szCs w:val="20"/>
                <w:color w:val="auto"/>
              </w:rPr>
            </w:pPr>
            <w:r>
              <w:rPr>
                <w:rFonts w:ascii="Arial" w:cs="Arial" w:eastAsia="Arial" w:hAnsi="Arial"/>
                <w:sz w:val="15"/>
                <w:szCs w:val="15"/>
                <w:color w:val="auto"/>
              </w:rPr>
              <w:t>5,946</w:t>
            </w:r>
          </w:p>
        </w:tc>
        <w:tc>
          <w:tcPr>
            <w:tcW w:w="0" w:type="dxa"/>
            <w:vAlign w:val="bottom"/>
          </w:tcPr>
          <w:p>
            <w:pPr>
              <w:spacing w:after="0"/>
              <w:rPr>
                <w:sz w:val="1"/>
                <w:szCs w:val="1"/>
                <w:color w:val="auto"/>
              </w:rPr>
            </w:pPr>
          </w:p>
        </w:tc>
      </w:tr>
      <w:tr>
        <w:trPr>
          <w:trHeight w:val="207"/>
        </w:trPr>
        <w:tc>
          <w:tcPr>
            <w:tcW w:w="8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Investing activities of discontinued operations:</w:t>
            </w:r>
          </w:p>
        </w:tc>
        <w:tc>
          <w:tcPr>
            <w:tcW w:w="260" w:type="dxa"/>
            <w:vAlign w:val="bottom"/>
            <w:shd w:val="clear" w:color="auto" w:fill="DBDBDB"/>
          </w:tcPr>
          <w:p>
            <w:pPr>
              <w:spacing w:after="0"/>
              <w:rPr>
                <w:sz w:val="18"/>
                <w:szCs w:val="18"/>
                <w:color w:val="auto"/>
              </w:rPr>
            </w:pPr>
          </w:p>
        </w:tc>
        <w:tc>
          <w:tcPr>
            <w:tcW w:w="28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140" w:type="dxa"/>
            <w:vAlign w:val="bottom"/>
          </w:tcPr>
          <w:p>
            <w:pPr>
              <w:ind w:left="220"/>
              <w:spacing w:after="0"/>
              <w:rPr>
                <w:sz w:val="20"/>
                <w:szCs w:val="20"/>
                <w:color w:val="auto"/>
              </w:rPr>
            </w:pPr>
            <w:r>
              <w:rPr>
                <w:rFonts w:ascii="Arial" w:cs="Arial" w:eastAsia="Arial" w:hAnsi="Arial"/>
                <w:sz w:val="15"/>
                <w:szCs w:val="15"/>
                <w:color w:val="auto"/>
              </w:rPr>
              <w:t>Proceeds from sale of rental equipment</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2840" w:type="dxa"/>
            <w:vAlign w:val="bottom"/>
          </w:tcPr>
          <w:p>
            <w:pPr>
              <w:jc w:val="right"/>
              <w:spacing w:after="0"/>
              <w:rPr>
                <w:sz w:val="20"/>
                <w:szCs w:val="20"/>
                <w:color w:val="auto"/>
              </w:rPr>
            </w:pPr>
            <w:r>
              <w:rPr>
                <w:rFonts w:ascii="Arial" w:cs="Arial" w:eastAsia="Arial" w:hAnsi="Arial"/>
                <w:sz w:val="15"/>
                <w:szCs w:val="15"/>
                <w:color w:val="auto"/>
              </w:rPr>
              <w:t>214</w:t>
            </w:r>
          </w:p>
        </w:tc>
        <w:tc>
          <w:tcPr>
            <w:tcW w:w="0" w:type="dxa"/>
            <w:vAlign w:val="bottom"/>
          </w:tcPr>
          <w:p>
            <w:pPr>
              <w:spacing w:after="0"/>
              <w:rPr>
                <w:sz w:val="1"/>
                <w:szCs w:val="1"/>
                <w:color w:val="auto"/>
              </w:rPr>
            </w:pPr>
          </w:p>
        </w:tc>
      </w:tr>
      <w:tr>
        <w:trPr>
          <w:trHeight w:val="207"/>
        </w:trPr>
        <w:tc>
          <w:tcPr>
            <w:tcW w:w="81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28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(7,873)</w:t>
            </w:r>
          </w:p>
        </w:tc>
        <w:tc>
          <w:tcPr>
            <w:tcW w:w="0" w:type="dxa"/>
            <w:vAlign w:val="bottom"/>
          </w:tcPr>
          <w:p>
            <w:pPr>
              <w:spacing w:after="0"/>
              <w:rPr>
                <w:sz w:val="1"/>
                <w:szCs w:val="1"/>
                <w:color w:val="auto"/>
              </w:rPr>
            </w:pPr>
          </w:p>
        </w:tc>
      </w:tr>
      <w:tr>
        <w:trPr>
          <w:trHeight w:val="205"/>
        </w:trPr>
        <w:tc>
          <w:tcPr>
            <w:tcW w:w="8140" w:type="dxa"/>
            <w:vAlign w:val="bottom"/>
          </w:tcPr>
          <w:p>
            <w:pPr>
              <w:ind w:left="220"/>
              <w:spacing w:after="0"/>
              <w:rPr>
                <w:sz w:val="20"/>
                <w:szCs w:val="20"/>
                <w:color w:val="auto"/>
              </w:rPr>
            </w:pPr>
            <w:r>
              <w:rPr>
                <w:rFonts w:ascii="Arial" w:cs="Arial" w:eastAsia="Arial" w:hAnsi="Arial"/>
                <w:sz w:val="15"/>
                <w:szCs w:val="15"/>
                <w:color w:val="auto"/>
              </w:rPr>
              <w:t>Purchases of property, plant and equipment</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2840" w:type="dxa"/>
            <w:vAlign w:val="bottom"/>
          </w:tcPr>
          <w:p>
            <w:pPr>
              <w:jc w:val="right"/>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11" w:name="page12"/>
    <w:bookmarkEnd w:id="11"/>
    <w:p>
      <w:pPr>
        <w:jc w:val="both"/>
        <w:ind w:firstLine="619"/>
        <w:spacing w:after="0" w:line="294" w:lineRule="auto"/>
        <w:rPr>
          <w:sz w:val="20"/>
          <w:szCs w:val="20"/>
          <w:color w:val="auto"/>
        </w:rPr>
      </w:pPr>
      <w:r>
        <w:rPr>
          <w:rFonts w:ascii="Arial" w:cs="Arial" w:eastAsia="Arial" w:hAnsi="Arial"/>
          <w:sz w:val="15"/>
          <w:szCs w:val="15"/>
          <w:color w:val="auto"/>
        </w:rPr>
        <w:t>The following table presents a reconciliation of Income from discontinued operations before income tax to Adjusted EBITDA from discontinued operations for the former Tank and Pump segment for the three months ended March 31, 2022. See Note 16 for further information regarding Adjusted EBITDA.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00" w:type="dxa"/>
            <w:vAlign w:val="bottom"/>
            <w:shd w:val="clear" w:color="auto" w:fill="1D2758"/>
          </w:tcPr>
          <w:p>
            <w:pPr>
              <w:spacing w:after="0"/>
              <w:rPr>
                <w:sz w:val="17"/>
                <w:szCs w:val="17"/>
                <w:color w:val="auto"/>
              </w:rPr>
            </w:pPr>
          </w:p>
        </w:tc>
        <w:tc>
          <w:tcPr>
            <w:tcW w:w="74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2720" w:type="dxa"/>
            <w:vAlign w:val="bottom"/>
            <w:gridSpan w:val="3"/>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Three Months Ended March 31,</w:t>
            </w:r>
          </w:p>
        </w:tc>
        <w:tc>
          <w:tcPr>
            <w:tcW w:w="0" w:type="dxa"/>
            <w:vAlign w:val="bottom"/>
          </w:tcPr>
          <w:p>
            <w:pPr>
              <w:spacing w:after="0"/>
              <w:rPr>
                <w:sz w:val="1"/>
                <w:szCs w:val="1"/>
                <w:color w:val="auto"/>
              </w:rPr>
            </w:pPr>
          </w:p>
        </w:tc>
      </w:tr>
      <w:tr>
        <w:trPr>
          <w:trHeight w:val="206"/>
        </w:trPr>
        <w:tc>
          <w:tcPr>
            <w:tcW w:w="74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74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80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2022</w:t>
            </w:r>
          </w:p>
        </w:tc>
        <w:tc>
          <w:tcPr>
            <w:tcW w:w="6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1120" w:type="dxa"/>
            <w:vAlign w:val="bottom"/>
            <w:gridSpan w:val="2"/>
            <w:shd w:val="clear" w:color="auto" w:fill="DBDBDB"/>
          </w:tcPr>
          <w:p>
            <w:pPr>
              <w:ind w:left="760"/>
              <w:spacing w:after="0"/>
              <w:rPr>
                <w:sz w:val="20"/>
                <w:szCs w:val="20"/>
                <w:color w:val="auto"/>
              </w:rPr>
            </w:pPr>
            <w:r>
              <w:rPr>
                <w:rFonts w:ascii="Arial" w:cs="Arial" w:eastAsia="Arial" w:hAnsi="Arial"/>
                <w:sz w:val="15"/>
                <w:szCs w:val="15"/>
                <w:color w:val="auto"/>
              </w:rPr>
              <w:t>$</w:t>
            </w:r>
          </w:p>
        </w:tc>
        <w:tc>
          <w:tcPr>
            <w:tcW w:w="80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4,495</w:t>
            </w:r>
          </w:p>
        </w:tc>
        <w:tc>
          <w:tcPr>
            <w:tcW w:w="0" w:type="dxa"/>
            <w:vAlign w:val="bottom"/>
          </w:tcPr>
          <w:p>
            <w:pPr>
              <w:spacing w:after="0"/>
              <w:rPr>
                <w:sz w:val="1"/>
                <w:szCs w:val="1"/>
                <w:color w:val="auto"/>
              </w:rPr>
            </w:pPr>
          </w:p>
        </w:tc>
      </w:tr>
      <w:tr>
        <w:trPr>
          <w:trHeight w:val="205"/>
        </w:trPr>
        <w:tc>
          <w:tcPr>
            <w:tcW w:w="74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Income tax expense from discontinued operations</w:t>
            </w:r>
          </w:p>
        </w:tc>
        <w:tc>
          <w:tcPr>
            <w:tcW w:w="74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1,513</w:t>
            </w:r>
          </w:p>
        </w:tc>
        <w:tc>
          <w:tcPr>
            <w:tcW w:w="0" w:type="dxa"/>
            <w:vAlign w:val="bottom"/>
          </w:tcPr>
          <w:p>
            <w:pPr>
              <w:spacing w:after="0"/>
              <w:rPr>
                <w:sz w:val="1"/>
                <w:szCs w:val="1"/>
                <w:color w:val="auto"/>
              </w:rPr>
            </w:pPr>
          </w:p>
        </w:tc>
      </w:tr>
      <w:tr>
        <w:trPr>
          <w:trHeight w:val="200"/>
        </w:trPr>
        <w:tc>
          <w:tcPr>
            <w:tcW w:w="740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 before income tax</w:t>
            </w:r>
          </w:p>
        </w:tc>
        <w:tc>
          <w:tcPr>
            <w:tcW w:w="74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6,008</w:t>
            </w:r>
          </w:p>
        </w:tc>
        <w:tc>
          <w:tcPr>
            <w:tcW w:w="0" w:type="dxa"/>
            <w:vAlign w:val="bottom"/>
          </w:tcPr>
          <w:p>
            <w:pPr>
              <w:spacing w:after="0"/>
              <w:rPr>
                <w:sz w:val="1"/>
                <w:szCs w:val="1"/>
                <w:color w:val="auto"/>
              </w:rPr>
            </w:pPr>
          </w:p>
        </w:tc>
      </w:tr>
      <w:tr>
        <w:trPr>
          <w:trHeight w:val="205"/>
        </w:trPr>
        <w:tc>
          <w:tcPr>
            <w:tcW w:w="740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207"/>
        </w:trPr>
        <w:tc>
          <w:tcPr>
            <w:tcW w:w="74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Depreciation and amortization</w:t>
            </w:r>
          </w:p>
        </w:tc>
        <w:tc>
          <w:tcPr>
            <w:tcW w:w="74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5,946</w:t>
            </w:r>
          </w:p>
        </w:tc>
        <w:tc>
          <w:tcPr>
            <w:tcW w:w="0" w:type="dxa"/>
            <w:vAlign w:val="bottom"/>
          </w:tcPr>
          <w:p>
            <w:pPr>
              <w:spacing w:after="0"/>
              <w:rPr>
                <w:sz w:val="1"/>
                <w:szCs w:val="1"/>
                <w:color w:val="auto"/>
              </w:rPr>
            </w:pPr>
          </w:p>
        </w:tc>
      </w:tr>
      <w:tr>
        <w:trPr>
          <w:trHeight w:val="205"/>
        </w:trPr>
        <w:tc>
          <w:tcPr>
            <w:tcW w:w="7400" w:type="dxa"/>
            <w:vAlign w:val="bottom"/>
          </w:tcPr>
          <w:p>
            <w:pPr>
              <w:ind w:left="220"/>
              <w:spacing w:after="0"/>
              <w:rPr>
                <w:sz w:val="20"/>
                <w:szCs w:val="20"/>
                <w:color w:val="auto"/>
              </w:rPr>
            </w:pPr>
            <w:r>
              <w:rPr>
                <w:rFonts w:ascii="Arial" w:cs="Arial" w:eastAsia="Arial" w:hAnsi="Arial"/>
                <w:sz w:val="15"/>
                <w:szCs w:val="15"/>
                <w:color w:val="auto"/>
              </w:rPr>
              <w:t>Stock compensation expense</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206"/>
        </w:trPr>
        <w:tc>
          <w:tcPr>
            <w:tcW w:w="74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w:t>
            </w:r>
          </w:p>
        </w:tc>
        <w:tc>
          <w:tcPr>
            <w:tcW w:w="740" w:type="dxa"/>
            <w:vAlign w:val="bottom"/>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80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(730)</w:t>
            </w:r>
          </w:p>
        </w:tc>
        <w:tc>
          <w:tcPr>
            <w:tcW w:w="0" w:type="dxa"/>
            <w:vAlign w:val="bottom"/>
          </w:tcPr>
          <w:p>
            <w:pPr>
              <w:spacing w:after="0"/>
              <w:rPr>
                <w:sz w:val="1"/>
                <w:szCs w:val="1"/>
                <w:color w:val="auto"/>
              </w:rPr>
            </w:pPr>
          </w:p>
        </w:tc>
      </w:tr>
      <w:tr>
        <w:trPr>
          <w:trHeight w:val="200"/>
        </w:trPr>
        <w:tc>
          <w:tcPr>
            <w:tcW w:w="7400" w:type="dxa"/>
            <w:vAlign w:val="bottom"/>
          </w:tcPr>
          <w:p>
            <w:pPr>
              <w:ind w:left="20"/>
              <w:spacing w:after="0"/>
              <w:rPr>
                <w:sz w:val="20"/>
                <w:szCs w:val="20"/>
                <w:color w:val="auto"/>
              </w:rPr>
            </w:pPr>
            <w:r>
              <w:rPr>
                <w:rFonts w:ascii="Arial" w:cs="Arial" w:eastAsia="Arial" w:hAnsi="Arial"/>
                <w:sz w:val="15"/>
                <w:szCs w:val="15"/>
                <w:color w:val="auto"/>
              </w:rPr>
              <w:t>Adjusted EBITDA from discontinued operations</w:t>
            </w:r>
          </w:p>
        </w:tc>
        <w:tc>
          <w:tcPr>
            <w:tcW w:w="740" w:type="dxa"/>
            <w:vAlign w:val="bottom"/>
          </w:tcPr>
          <w:p>
            <w:pPr>
              <w:spacing w:after="0"/>
              <w:rPr>
                <w:sz w:val="17"/>
                <w:szCs w:val="17"/>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11,506</w:t>
            </w:r>
          </w:p>
        </w:tc>
        <w:tc>
          <w:tcPr>
            <w:tcW w:w="0" w:type="dxa"/>
            <w:vAlign w:val="bottom"/>
          </w:tcPr>
          <w:p>
            <w:pPr>
              <w:spacing w:after="0"/>
              <w:rPr>
                <w:sz w:val="1"/>
                <w:szCs w:val="1"/>
                <w:color w:val="auto"/>
              </w:rPr>
            </w:pPr>
          </w:p>
        </w:tc>
      </w:tr>
      <w:tr>
        <w:trPr>
          <w:trHeight w:val="20"/>
        </w:trPr>
        <w:tc>
          <w:tcPr>
            <w:tcW w:w="8140" w:type="dxa"/>
            <w:vAlign w:val="bottom"/>
            <w:gridSpan w:val="2"/>
          </w:tcPr>
          <w:p>
            <w:pPr>
              <w:spacing w:after="0" w:line="20" w:lineRule="exact"/>
              <w:rPr>
                <w:sz w:val="1"/>
                <w:szCs w:val="1"/>
                <w:color w:val="auto"/>
              </w:rPr>
            </w:pPr>
          </w:p>
        </w:tc>
        <w:tc>
          <w:tcPr>
            <w:tcW w:w="310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1240" w:type="dxa"/>
            <w:vAlign w:val="bottom"/>
            <w:gridSpan w:val="6"/>
          </w:tcPr>
          <w:p>
            <w:pPr>
              <w:ind w:left="620"/>
              <w:spacing w:after="0"/>
              <w:rPr>
                <w:sz w:val="20"/>
                <w:szCs w:val="20"/>
                <w:color w:val="auto"/>
              </w:rPr>
            </w:pPr>
            <w:r>
              <w:rPr>
                <w:rFonts w:ascii="Arial" w:cs="Arial" w:eastAsia="Arial" w:hAnsi="Arial"/>
                <w:sz w:val="15"/>
                <w:szCs w:val="15"/>
                <w:color w:val="auto"/>
              </w:rPr>
              <w:t>For the three months ended March 31, 2023 and 2022, significant operating and investing items related to the former UK Storage Solutions segment were</w:t>
            </w:r>
          </w:p>
        </w:tc>
        <w:tc>
          <w:tcPr>
            <w:tcW w:w="0" w:type="dxa"/>
            <w:vAlign w:val="bottom"/>
          </w:tcPr>
          <w:p>
            <w:pPr>
              <w:spacing w:after="0"/>
              <w:rPr>
                <w:sz w:val="1"/>
                <w:szCs w:val="1"/>
                <w:color w:val="auto"/>
              </w:rPr>
            </w:pPr>
          </w:p>
        </w:tc>
      </w:tr>
      <w:tr>
        <w:trPr>
          <w:trHeight w:val="204"/>
        </w:trPr>
        <w:tc>
          <w:tcPr>
            <w:tcW w:w="7400" w:type="dxa"/>
            <w:vAlign w:val="bottom"/>
          </w:tcPr>
          <w:p>
            <w:pPr>
              <w:spacing w:after="0"/>
              <w:rPr>
                <w:sz w:val="20"/>
                <w:szCs w:val="20"/>
                <w:color w:val="auto"/>
              </w:rPr>
            </w:pPr>
            <w:r>
              <w:rPr>
                <w:rFonts w:ascii="Arial" w:cs="Arial" w:eastAsia="Arial" w:hAnsi="Arial"/>
                <w:sz w:val="15"/>
                <w:szCs w:val="15"/>
                <w:color w:val="auto"/>
              </w:rPr>
              <w:t>as follows:</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74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60" w:type="dxa"/>
            <w:vAlign w:val="bottom"/>
            <w:gridSpan w:val="3"/>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40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740" w:type="dxa"/>
            <w:vAlign w:val="bottom"/>
            <w:shd w:val="clear" w:color="auto" w:fill="1D2758"/>
          </w:tcPr>
          <w:p>
            <w:pPr>
              <w:spacing w:after="0"/>
              <w:rPr>
                <w:sz w:val="17"/>
                <w:szCs w:val="17"/>
                <w:color w:val="auto"/>
              </w:rPr>
            </w:pPr>
          </w:p>
        </w:tc>
        <w:tc>
          <w:tcPr>
            <w:tcW w:w="2460" w:type="dxa"/>
            <w:vAlign w:val="bottom"/>
            <w:gridSpan w:val="3"/>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Three Months Ended March 31,</w:t>
            </w:r>
          </w:p>
        </w:tc>
        <w:tc>
          <w:tcPr>
            <w:tcW w:w="6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00" w:type="dxa"/>
            <w:vAlign w:val="bottom"/>
            <w:vMerge w:val="continue"/>
            <w:shd w:val="clear" w:color="auto" w:fill="1D2758"/>
          </w:tcPr>
          <w:p>
            <w:pPr>
              <w:spacing w:after="0"/>
              <w:rPr>
                <w:sz w:val="18"/>
                <w:szCs w:val="18"/>
                <w:color w:val="auto"/>
              </w:rPr>
            </w:pPr>
          </w:p>
        </w:tc>
        <w:tc>
          <w:tcPr>
            <w:tcW w:w="1120" w:type="dxa"/>
            <w:vAlign w:val="bottom"/>
            <w:gridSpan w:val="2"/>
            <w:vMerge w:val="restart"/>
            <w:shd w:val="clear" w:color="auto" w:fill="1D2758"/>
          </w:tcPr>
          <w:p>
            <w:pPr>
              <w:ind w:left="760"/>
              <w:spacing w:after="0"/>
              <w:rPr>
                <w:sz w:val="20"/>
                <w:szCs w:val="20"/>
                <w:color w:val="auto"/>
              </w:rPr>
            </w:pPr>
            <w:r>
              <w:rPr>
                <w:rFonts w:ascii="Arial" w:cs="Arial" w:eastAsia="Arial" w:hAnsi="Arial"/>
                <w:sz w:val="15"/>
                <w:szCs w:val="15"/>
                <w:b w:val="1"/>
                <w:bCs w:val="1"/>
                <w:color w:val="FFFFFF"/>
              </w:rPr>
              <w:t>2023</w:t>
            </w:r>
          </w:p>
        </w:tc>
        <w:tc>
          <w:tcPr>
            <w:tcW w:w="800" w:type="dxa"/>
            <w:vAlign w:val="bottom"/>
            <w:shd w:val="clear" w:color="auto" w:fill="1D2758"/>
          </w:tcPr>
          <w:p>
            <w:pPr>
              <w:spacing w:after="0"/>
              <w:rPr>
                <w:sz w:val="18"/>
                <w:szCs w:val="18"/>
                <w:color w:val="auto"/>
              </w:rPr>
            </w:pPr>
          </w:p>
        </w:tc>
        <w:tc>
          <w:tcPr>
            <w:tcW w:w="1280" w:type="dxa"/>
            <w:vAlign w:val="bottom"/>
            <w:vMerge w:val="restart"/>
            <w:shd w:val="clear" w:color="auto" w:fill="1D2758"/>
          </w:tcPr>
          <w:p>
            <w:pPr>
              <w:jc w:val="right"/>
              <w:ind w:right="43"/>
              <w:spacing w:after="0"/>
              <w:rPr>
                <w:sz w:val="20"/>
                <w:szCs w:val="20"/>
                <w:color w:val="auto"/>
              </w:rPr>
            </w:pPr>
            <w:r>
              <w:rPr>
                <w:rFonts w:ascii="Arial" w:cs="Arial" w:eastAsia="Arial" w:hAnsi="Arial"/>
                <w:sz w:val="15"/>
                <w:szCs w:val="15"/>
                <w:b w:val="1"/>
                <w:bCs w:val="1"/>
                <w:color w:val="FFFFFF"/>
              </w:rPr>
              <w:t>2022</w:t>
            </w:r>
          </w:p>
        </w:tc>
        <w:tc>
          <w:tcPr>
            <w:tcW w:w="64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7400" w:type="dxa"/>
            <w:vAlign w:val="bottom"/>
            <w:shd w:val="clear" w:color="auto" w:fill="1D2758"/>
          </w:tcPr>
          <w:p>
            <w:pPr>
              <w:spacing w:after="0"/>
              <w:rPr>
                <w:sz w:val="14"/>
                <w:szCs w:val="14"/>
                <w:color w:val="auto"/>
              </w:rPr>
            </w:pPr>
          </w:p>
        </w:tc>
        <w:tc>
          <w:tcPr>
            <w:tcW w:w="1120" w:type="dxa"/>
            <w:vAlign w:val="bottom"/>
            <w:gridSpan w:val="2"/>
            <w:vMerge w:val="continue"/>
            <w:shd w:val="clear" w:color="auto" w:fill="1D2758"/>
          </w:tcPr>
          <w:p>
            <w:pPr>
              <w:spacing w:after="0"/>
              <w:rPr>
                <w:sz w:val="14"/>
                <w:szCs w:val="14"/>
                <w:color w:val="auto"/>
              </w:rPr>
            </w:pPr>
          </w:p>
        </w:tc>
        <w:tc>
          <w:tcPr>
            <w:tcW w:w="800" w:type="dxa"/>
            <w:vAlign w:val="bottom"/>
            <w:shd w:val="clear" w:color="auto" w:fill="1D2758"/>
          </w:tcPr>
          <w:p>
            <w:pPr>
              <w:spacing w:after="0"/>
              <w:rPr>
                <w:sz w:val="14"/>
                <w:szCs w:val="14"/>
                <w:color w:val="auto"/>
              </w:rPr>
            </w:pPr>
          </w:p>
        </w:tc>
        <w:tc>
          <w:tcPr>
            <w:tcW w:w="1280" w:type="dxa"/>
            <w:vAlign w:val="bottom"/>
            <w:vMerge w:val="continue"/>
            <w:shd w:val="clear" w:color="auto" w:fill="1D2758"/>
          </w:tcPr>
          <w:p>
            <w:pPr>
              <w:spacing w:after="0"/>
              <w:rPr>
                <w:sz w:val="14"/>
                <w:szCs w:val="14"/>
                <w:color w:val="auto"/>
              </w:rPr>
            </w:pPr>
          </w:p>
        </w:tc>
        <w:tc>
          <w:tcPr>
            <w:tcW w:w="64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40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activities of discontinued operations:</w:t>
            </w:r>
          </w:p>
        </w:tc>
        <w:tc>
          <w:tcPr>
            <w:tcW w:w="74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0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740" w:type="dxa"/>
            <w:vAlign w:val="bottom"/>
          </w:tcPr>
          <w:p>
            <w:pPr>
              <w:jc w:val="right"/>
              <w:ind w:right="563"/>
              <w:spacing w:after="0"/>
              <w:rPr>
                <w:sz w:val="20"/>
                <w:szCs w:val="20"/>
                <w:color w:val="auto"/>
              </w:rPr>
            </w:pPr>
            <w:r>
              <w:rPr>
                <w:rFonts w:ascii="Arial" w:cs="Arial" w:eastAsia="Arial" w:hAnsi="Arial"/>
                <w:sz w:val="15"/>
                <w:szCs w:val="15"/>
                <w:color w:val="auto"/>
                <w:w w:val="95"/>
              </w:rPr>
              <w:t>$</w:t>
            </w:r>
          </w:p>
        </w:tc>
        <w:tc>
          <w:tcPr>
            <w:tcW w:w="380" w:type="dxa"/>
            <w:vAlign w:val="bottom"/>
          </w:tcPr>
          <w:p>
            <w:pPr>
              <w:spacing w:after="0"/>
              <w:rPr>
                <w:sz w:val="17"/>
                <w:szCs w:val="17"/>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063"/>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2,963</w:t>
            </w:r>
          </w:p>
        </w:tc>
        <w:tc>
          <w:tcPr>
            <w:tcW w:w="0" w:type="dxa"/>
            <w:vAlign w:val="bottom"/>
          </w:tcPr>
          <w:p>
            <w:pPr>
              <w:spacing w:after="0"/>
              <w:rPr>
                <w:sz w:val="1"/>
                <w:szCs w:val="1"/>
                <w:color w:val="auto"/>
              </w:rPr>
            </w:pPr>
          </w:p>
        </w:tc>
      </w:tr>
      <w:tr>
        <w:trPr>
          <w:trHeight w:val="207"/>
        </w:trPr>
        <w:tc>
          <w:tcPr>
            <w:tcW w:w="740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Investing activities of discontinued operations:</w:t>
            </w:r>
          </w:p>
        </w:tc>
        <w:tc>
          <w:tcPr>
            <w:tcW w:w="74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400" w:type="dxa"/>
            <w:vAlign w:val="bottom"/>
          </w:tcPr>
          <w:p>
            <w:pPr>
              <w:ind w:left="220"/>
              <w:spacing w:after="0"/>
              <w:rPr>
                <w:sz w:val="20"/>
                <w:szCs w:val="20"/>
                <w:color w:val="auto"/>
              </w:rPr>
            </w:pPr>
            <w:r>
              <w:rPr>
                <w:rFonts w:ascii="Arial" w:cs="Arial" w:eastAsia="Arial" w:hAnsi="Arial"/>
                <w:sz w:val="15"/>
                <w:szCs w:val="15"/>
                <w:color w:val="auto"/>
              </w:rPr>
              <w:t>Proceeds from sale of rental equipment</w:t>
            </w:r>
          </w:p>
        </w:tc>
        <w:tc>
          <w:tcPr>
            <w:tcW w:w="740" w:type="dxa"/>
            <w:vAlign w:val="bottom"/>
          </w:tcPr>
          <w:p>
            <w:pPr>
              <w:jc w:val="right"/>
              <w:ind w:right="563"/>
              <w:spacing w:after="0"/>
              <w:rPr>
                <w:sz w:val="20"/>
                <w:szCs w:val="20"/>
                <w:color w:val="auto"/>
              </w:rPr>
            </w:pPr>
            <w:r>
              <w:rPr>
                <w:rFonts w:ascii="Arial" w:cs="Arial" w:eastAsia="Arial" w:hAnsi="Arial"/>
                <w:sz w:val="15"/>
                <w:szCs w:val="15"/>
                <w:color w:val="auto"/>
                <w:w w:val="95"/>
              </w:rPr>
              <w:t>$</w:t>
            </w:r>
          </w:p>
        </w:tc>
        <w:tc>
          <w:tcPr>
            <w:tcW w:w="380" w:type="dxa"/>
            <w:vAlign w:val="bottom"/>
          </w:tcPr>
          <w:p>
            <w:pPr>
              <w:spacing w:after="0"/>
              <w:rPr>
                <w:sz w:val="17"/>
                <w:szCs w:val="17"/>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514</w:t>
            </w:r>
          </w:p>
        </w:tc>
        <w:tc>
          <w:tcPr>
            <w:tcW w:w="1280" w:type="dxa"/>
            <w:vAlign w:val="bottom"/>
          </w:tcPr>
          <w:p>
            <w:pPr>
              <w:jc w:val="right"/>
              <w:ind w:right="1063"/>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274</w:t>
            </w:r>
          </w:p>
        </w:tc>
        <w:tc>
          <w:tcPr>
            <w:tcW w:w="0" w:type="dxa"/>
            <w:vAlign w:val="bottom"/>
          </w:tcPr>
          <w:p>
            <w:pPr>
              <w:spacing w:after="0"/>
              <w:rPr>
                <w:sz w:val="1"/>
                <w:szCs w:val="1"/>
                <w:color w:val="auto"/>
              </w:rPr>
            </w:pPr>
          </w:p>
        </w:tc>
      </w:tr>
      <w:tr>
        <w:trPr>
          <w:trHeight w:val="207"/>
        </w:trPr>
        <w:tc>
          <w:tcPr>
            <w:tcW w:w="74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740" w:type="dxa"/>
            <w:vAlign w:val="bottom"/>
            <w:shd w:val="clear" w:color="auto" w:fill="DBDBDB"/>
          </w:tcPr>
          <w:p>
            <w:pPr>
              <w:jc w:val="right"/>
              <w:ind w:right="563"/>
              <w:spacing w:after="0"/>
              <w:rPr>
                <w:sz w:val="20"/>
                <w:szCs w:val="20"/>
                <w:color w:val="auto"/>
              </w:rPr>
            </w:pPr>
            <w:r>
              <w:rPr>
                <w:rFonts w:ascii="Arial" w:cs="Arial" w:eastAsia="Arial" w:hAnsi="Arial"/>
                <w:sz w:val="15"/>
                <w:szCs w:val="15"/>
                <w:color w:val="auto"/>
                <w:w w:val="95"/>
              </w:rPr>
              <w:t>$</w:t>
            </w:r>
          </w:p>
        </w:tc>
        <w:tc>
          <w:tcPr>
            <w:tcW w:w="380" w:type="dxa"/>
            <w:vAlign w:val="bottom"/>
            <w:shd w:val="clear" w:color="auto" w:fill="DBDBDB"/>
          </w:tcPr>
          <w:p>
            <w:pPr>
              <w:spacing w:after="0"/>
              <w:rPr>
                <w:sz w:val="18"/>
                <w:szCs w:val="18"/>
                <w:color w:val="auto"/>
              </w:rPr>
            </w:pPr>
          </w:p>
        </w:tc>
        <w:tc>
          <w:tcPr>
            <w:tcW w:w="8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(371)</w:t>
            </w:r>
          </w:p>
        </w:tc>
        <w:tc>
          <w:tcPr>
            <w:tcW w:w="1280" w:type="dxa"/>
            <w:vAlign w:val="bottom"/>
            <w:shd w:val="clear" w:color="auto" w:fill="DBDBDB"/>
          </w:tcPr>
          <w:p>
            <w:pPr>
              <w:jc w:val="right"/>
              <w:ind w:right="1063"/>
              <w:spacing w:after="0"/>
              <w:rPr>
                <w:sz w:val="20"/>
                <w:szCs w:val="20"/>
                <w:color w:val="auto"/>
              </w:rPr>
            </w:pPr>
            <w:r>
              <w:rPr>
                <w:rFonts w:ascii="Arial" w:cs="Arial" w:eastAsia="Arial" w:hAnsi="Arial"/>
                <w:sz w:val="15"/>
                <w:szCs w:val="15"/>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(9,615)</w:t>
            </w:r>
          </w:p>
        </w:tc>
        <w:tc>
          <w:tcPr>
            <w:tcW w:w="0" w:type="dxa"/>
            <w:vAlign w:val="bottom"/>
          </w:tcPr>
          <w:p>
            <w:pPr>
              <w:spacing w:after="0"/>
              <w:rPr>
                <w:sz w:val="1"/>
                <w:szCs w:val="1"/>
                <w:color w:val="auto"/>
              </w:rPr>
            </w:pPr>
          </w:p>
        </w:tc>
      </w:tr>
      <w:tr>
        <w:trPr>
          <w:trHeight w:val="205"/>
        </w:trPr>
        <w:tc>
          <w:tcPr>
            <w:tcW w:w="7400" w:type="dxa"/>
            <w:vAlign w:val="bottom"/>
          </w:tcPr>
          <w:p>
            <w:pPr>
              <w:ind w:left="220"/>
              <w:spacing w:after="0"/>
              <w:rPr>
                <w:sz w:val="20"/>
                <w:szCs w:val="20"/>
                <w:color w:val="auto"/>
              </w:rPr>
            </w:pPr>
            <w:r>
              <w:rPr>
                <w:rFonts w:ascii="Arial" w:cs="Arial" w:eastAsia="Arial" w:hAnsi="Arial"/>
                <w:sz w:val="15"/>
                <w:szCs w:val="15"/>
                <w:color w:val="auto"/>
              </w:rPr>
              <w:t>Proceeds from sale of property, plant and equipment</w:t>
            </w:r>
          </w:p>
        </w:tc>
        <w:tc>
          <w:tcPr>
            <w:tcW w:w="740" w:type="dxa"/>
            <w:vAlign w:val="bottom"/>
          </w:tcPr>
          <w:p>
            <w:pPr>
              <w:jc w:val="right"/>
              <w:ind w:right="563"/>
              <w:spacing w:after="0"/>
              <w:rPr>
                <w:sz w:val="20"/>
                <w:szCs w:val="20"/>
                <w:color w:val="auto"/>
              </w:rPr>
            </w:pPr>
            <w:r>
              <w:rPr>
                <w:rFonts w:ascii="Arial" w:cs="Arial" w:eastAsia="Arial" w:hAnsi="Arial"/>
                <w:sz w:val="15"/>
                <w:szCs w:val="15"/>
                <w:color w:val="auto"/>
                <w:w w:val="95"/>
              </w:rPr>
              <w:t>$</w:t>
            </w:r>
          </w:p>
        </w:tc>
        <w:tc>
          <w:tcPr>
            <w:tcW w:w="380" w:type="dxa"/>
            <w:vAlign w:val="bottom"/>
          </w:tcPr>
          <w:p>
            <w:pPr>
              <w:spacing w:after="0"/>
              <w:rPr>
                <w:sz w:val="17"/>
                <w:szCs w:val="17"/>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8</w:t>
            </w:r>
          </w:p>
        </w:tc>
        <w:tc>
          <w:tcPr>
            <w:tcW w:w="1280" w:type="dxa"/>
            <w:vAlign w:val="bottom"/>
          </w:tcPr>
          <w:p>
            <w:pPr>
              <w:jc w:val="right"/>
              <w:ind w:right="1063"/>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255</w:t>
            </w:r>
          </w:p>
        </w:tc>
        <w:tc>
          <w:tcPr>
            <w:tcW w:w="0" w:type="dxa"/>
            <w:vAlign w:val="bottom"/>
          </w:tcPr>
          <w:p>
            <w:pPr>
              <w:spacing w:after="0"/>
              <w:rPr>
                <w:sz w:val="1"/>
                <w:szCs w:val="1"/>
                <w:color w:val="auto"/>
              </w:rPr>
            </w:pPr>
          </w:p>
        </w:tc>
      </w:tr>
      <w:tr>
        <w:trPr>
          <w:trHeight w:val="207"/>
        </w:trPr>
        <w:tc>
          <w:tcPr>
            <w:tcW w:w="74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Purchases of property, plant and equipment</w:t>
            </w:r>
          </w:p>
        </w:tc>
        <w:tc>
          <w:tcPr>
            <w:tcW w:w="740" w:type="dxa"/>
            <w:vAlign w:val="bottom"/>
            <w:shd w:val="clear" w:color="auto" w:fill="DBDBDB"/>
          </w:tcPr>
          <w:p>
            <w:pPr>
              <w:jc w:val="right"/>
              <w:ind w:right="563"/>
              <w:spacing w:after="0"/>
              <w:rPr>
                <w:sz w:val="20"/>
                <w:szCs w:val="20"/>
                <w:color w:val="auto"/>
              </w:rPr>
            </w:pPr>
            <w:r>
              <w:rPr>
                <w:rFonts w:ascii="Arial" w:cs="Arial" w:eastAsia="Arial" w:hAnsi="Arial"/>
                <w:sz w:val="15"/>
                <w:szCs w:val="15"/>
                <w:color w:val="auto"/>
                <w:w w:val="95"/>
              </w:rPr>
              <w:t>$</w:t>
            </w:r>
          </w:p>
        </w:tc>
        <w:tc>
          <w:tcPr>
            <w:tcW w:w="380" w:type="dxa"/>
            <w:vAlign w:val="bottom"/>
            <w:shd w:val="clear" w:color="auto" w:fill="DBDBDB"/>
          </w:tcPr>
          <w:p>
            <w:pPr>
              <w:spacing w:after="0"/>
              <w:rPr>
                <w:sz w:val="18"/>
                <w:szCs w:val="18"/>
                <w:color w:val="auto"/>
              </w:rPr>
            </w:pPr>
          </w:p>
        </w:tc>
        <w:tc>
          <w:tcPr>
            <w:tcW w:w="8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(64)</w:t>
            </w:r>
          </w:p>
        </w:tc>
        <w:tc>
          <w:tcPr>
            <w:tcW w:w="1280" w:type="dxa"/>
            <w:vAlign w:val="bottom"/>
            <w:shd w:val="clear" w:color="auto" w:fill="DBDBDB"/>
          </w:tcPr>
          <w:p>
            <w:pPr>
              <w:jc w:val="right"/>
              <w:ind w:right="1063"/>
              <w:spacing w:after="0"/>
              <w:rPr>
                <w:sz w:val="20"/>
                <w:szCs w:val="20"/>
                <w:color w:val="auto"/>
              </w:rPr>
            </w:pPr>
            <w:r>
              <w:rPr>
                <w:rFonts w:ascii="Arial" w:cs="Arial" w:eastAsia="Arial" w:hAnsi="Arial"/>
                <w:sz w:val="15"/>
                <w:szCs w:val="15"/>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(2,265)</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following table presents reconciliations of Income from discontinued operations before income tax to Adjusted EBITDA from discontinued operations for the former UK Storage Solutions segment for the three months ended March 31, 2023 and 2022, respectively. See Note 16 for further information regarding Adjusted EBITDA.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2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3400" w:type="dxa"/>
            <w:vAlign w:val="bottom"/>
            <w:gridSpan w:val="4"/>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Three Months Ended March 31,</w:t>
            </w:r>
          </w:p>
        </w:tc>
      </w:tr>
      <w:tr>
        <w:trPr>
          <w:trHeight w:val="206"/>
        </w:trPr>
        <w:tc>
          <w:tcPr>
            <w:tcW w:w="74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7"/>
                <w:szCs w:val="17"/>
                <w:color w:val="auto"/>
              </w:rPr>
            </w:pPr>
          </w:p>
        </w:tc>
        <w:tc>
          <w:tcPr>
            <w:tcW w:w="1440" w:type="dxa"/>
            <w:vAlign w:val="bottom"/>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1440" w:type="dxa"/>
            <w:vAlign w:val="bottom"/>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2022</w:t>
            </w:r>
          </w:p>
        </w:tc>
      </w:tr>
      <w:tr>
        <w:trPr>
          <w:trHeight w:val="206"/>
        </w:trPr>
        <w:tc>
          <w:tcPr>
            <w:tcW w:w="742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134,243</w:t>
            </w: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7,628</w:t>
            </w:r>
          </w:p>
        </w:tc>
      </w:tr>
      <w:tr>
        <w:trPr>
          <w:trHeight w:val="205"/>
        </w:trPr>
        <w:tc>
          <w:tcPr>
            <w:tcW w:w="7420" w:type="dxa"/>
            <w:vAlign w:val="bottom"/>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175,708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74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420" w:type="dxa"/>
            <w:vAlign w:val="bottom"/>
            <w:tcBorders>
              <w:bottom w:val="single" w:sz="8" w:color="auto"/>
            </w:tcBorders>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45,468</w:t>
            </w:r>
          </w:p>
        </w:tc>
        <w:tc>
          <w:tcPr>
            <w:tcW w:w="100" w:type="dxa"/>
            <w:vAlign w:val="bottom"/>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2,151</w:t>
            </w:r>
          </w:p>
        </w:tc>
      </w:tr>
      <w:tr>
        <w:trPr>
          <w:trHeight w:val="198"/>
        </w:trPr>
        <w:tc>
          <w:tcPr>
            <w:tcW w:w="7420" w:type="dxa"/>
            <w:vAlign w:val="bottom"/>
          </w:tcPr>
          <w:p>
            <w:pPr>
              <w:ind w:left="20"/>
              <w:spacing w:after="0"/>
              <w:rPr>
                <w:sz w:val="20"/>
                <w:szCs w:val="20"/>
                <w:color w:val="auto"/>
              </w:rPr>
            </w:pPr>
            <w:r>
              <w:rPr>
                <w:rFonts w:ascii="Arial" w:cs="Arial" w:eastAsia="Arial" w:hAnsi="Arial"/>
                <w:sz w:val="15"/>
                <w:szCs w:val="15"/>
                <w:color w:val="auto"/>
              </w:rPr>
              <w:t>Income from discontinued operations before income tax and gain on sale</w:t>
            </w: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4,003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9,779</w:t>
            </w:r>
          </w:p>
        </w:tc>
      </w:tr>
      <w:tr>
        <w:trPr>
          <w:trHeight w:val="207"/>
        </w:trPr>
        <w:tc>
          <w:tcPr>
            <w:tcW w:w="74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42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244</w:t>
            </w:r>
          </w:p>
        </w:tc>
      </w:tr>
      <w:tr>
        <w:trPr>
          <w:trHeight w:val="205"/>
        </w:trPr>
        <w:tc>
          <w:tcPr>
            <w:tcW w:w="742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42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2,963</w:t>
            </w:r>
          </w:p>
        </w:tc>
      </w:tr>
      <w:tr>
        <w:trPr>
          <w:trHeight w:val="207"/>
        </w:trPr>
        <w:tc>
          <w:tcPr>
            <w:tcW w:w="74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420" w:type="dxa"/>
            <w:vAlign w:val="bottom"/>
            <w:shd w:val="clear" w:color="auto" w:fill="DBDBDB"/>
          </w:tcPr>
          <w:p>
            <w:pPr>
              <w:spacing w:after="0"/>
              <w:rPr>
                <w:sz w:val="18"/>
                <w:szCs w:val="18"/>
                <w:color w:val="auto"/>
              </w:rPr>
            </w:pPr>
          </w:p>
        </w:tc>
        <w:tc>
          <w:tcPr>
            <w:tcW w:w="15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w:t>
            </w:r>
          </w:p>
        </w:tc>
      </w:tr>
      <w:tr>
        <w:trPr>
          <w:trHeight w:val="205"/>
        </w:trPr>
        <w:tc>
          <w:tcPr>
            <w:tcW w:w="7420" w:type="dxa"/>
            <w:vAlign w:val="bottom"/>
          </w:tcPr>
          <w:p>
            <w:pPr>
              <w:ind w:left="220"/>
              <w:spacing w:after="0"/>
              <w:rPr>
                <w:sz w:val="20"/>
                <w:szCs w:val="20"/>
                <w:color w:val="auto"/>
              </w:rPr>
            </w:pPr>
            <w:r>
              <w:rPr>
                <w:rFonts w:ascii="Arial" w:cs="Arial" w:eastAsia="Arial" w:hAnsi="Arial"/>
                <w:sz w:val="15"/>
                <w:szCs w:val="15"/>
                <w:color w:val="auto"/>
              </w:rPr>
              <w:t>Stock compensation expense</w:t>
            </w: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(196)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206"/>
        </w:trPr>
        <w:tc>
          <w:tcPr>
            <w:tcW w:w="74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w:t>
            </w:r>
          </w:p>
        </w:tc>
        <w:tc>
          <w:tcPr>
            <w:tcW w:w="420" w:type="dxa"/>
            <w:vAlign w:val="bottom"/>
            <w:tcBorders>
              <w:bottom w:val="single" w:sz="8" w:color="auto"/>
            </w:tcBorders>
            <w:shd w:val="clear" w:color="auto" w:fill="DBDBDB"/>
          </w:tcPr>
          <w:p>
            <w:pPr>
              <w:spacing w:after="0"/>
              <w:rPr>
                <w:sz w:val="17"/>
                <w:szCs w:val="17"/>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261</w:t>
            </w:r>
          </w:p>
        </w:tc>
        <w:tc>
          <w:tcPr>
            <w:tcW w:w="100" w:type="dxa"/>
            <w:vAlign w:val="bottom"/>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(461)</w:t>
            </w:r>
          </w:p>
        </w:tc>
      </w:tr>
      <w:tr>
        <w:trPr>
          <w:trHeight w:val="200"/>
        </w:trPr>
        <w:tc>
          <w:tcPr>
            <w:tcW w:w="7420" w:type="dxa"/>
            <w:vAlign w:val="bottom"/>
          </w:tcPr>
          <w:p>
            <w:pPr>
              <w:ind w:left="20"/>
              <w:spacing w:after="0"/>
              <w:rPr>
                <w:sz w:val="20"/>
                <w:szCs w:val="20"/>
                <w:color w:val="auto"/>
              </w:rPr>
            </w:pPr>
            <w:r>
              <w:rPr>
                <w:rFonts w:ascii="Arial" w:cs="Arial" w:eastAsia="Arial" w:hAnsi="Arial"/>
                <w:sz w:val="15"/>
                <w:szCs w:val="15"/>
                <w:color w:val="auto"/>
              </w:rPr>
              <w:t>Adjusted EBITDA from discontinued operations</w:t>
            </w: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4,124</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12,544</w:t>
            </w:r>
          </w:p>
        </w:tc>
      </w:tr>
      <w:tr>
        <w:trPr>
          <w:trHeight w:val="20"/>
        </w:trPr>
        <w:tc>
          <w:tcPr>
            <w:tcW w:w="7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1D2758"/>
        </w:rPr>
        <w:t>NOTE 4 - Revenue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Disaggregation</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Geographic Areas</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had total revenue in the following geographic areas for the three months ended March 31,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4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22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080" w:type="dxa"/>
            <w:vAlign w:val="bottom"/>
            <w:shd w:val="clear" w:color="auto" w:fill="1D2758"/>
          </w:tcPr>
          <w:p>
            <w:pPr>
              <w:spacing w:after="0"/>
              <w:rPr>
                <w:sz w:val="14"/>
                <w:szCs w:val="14"/>
                <w:color w:val="auto"/>
              </w:rPr>
            </w:pPr>
          </w:p>
        </w:tc>
      </w:tr>
      <w:tr>
        <w:trPr>
          <w:trHeight w:val="206"/>
        </w:trPr>
        <w:tc>
          <w:tcPr>
            <w:tcW w:w="754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200" w:type="dxa"/>
            <w:vAlign w:val="bottom"/>
            <w:gridSpan w:val="3"/>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March 31,</w:t>
            </w:r>
          </w:p>
        </w:tc>
        <w:tc>
          <w:tcPr>
            <w:tcW w:w="1080" w:type="dxa"/>
            <w:vAlign w:val="bottom"/>
            <w:shd w:val="clear" w:color="auto" w:fill="1D2758"/>
          </w:tcPr>
          <w:p>
            <w:pPr>
              <w:spacing w:after="0"/>
              <w:rPr>
                <w:sz w:val="17"/>
                <w:szCs w:val="17"/>
                <w:color w:val="auto"/>
              </w:rPr>
            </w:pPr>
          </w:p>
        </w:tc>
      </w:tr>
      <w:tr>
        <w:trPr>
          <w:trHeight w:val="206"/>
        </w:trPr>
        <w:tc>
          <w:tcPr>
            <w:tcW w:w="75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720" w:type="dxa"/>
            <w:vAlign w:val="bottom"/>
            <w:shd w:val="clear" w:color="auto" w:fill="1D2758"/>
          </w:tcPr>
          <w:p>
            <w:pPr>
              <w:spacing w:after="0"/>
              <w:rPr>
                <w:sz w:val="17"/>
                <w:szCs w:val="17"/>
                <w:color w:val="auto"/>
              </w:rPr>
            </w:pPr>
          </w:p>
        </w:tc>
        <w:tc>
          <w:tcPr>
            <w:tcW w:w="10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r>
      <w:tr>
        <w:trPr>
          <w:trHeight w:val="206"/>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US</w:t>
            </w: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533,174</w:t>
            </w:r>
          </w:p>
        </w:tc>
        <w:tc>
          <w:tcPr>
            <w:tcW w:w="100" w:type="dxa"/>
            <w:vAlign w:val="bottom"/>
            <w:shd w:val="clear" w:color="auto" w:fill="DBDBDB"/>
          </w:tcPr>
          <w:p>
            <w:pPr>
              <w:spacing w:after="0"/>
              <w:rPr>
                <w:sz w:val="17"/>
                <w:szCs w:val="17"/>
                <w:color w:val="auto"/>
              </w:rPr>
            </w:pPr>
          </w:p>
        </w:tc>
        <w:tc>
          <w:tcPr>
            <w:tcW w:w="720" w:type="dxa"/>
            <w:vAlign w:val="bottom"/>
            <w:shd w:val="clear" w:color="auto" w:fill="DBDBDB"/>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421,684</w:t>
            </w:r>
          </w:p>
        </w:tc>
      </w:tr>
      <w:tr>
        <w:trPr>
          <w:trHeight w:val="205"/>
        </w:trPr>
        <w:tc>
          <w:tcPr>
            <w:tcW w:w="7540" w:type="dxa"/>
            <w:vAlign w:val="bottom"/>
          </w:tcPr>
          <w:p>
            <w:pPr>
              <w:ind w:left="20"/>
              <w:spacing w:after="0"/>
              <w:rPr>
                <w:sz w:val="20"/>
                <w:szCs w:val="20"/>
                <w:color w:val="auto"/>
              </w:rPr>
            </w:pPr>
            <w:r>
              <w:rPr>
                <w:rFonts w:ascii="Arial" w:cs="Arial" w:eastAsia="Arial" w:hAnsi="Arial"/>
                <w:sz w:val="15"/>
                <w:szCs w:val="15"/>
                <w:color w:val="auto"/>
              </w:rPr>
              <w:t>Canada</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26,941</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25,273</w:t>
            </w:r>
          </w:p>
        </w:tc>
      </w:tr>
      <w:tr>
        <w:trPr>
          <w:trHeight w:val="206"/>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Mexico</w:t>
            </w:r>
          </w:p>
        </w:tc>
        <w:tc>
          <w:tcPr>
            <w:tcW w:w="42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5,353</w:t>
            </w:r>
          </w:p>
        </w:tc>
        <w:tc>
          <w:tcPr>
            <w:tcW w:w="100" w:type="dxa"/>
            <w:vAlign w:val="bottom"/>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4,214</w:t>
            </w:r>
          </w:p>
        </w:tc>
      </w:tr>
      <w:tr>
        <w:trPr>
          <w:trHeight w:val="200"/>
        </w:trPr>
        <w:tc>
          <w:tcPr>
            <w:tcW w:w="7540" w:type="dxa"/>
            <w:vAlign w:val="bottom"/>
          </w:tcPr>
          <w:p>
            <w:pPr>
              <w:ind w:left="120"/>
              <w:spacing w:after="0"/>
              <w:rPr>
                <w:sz w:val="20"/>
                <w:szCs w:val="20"/>
                <w:color w:val="auto"/>
              </w:rPr>
            </w:pPr>
            <w:r>
              <w:rPr>
                <w:rFonts w:ascii="Arial" w:cs="Arial" w:eastAsia="Arial" w:hAnsi="Arial"/>
                <w:sz w:val="15"/>
                <w:szCs w:val="15"/>
                <w:color w:val="auto"/>
              </w:rPr>
              <w:t>Total revenues</w:t>
            </w: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565,468</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451,171</w:t>
            </w:r>
          </w:p>
        </w:tc>
      </w:tr>
      <w:tr>
        <w:trPr>
          <w:trHeight w:val="20"/>
        </w:trPr>
        <w:tc>
          <w:tcPr>
            <w:tcW w:w="7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Major Product and Service Lines</w:t>
      </w:r>
    </w:p>
    <w:p>
      <w:pPr>
        <w:spacing w:after="0" w:line="7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Equipment leasing is the Company's core business and the primary driver of the Company's revenue and cash flows. This includes modular space and portable storage units along with value-added products and services ("VAPS"), which include furniture, steps, ramps, basic appliances, internet connectivity devices, integral tool racking, heavy duty capacity shelving, workstations, electrical and lighting products and other items used by customers in connection with the Company's products. The Company also offers its lease customers a damage waiver program that protects them in case the leased unit is damaged. Leasing is complemented by new unit sales and sales of rental units. In connection with its leasing and sales activities, the Company provides services including delivery and installation, maintenance and ad hoc services and removal services at the end of lease transactions.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Company’s revenue by major product and service line for the three months ended March 31, was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4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22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080" w:type="dxa"/>
            <w:vAlign w:val="bottom"/>
            <w:shd w:val="clear" w:color="auto" w:fill="1D2758"/>
          </w:tcPr>
          <w:p>
            <w:pPr>
              <w:spacing w:after="0"/>
              <w:rPr>
                <w:sz w:val="14"/>
                <w:szCs w:val="14"/>
                <w:color w:val="auto"/>
              </w:rPr>
            </w:pPr>
          </w:p>
        </w:tc>
      </w:tr>
      <w:tr>
        <w:trPr>
          <w:trHeight w:val="206"/>
        </w:trPr>
        <w:tc>
          <w:tcPr>
            <w:tcW w:w="754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200" w:type="dxa"/>
            <w:vAlign w:val="bottom"/>
            <w:gridSpan w:val="3"/>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March 31,</w:t>
            </w:r>
          </w:p>
        </w:tc>
        <w:tc>
          <w:tcPr>
            <w:tcW w:w="1080" w:type="dxa"/>
            <w:vAlign w:val="bottom"/>
            <w:shd w:val="clear" w:color="auto" w:fill="1D2758"/>
          </w:tcPr>
          <w:p>
            <w:pPr>
              <w:spacing w:after="0"/>
              <w:rPr>
                <w:sz w:val="17"/>
                <w:szCs w:val="17"/>
                <w:color w:val="auto"/>
              </w:rPr>
            </w:pPr>
          </w:p>
        </w:tc>
      </w:tr>
      <w:tr>
        <w:trPr>
          <w:trHeight w:val="206"/>
        </w:trPr>
        <w:tc>
          <w:tcPr>
            <w:tcW w:w="75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720" w:type="dxa"/>
            <w:vAlign w:val="bottom"/>
            <w:shd w:val="clear" w:color="auto" w:fill="1D2758"/>
          </w:tcPr>
          <w:p>
            <w:pPr>
              <w:spacing w:after="0"/>
              <w:rPr>
                <w:sz w:val="17"/>
                <w:szCs w:val="17"/>
                <w:color w:val="auto"/>
              </w:rPr>
            </w:pPr>
          </w:p>
        </w:tc>
        <w:tc>
          <w:tcPr>
            <w:tcW w:w="10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r>
      <w:tr>
        <w:trPr>
          <w:trHeight w:val="206"/>
        </w:trPr>
        <w:tc>
          <w:tcPr>
            <w:tcW w:w="7540" w:type="dxa"/>
            <w:vAlign w:val="bottom"/>
            <w:shd w:val="clear" w:color="auto" w:fill="DDDDDD"/>
          </w:tcPr>
          <w:p>
            <w:pPr>
              <w:ind w:left="20"/>
              <w:spacing w:after="0"/>
              <w:rPr>
                <w:sz w:val="20"/>
                <w:szCs w:val="20"/>
                <w:color w:val="auto"/>
              </w:rPr>
            </w:pPr>
            <w:r>
              <w:rPr>
                <w:rFonts w:ascii="Arial" w:cs="Arial" w:eastAsia="Arial" w:hAnsi="Arial"/>
                <w:sz w:val="15"/>
                <w:szCs w:val="15"/>
                <w:color w:val="auto"/>
              </w:rPr>
              <w:t>Modular space leasing revenue</w:t>
            </w:r>
          </w:p>
        </w:tc>
        <w:tc>
          <w:tcPr>
            <w:tcW w:w="420" w:type="dxa"/>
            <w:vAlign w:val="bottom"/>
            <w:shd w:val="clear" w:color="auto" w:fill="DDDDDD"/>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224,470</w:t>
            </w:r>
          </w:p>
        </w:tc>
        <w:tc>
          <w:tcPr>
            <w:tcW w:w="100" w:type="dxa"/>
            <w:vAlign w:val="bottom"/>
            <w:shd w:val="clear" w:color="auto" w:fill="DDDDDD"/>
          </w:tcPr>
          <w:p>
            <w:pPr>
              <w:spacing w:after="0"/>
              <w:rPr>
                <w:sz w:val="17"/>
                <w:szCs w:val="17"/>
                <w:color w:val="auto"/>
              </w:rPr>
            </w:pPr>
          </w:p>
        </w:tc>
        <w:tc>
          <w:tcPr>
            <w:tcW w:w="720" w:type="dxa"/>
            <w:vAlign w:val="bottom"/>
            <w:shd w:val="clear" w:color="auto" w:fill="DDDDDD"/>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190,390</w:t>
            </w:r>
          </w:p>
        </w:tc>
      </w:tr>
      <w:tr>
        <w:trPr>
          <w:trHeight w:val="205"/>
        </w:trPr>
        <w:tc>
          <w:tcPr>
            <w:tcW w:w="7540" w:type="dxa"/>
            <w:vAlign w:val="bottom"/>
          </w:tcPr>
          <w:p>
            <w:pPr>
              <w:ind w:left="20"/>
              <w:spacing w:after="0"/>
              <w:rPr>
                <w:sz w:val="20"/>
                <w:szCs w:val="20"/>
                <w:color w:val="auto"/>
              </w:rPr>
            </w:pPr>
            <w:r>
              <w:rPr>
                <w:rFonts w:ascii="Arial" w:cs="Arial" w:eastAsia="Arial" w:hAnsi="Arial"/>
                <w:sz w:val="15"/>
                <w:szCs w:val="15"/>
                <w:color w:val="auto"/>
              </w:rPr>
              <w:t>Portable storage leasing revenue</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97,315</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70,703</w:t>
            </w:r>
          </w:p>
        </w:tc>
      </w:tr>
      <w:tr>
        <w:trPr>
          <w:trHeight w:val="207"/>
        </w:trPr>
        <w:tc>
          <w:tcPr>
            <w:tcW w:w="7540" w:type="dxa"/>
            <w:vAlign w:val="bottom"/>
            <w:shd w:val="clear" w:color="auto" w:fill="DDDDDD"/>
          </w:tcPr>
          <w:p>
            <w:pPr>
              <w:ind w:left="20"/>
              <w:spacing w:after="0" w:line="207" w:lineRule="exact"/>
              <w:rPr>
                <w:sz w:val="20"/>
                <w:szCs w:val="20"/>
                <w:color w:val="auto"/>
              </w:rPr>
            </w:pPr>
            <w:r>
              <w:rPr>
                <w:rFonts w:ascii="Arial" w:cs="Arial" w:eastAsia="Arial" w:hAnsi="Arial"/>
                <w:sz w:val="15"/>
                <w:szCs w:val="15"/>
                <w:color w:val="auto"/>
              </w:rPr>
              <w:t>VAPS and third party leasing revenues</w:t>
            </w:r>
            <w:r>
              <w:rPr>
                <w:rFonts w:ascii="Arial" w:cs="Arial" w:eastAsia="Arial" w:hAnsi="Arial"/>
                <w:sz w:val="20"/>
                <w:szCs w:val="20"/>
                <w:color w:val="auto"/>
                <w:vertAlign w:val="superscript"/>
              </w:rPr>
              <w:t>(a)</w:t>
            </w:r>
          </w:p>
        </w:tc>
        <w:tc>
          <w:tcPr>
            <w:tcW w:w="420" w:type="dxa"/>
            <w:vAlign w:val="bottom"/>
            <w:shd w:val="clear" w:color="auto" w:fill="DDDDDD"/>
          </w:tcPr>
          <w:p>
            <w:pPr>
              <w:spacing w:after="0"/>
              <w:rPr>
                <w:sz w:val="18"/>
                <w:szCs w:val="18"/>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94,126</w:t>
            </w:r>
          </w:p>
        </w:tc>
        <w:tc>
          <w:tcPr>
            <w:tcW w:w="100" w:type="dxa"/>
            <w:vAlign w:val="bottom"/>
            <w:shd w:val="clear" w:color="auto" w:fill="DDDDDD"/>
          </w:tcPr>
          <w:p>
            <w:pPr>
              <w:spacing w:after="0"/>
              <w:rPr>
                <w:sz w:val="18"/>
                <w:szCs w:val="18"/>
                <w:color w:val="auto"/>
              </w:rPr>
            </w:pPr>
          </w:p>
        </w:tc>
        <w:tc>
          <w:tcPr>
            <w:tcW w:w="720" w:type="dxa"/>
            <w:vAlign w:val="bottom"/>
            <w:shd w:val="clear" w:color="auto" w:fill="DDDDDD"/>
          </w:tcPr>
          <w:p>
            <w:pPr>
              <w:spacing w:after="0"/>
              <w:rPr>
                <w:sz w:val="18"/>
                <w:szCs w:val="18"/>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75,305</w:t>
            </w:r>
          </w:p>
        </w:tc>
      </w:tr>
      <w:tr>
        <w:trPr>
          <w:trHeight w:val="206"/>
        </w:trPr>
        <w:tc>
          <w:tcPr>
            <w:tcW w:w="7540" w:type="dxa"/>
            <w:vAlign w:val="bottom"/>
            <w:tcBorders>
              <w:bottom w:val="single" w:sz="8" w:color="DDDDDD"/>
            </w:tcBorders>
          </w:tcPr>
          <w:p>
            <w:pPr>
              <w:ind w:left="20"/>
              <w:spacing w:after="0" w:line="207" w:lineRule="exact"/>
              <w:rPr>
                <w:sz w:val="20"/>
                <w:szCs w:val="20"/>
                <w:color w:val="auto"/>
              </w:rPr>
            </w:pPr>
            <w:r>
              <w:rPr>
                <w:rFonts w:ascii="Arial" w:cs="Arial" w:eastAsia="Arial" w:hAnsi="Arial"/>
                <w:sz w:val="15"/>
                <w:szCs w:val="15"/>
                <w:color w:val="auto"/>
              </w:rPr>
              <w:t>Other leasing-related revenue</w:t>
            </w:r>
            <w:r>
              <w:rPr>
                <w:rFonts w:ascii="Arial" w:cs="Arial" w:eastAsia="Arial" w:hAnsi="Arial"/>
                <w:sz w:val="20"/>
                <w:szCs w:val="20"/>
                <w:color w:val="auto"/>
                <w:vertAlign w:val="superscript"/>
              </w:rPr>
              <w:t>(b)</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24,040</w:t>
            </w:r>
          </w:p>
        </w:tc>
        <w:tc>
          <w:tcPr>
            <w:tcW w:w="100" w:type="dxa"/>
            <w:vAlign w:val="bottom"/>
            <w:tcBorders>
              <w:bottom w:val="single" w:sz="8" w:color="DDDDDD"/>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15,161</w:t>
            </w:r>
          </w:p>
        </w:tc>
      </w:tr>
      <w:tr>
        <w:trPr>
          <w:trHeight w:val="199"/>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Leasing revenue</w:t>
            </w:r>
          </w:p>
        </w:tc>
        <w:tc>
          <w:tcPr>
            <w:tcW w:w="420" w:type="dxa"/>
            <w:vAlign w:val="bottom"/>
            <w:shd w:val="clear" w:color="auto" w:fill="DDDDDD"/>
          </w:tcPr>
          <w:p>
            <w:pPr>
              <w:spacing w:after="0"/>
              <w:rPr>
                <w:sz w:val="17"/>
                <w:szCs w:val="17"/>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439,951</w:t>
            </w:r>
          </w:p>
        </w:tc>
        <w:tc>
          <w:tcPr>
            <w:tcW w:w="100" w:type="dxa"/>
            <w:vAlign w:val="bottom"/>
            <w:shd w:val="clear" w:color="auto" w:fill="DDDDDD"/>
          </w:tcPr>
          <w:p>
            <w:pPr>
              <w:spacing w:after="0"/>
              <w:rPr>
                <w:sz w:val="17"/>
                <w:szCs w:val="17"/>
                <w:color w:val="auto"/>
              </w:rPr>
            </w:pPr>
          </w:p>
        </w:tc>
        <w:tc>
          <w:tcPr>
            <w:tcW w:w="720" w:type="dxa"/>
            <w:vAlign w:val="bottom"/>
            <w:shd w:val="clear" w:color="auto" w:fill="DDDDDD"/>
          </w:tcPr>
          <w:p>
            <w:pPr>
              <w:spacing w:after="0"/>
              <w:rPr>
                <w:sz w:val="17"/>
                <w:szCs w:val="17"/>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351,559</w:t>
            </w:r>
          </w:p>
        </w:tc>
      </w:tr>
      <w:tr>
        <w:trPr>
          <w:trHeight w:val="205"/>
        </w:trPr>
        <w:tc>
          <w:tcPr>
            <w:tcW w:w="7540" w:type="dxa"/>
            <w:vAlign w:val="bottom"/>
            <w:tcBorders>
              <w:bottom w:val="single" w:sz="8" w:color="DDDDDD"/>
            </w:tcBorders>
          </w:tcPr>
          <w:p>
            <w:pPr>
              <w:ind w:left="20"/>
              <w:spacing w:after="0"/>
              <w:rPr>
                <w:sz w:val="20"/>
                <w:szCs w:val="20"/>
                <w:color w:val="auto"/>
              </w:rPr>
            </w:pPr>
            <w:r>
              <w:rPr>
                <w:rFonts w:ascii="Arial" w:cs="Arial" w:eastAsia="Arial" w:hAnsi="Arial"/>
                <w:sz w:val="15"/>
                <w:szCs w:val="15"/>
                <w:color w:val="auto"/>
              </w:rPr>
              <w:t>Delivery and installation revenue</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106,630</w:t>
            </w:r>
          </w:p>
        </w:tc>
        <w:tc>
          <w:tcPr>
            <w:tcW w:w="100" w:type="dxa"/>
            <w:vAlign w:val="bottom"/>
            <w:tcBorders>
              <w:bottom w:val="single" w:sz="8" w:color="DDDDDD"/>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85,539</w:t>
            </w:r>
          </w:p>
        </w:tc>
      </w:tr>
      <w:tr>
        <w:trPr>
          <w:trHeight w:val="200"/>
        </w:trPr>
        <w:tc>
          <w:tcPr>
            <w:tcW w:w="7540" w:type="dxa"/>
            <w:vAlign w:val="bottom"/>
            <w:shd w:val="clear" w:color="auto" w:fill="DDDDDD"/>
          </w:tcPr>
          <w:p>
            <w:pPr>
              <w:ind w:left="220"/>
              <w:spacing w:after="0"/>
              <w:rPr>
                <w:sz w:val="20"/>
                <w:szCs w:val="20"/>
                <w:color w:val="auto"/>
              </w:rPr>
            </w:pPr>
            <w:r>
              <w:rPr>
                <w:rFonts w:ascii="Arial" w:cs="Arial" w:eastAsia="Arial" w:hAnsi="Arial"/>
                <w:sz w:val="15"/>
                <w:szCs w:val="15"/>
                <w:color w:val="auto"/>
              </w:rPr>
              <w:t>Total leasing and services revenue</w:t>
            </w:r>
          </w:p>
        </w:tc>
        <w:tc>
          <w:tcPr>
            <w:tcW w:w="420" w:type="dxa"/>
            <w:vAlign w:val="bottom"/>
            <w:shd w:val="clear" w:color="auto" w:fill="DDDDDD"/>
          </w:tcPr>
          <w:p>
            <w:pPr>
              <w:spacing w:after="0"/>
              <w:rPr>
                <w:sz w:val="17"/>
                <w:szCs w:val="17"/>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546,581</w:t>
            </w:r>
          </w:p>
        </w:tc>
        <w:tc>
          <w:tcPr>
            <w:tcW w:w="100" w:type="dxa"/>
            <w:vAlign w:val="bottom"/>
            <w:shd w:val="clear" w:color="auto" w:fill="DDDDDD"/>
          </w:tcPr>
          <w:p>
            <w:pPr>
              <w:spacing w:after="0"/>
              <w:rPr>
                <w:sz w:val="17"/>
                <w:szCs w:val="17"/>
                <w:color w:val="auto"/>
              </w:rPr>
            </w:pPr>
          </w:p>
        </w:tc>
        <w:tc>
          <w:tcPr>
            <w:tcW w:w="720" w:type="dxa"/>
            <w:vAlign w:val="bottom"/>
            <w:shd w:val="clear" w:color="auto" w:fill="DDDDDD"/>
          </w:tcPr>
          <w:p>
            <w:pPr>
              <w:spacing w:after="0"/>
              <w:rPr>
                <w:sz w:val="17"/>
                <w:szCs w:val="17"/>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437,098</w:t>
            </w:r>
          </w:p>
        </w:tc>
      </w:tr>
      <w:tr>
        <w:trPr>
          <w:trHeight w:val="205"/>
        </w:trPr>
        <w:tc>
          <w:tcPr>
            <w:tcW w:w="7540" w:type="dxa"/>
            <w:vAlign w:val="bottom"/>
          </w:tcPr>
          <w:p>
            <w:pPr>
              <w:ind w:left="20"/>
              <w:spacing w:after="0"/>
              <w:rPr>
                <w:sz w:val="20"/>
                <w:szCs w:val="20"/>
                <w:color w:val="auto"/>
              </w:rPr>
            </w:pPr>
            <w:r>
              <w:rPr>
                <w:rFonts w:ascii="Arial" w:cs="Arial" w:eastAsia="Arial" w:hAnsi="Arial"/>
                <w:sz w:val="15"/>
                <w:szCs w:val="15"/>
                <w:color w:val="auto"/>
              </w:rPr>
              <w:t>New unit sales revenue</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10,657</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5,787</w:t>
            </w:r>
          </w:p>
        </w:tc>
      </w:tr>
      <w:tr>
        <w:trPr>
          <w:trHeight w:val="206"/>
        </w:trPr>
        <w:tc>
          <w:tcPr>
            <w:tcW w:w="7540" w:type="dxa"/>
            <w:vAlign w:val="bottom"/>
            <w:shd w:val="clear" w:color="auto" w:fill="DDDDDD"/>
          </w:tcPr>
          <w:p>
            <w:pPr>
              <w:ind w:left="20"/>
              <w:spacing w:after="0"/>
              <w:rPr>
                <w:sz w:val="20"/>
                <w:szCs w:val="20"/>
                <w:color w:val="auto"/>
              </w:rPr>
            </w:pPr>
            <w:r>
              <w:rPr>
                <w:rFonts w:ascii="Arial" w:cs="Arial" w:eastAsia="Arial" w:hAnsi="Arial"/>
                <w:sz w:val="15"/>
                <w:szCs w:val="15"/>
                <w:color w:val="auto"/>
              </w:rPr>
              <w:t>Rental unit sales revenue</w:t>
            </w:r>
          </w:p>
        </w:tc>
        <w:tc>
          <w:tcPr>
            <w:tcW w:w="420" w:type="dxa"/>
            <w:vAlign w:val="bottom"/>
            <w:tcBorders>
              <w:bottom w:val="single" w:sz="8" w:color="auto"/>
            </w:tcBorders>
            <w:shd w:val="clear" w:color="auto" w:fill="DDDDDD"/>
          </w:tcPr>
          <w:p>
            <w:pPr>
              <w:spacing w:after="0"/>
              <w:rPr>
                <w:sz w:val="17"/>
                <w:szCs w:val="17"/>
                <w:color w:val="auto"/>
              </w:rPr>
            </w:pPr>
          </w:p>
        </w:tc>
        <w:tc>
          <w:tcPr>
            <w:tcW w:w="13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8,230</w:t>
            </w:r>
          </w:p>
        </w:tc>
        <w:tc>
          <w:tcPr>
            <w:tcW w:w="100" w:type="dxa"/>
            <w:vAlign w:val="bottom"/>
            <w:shd w:val="clear" w:color="auto" w:fill="DDDDDD"/>
          </w:tcPr>
          <w:p>
            <w:pPr>
              <w:spacing w:after="0"/>
              <w:rPr>
                <w:sz w:val="17"/>
                <w:szCs w:val="17"/>
                <w:color w:val="auto"/>
              </w:rPr>
            </w:pPr>
          </w:p>
        </w:tc>
        <w:tc>
          <w:tcPr>
            <w:tcW w:w="720" w:type="dxa"/>
            <w:vAlign w:val="bottom"/>
            <w:tcBorders>
              <w:bottom w:val="single" w:sz="8" w:color="auto"/>
            </w:tcBorders>
            <w:shd w:val="clear" w:color="auto" w:fill="DDDDDD"/>
          </w:tcPr>
          <w:p>
            <w:pPr>
              <w:spacing w:after="0"/>
              <w:rPr>
                <w:sz w:val="17"/>
                <w:szCs w:val="17"/>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8,286</w:t>
            </w:r>
          </w:p>
        </w:tc>
      </w:tr>
      <w:tr>
        <w:trPr>
          <w:trHeight w:val="200"/>
        </w:trPr>
        <w:tc>
          <w:tcPr>
            <w:tcW w:w="7540" w:type="dxa"/>
            <w:vAlign w:val="bottom"/>
          </w:tcPr>
          <w:p>
            <w:pPr>
              <w:ind w:left="320"/>
              <w:spacing w:after="0"/>
              <w:rPr>
                <w:sz w:val="20"/>
                <w:szCs w:val="20"/>
                <w:color w:val="auto"/>
              </w:rPr>
            </w:pPr>
            <w:r>
              <w:rPr>
                <w:rFonts w:ascii="Arial" w:cs="Arial" w:eastAsia="Arial" w:hAnsi="Arial"/>
                <w:sz w:val="15"/>
                <w:szCs w:val="15"/>
                <w:color w:val="auto"/>
              </w:rPr>
              <w:t>Total revenues</w:t>
            </w: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565,468</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451,171</w:t>
            </w:r>
          </w:p>
        </w:tc>
      </w:tr>
      <w:tr>
        <w:trPr>
          <w:trHeight w:val="20"/>
        </w:trPr>
        <w:tc>
          <w:tcPr>
            <w:tcW w:w="7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480" w:hanging="460"/>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$5.6 million and $5.9 million of service revenue for the three months ended March 31, 2023 and 2022, respectively.</w:t>
      </w:r>
    </w:p>
    <w:p>
      <w:pPr>
        <w:spacing w:after="0" w:line="32" w:lineRule="exact"/>
        <w:rPr>
          <w:rFonts w:ascii="Arial" w:cs="Arial" w:eastAsia="Arial" w:hAnsi="Arial"/>
          <w:sz w:val="14"/>
          <w:szCs w:val="14"/>
          <w:color w:val="auto"/>
        </w:rPr>
      </w:pPr>
    </w:p>
    <w:p>
      <w:pPr>
        <w:ind w:left="480" w:hanging="460"/>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primarily damage billings, delinquent payment charges, and other processing fees.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Leasing and Services Revenue</w:t>
      </w:r>
    </w:p>
    <w:p>
      <w:pPr>
        <w:spacing w:after="0" w:line="6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 xml:space="preserve">The majority of revenue (77% for the both the three months ended March 31, 2023 and March 31, 2022) was generated by rental income subject to the guidance of ASU 2018-11,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("ASC 842"). The remaining revenue was generated by performance obligations in contracts with customers for services or sale of units subject to the guidance in ASC 606.</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Receivables and Credit Losses</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is exposed to credit losses from trade receivables and manages credit risk at the customer level. Because the same customers generate the revenues that are accounted for under both ASC 606 and ASC 842, the discussions below on credit risk and the Company's allowance for credit losses address the Company's total revenues. Concentration of credit risk with respect to the Company's receivables is limited because of a large number of geographically diverse customers who operate in a variety of end user markets.</w:t>
      </w:r>
    </w:p>
    <w:p>
      <w:pPr>
        <w:spacing w:after="0" w:line="2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 assesses each customer’s ability to pay for the products it leases or sells by conducting a credit review that considers expected billing exposure, timing for payment and the customer’s established credit rating. The Company performs its credit review of new customers at inception of the customer relationship and for existing customers when the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13" w:name="page14"/>
    <w:bookmarkEnd w:id="13"/>
    <w:p>
      <w:pPr>
        <w:jc w:val="both"/>
        <w:spacing w:after="0" w:line="267" w:lineRule="auto"/>
        <w:rPr>
          <w:sz w:val="20"/>
          <w:szCs w:val="20"/>
          <w:color w:val="auto"/>
        </w:rPr>
      </w:pPr>
      <w:r>
        <w:rPr>
          <w:rFonts w:ascii="Arial" w:cs="Arial" w:eastAsia="Arial" w:hAnsi="Arial"/>
          <w:sz w:val="15"/>
          <w:szCs w:val="15"/>
          <w:color w:val="auto"/>
        </w:rPr>
        <w:t>customer transacts after a defined period of dormancy. The Company also considers contract terms and conditions, country risk and business strategy in the evaluation.</w:t>
      </w:r>
    </w:p>
    <w:p>
      <w:pPr>
        <w:spacing w:after="0" w:line="23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The Company monitors ongoing credit exposure through an active review of customer balances against contract terms and due dates and may employ collection agencies and legal counsel to pursue recovery of defaulted receivables. The allowance for credit losses reflects the estimate of the amount of receivables that the Company will be unable to collect based on historical collection experience and, as applicable, current conditions and reasonable and supportable forecasts that affect collectability. The Company's estimate reflects changing circumstances, including changes in the economy or in the particular circumstances of individual customers. Accordingly, the Company may be required to increase or decrease its allowance.</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Activity in the allowance for credit losses was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0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22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080" w:type="dxa"/>
            <w:vAlign w:val="bottom"/>
            <w:shd w:val="clear" w:color="auto" w:fill="1D2758"/>
          </w:tcPr>
          <w:p>
            <w:pPr>
              <w:spacing w:after="0"/>
              <w:rPr>
                <w:sz w:val="14"/>
                <w:szCs w:val="14"/>
                <w:color w:val="auto"/>
              </w:rPr>
            </w:pPr>
          </w:p>
        </w:tc>
      </w:tr>
      <w:tr>
        <w:trPr>
          <w:trHeight w:val="206"/>
        </w:trPr>
        <w:tc>
          <w:tcPr>
            <w:tcW w:w="75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200" w:type="dxa"/>
            <w:vAlign w:val="bottom"/>
            <w:gridSpan w:val="3"/>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March 31,</w:t>
            </w:r>
          </w:p>
        </w:tc>
        <w:tc>
          <w:tcPr>
            <w:tcW w:w="1080" w:type="dxa"/>
            <w:vAlign w:val="bottom"/>
            <w:shd w:val="clear" w:color="auto" w:fill="1D2758"/>
          </w:tcPr>
          <w:p>
            <w:pPr>
              <w:spacing w:after="0"/>
              <w:rPr>
                <w:sz w:val="17"/>
                <w:szCs w:val="17"/>
                <w:color w:val="auto"/>
              </w:rPr>
            </w:pPr>
          </w:p>
        </w:tc>
      </w:tr>
      <w:tr>
        <w:trPr>
          <w:trHeight w:val="206"/>
        </w:trPr>
        <w:tc>
          <w:tcPr>
            <w:tcW w:w="75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7"/>
                <w:szCs w:val="17"/>
                <w:color w:val="auto"/>
              </w:rPr>
            </w:pPr>
          </w:p>
        </w:tc>
        <w:tc>
          <w:tcPr>
            <w:tcW w:w="140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720" w:type="dxa"/>
            <w:vAlign w:val="bottom"/>
            <w:shd w:val="clear" w:color="auto" w:fill="1D2758"/>
          </w:tcPr>
          <w:p>
            <w:pPr>
              <w:spacing w:after="0"/>
              <w:rPr>
                <w:sz w:val="17"/>
                <w:szCs w:val="17"/>
                <w:color w:val="auto"/>
              </w:rPr>
            </w:pPr>
          </w:p>
        </w:tc>
        <w:tc>
          <w:tcPr>
            <w:tcW w:w="10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r>
      <w:tr>
        <w:trPr>
          <w:trHeight w:val="206"/>
        </w:trPr>
        <w:tc>
          <w:tcPr>
            <w:tcW w:w="750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beginning of period</w:t>
            </w:r>
          </w:p>
        </w:tc>
        <w:tc>
          <w:tcPr>
            <w:tcW w:w="420" w:type="dxa"/>
            <w:vAlign w:val="bottom"/>
            <w:shd w:val="clear" w:color="auto" w:fill="DDDDDD"/>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57,048</w:t>
            </w:r>
          </w:p>
        </w:tc>
        <w:tc>
          <w:tcPr>
            <w:tcW w:w="80" w:type="dxa"/>
            <w:vAlign w:val="bottom"/>
            <w:shd w:val="clear" w:color="auto" w:fill="DDDDDD"/>
          </w:tcPr>
          <w:p>
            <w:pPr>
              <w:spacing w:after="0"/>
              <w:rPr>
                <w:sz w:val="17"/>
                <w:szCs w:val="17"/>
                <w:color w:val="auto"/>
              </w:rPr>
            </w:pPr>
          </w:p>
        </w:tc>
        <w:tc>
          <w:tcPr>
            <w:tcW w:w="720" w:type="dxa"/>
            <w:vAlign w:val="bottom"/>
            <w:shd w:val="clear" w:color="auto" w:fill="DDDDDD"/>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45,773</w:t>
            </w:r>
          </w:p>
        </w:tc>
      </w:tr>
      <w:tr>
        <w:trPr>
          <w:trHeight w:val="205"/>
        </w:trPr>
        <w:tc>
          <w:tcPr>
            <w:tcW w:w="7500" w:type="dxa"/>
            <w:vAlign w:val="bottom"/>
          </w:tcPr>
          <w:p>
            <w:pPr>
              <w:ind w:left="20"/>
              <w:spacing w:after="0"/>
              <w:rPr>
                <w:sz w:val="20"/>
                <w:szCs w:val="20"/>
                <w:color w:val="auto"/>
              </w:rPr>
            </w:pPr>
            <w:r>
              <w:rPr>
                <w:rFonts w:ascii="Arial" w:cs="Arial" w:eastAsia="Arial" w:hAnsi="Arial"/>
                <w:sz w:val="15"/>
                <w:szCs w:val="15"/>
                <w:color w:val="auto"/>
              </w:rPr>
              <w:t>Provision for credit losses, net of recoveries</w:t>
            </w:r>
          </w:p>
        </w:tc>
        <w:tc>
          <w:tcPr>
            <w:tcW w:w="420" w:type="dxa"/>
            <w:vAlign w:val="bottom"/>
          </w:tcPr>
          <w:p>
            <w:pPr>
              <w:spacing w:after="0"/>
              <w:rPr>
                <w:sz w:val="17"/>
                <w:szCs w:val="17"/>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8,803</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8,311</w:t>
            </w:r>
          </w:p>
        </w:tc>
      </w:tr>
      <w:tr>
        <w:trPr>
          <w:trHeight w:val="207"/>
        </w:trPr>
        <w:tc>
          <w:tcPr>
            <w:tcW w:w="7500" w:type="dxa"/>
            <w:vAlign w:val="bottom"/>
            <w:shd w:val="clear" w:color="auto" w:fill="DBDBDB"/>
          </w:tcPr>
          <w:p>
            <w:pPr>
              <w:ind w:left="20"/>
              <w:spacing w:after="0"/>
              <w:rPr>
                <w:sz w:val="20"/>
                <w:szCs w:val="20"/>
                <w:color w:val="auto"/>
              </w:rPr>
            </w:pPr>
            <w:r>
              <w:rPr>
                <w:rFonts w:ascii="Arial" w:cs="Arial" w:eastAsia="Arial" w:hAnsi="Arial"/>
                <w:sz w:val="15"/>
                <w:szCs w:val="15"/>
                <w:color w:val="auto"/>
              </w:rPr>
              <w:t>Write-offs</w:t>
            </w:r>
          </w:p>
        </w:tc>
        <w:tc>
          <w:tcPr>
            <w:tcW w:w="420" w:type="dxa"/>
            <w:vAlign w:val="bottom"/>
            <w:shd w:val="clear" w:color="auto" w:fill="DDDDDD"/>
          </w:tcPr>
          <w:p>
            <w:pPr>
              <w:spacing w:after="0"/>
              <w:rPr>
                <w:sz w:val="18"/>
                <w:szCs w:val="18"/>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(4,537)</w:t>
            </w:r>
          </w:p>
        </w:tc>
        <w:tc>
          <w:tcPr>
            <w:tcW w:w="80" w:type="dxa"/>
            <w:vAlign w:val="bottom"/>
            <w:shd w:val="clear" w:color="auto" w:fill="DDDDDD"/>
          </w:tcPr>
          <w:p>
            <w:pPr>
              <w:spacing w:after="0"/>
              <w:rPr>
                <w:sz w:val="18"/>
                <w:szCs w:val="18"/>
                <w:color w:val="auto"/>
              </w:rPr>
            </w:pPr>
          </w:p>
        </w:tc>
        <w:tc>
          <w:tcPr>
            <w:tcW w:w="720" w:type="dxa"/>
            <w:vAlign w:val="bottom"/>
            <w:shd w:val="clear" w:color="auto" w:fill="DDDDDD"/>
          </w:tcPr>
          <w:p>
            <w:pPr>
              <w:spacing w:after="0"/>
              <w:rPr>
                <w:sz w:val="18"/>
                <w:szCs w:val="18"/>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(7,010)</w:t>
            </w:r>
          </w:p>
        </w:tc>
      </w:tr>
      <w:tr>
        <w:trPr>
          <w:trHeight w:val="205"/>
        </w:trPr>
        <w:tc>
          <w:tcPr>
            <w:tcW w:w="75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Foreign currency translation and other</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88</w:t>
            </w:r>
          </w:p>
        </w:tc>
        <w:tc>
          <w:tcPr>
            <w:tcW w:w="80" w:type="dxa"/>
            <w:vAlign w:val="bottom"/>
            <w:tcBorders>
              <w:bottom w:val="single" w:sz="8" w:color="DDDDDD"/>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w:t>
            </w:r>
          </w:p>
        </w:tc>
      </w:tr>
      <w:tr>
        <w:trPr>
          <w:trHeight w:val="224"/>
        </w:trPr>
        <w:tc>
          <w:tcPr>
            <w:tcW w:w="7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end of period</w:t>
            </w:r>
          </w:p>
        </w:tc>
        <w:tc>
          <w:tcPr>
            <w:tcW w:w="420" w:type="dxa"/>
            <w:vAlign w:val="bottom"/>
            <w:tcBorders>
              <w:bottom w:val="single" w:sz="8" w:color="auto"/>
            </w:tcBorders>
            <w:shd w:val="clear" w:color="auto" w:fill="DDDDDD"/>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61,402</w:t>
            </w:r>
          </w:p>
        </w:tc>
        <w:tc>
          <w:tcPr>
            <w:tcW w:w="80" w:type="dxa"/>
            <w:vAlign w:val="bottom"/>
            <w:tcBorders>
              <w:bottom w:val="single" w:sz="8" w:color="DDDDDD"/>
            </w:tcBorders>
            <w:shd w:val="clear" w:color="auto" w:fill="DDDDDD"/>
          </w:tcPr>
          <w:p>
            <w:pPr>
              <w:spacing w:after="0"/>
              <w:rPr>
                <w:sz w:val="19"/>
                <w:szCs w:val="19"/>
                <w:color w:val="auto"/>
              </w:rPr>
            </w:pPr>
          </w:p>
        </w:tc>
        <w:tc>
          <w:tcPr>
            <w:tcW w:w="720" w:type="dxa"/>
            <w:vAlign w:val="bottom"/>
            <w:tcBorders>
              <w:bottom w:val="single" w:sz="8" w:color="auto"/>
            </w:tcBorders>
            <w:shd w:val="clear" w:color="auto" w:fill="DDDDDD"/>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47,124</w:t>
            </w:r>
          </w:p>
        </w:tc>
      </w:tr>
      <w:tr>
        <w:trPr>
          <w:trHeight w:val="20"/>
        </w:trPr>
        <w:tc>
          <w:tcPr>
            <w:tcW w:w="75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DDDDD"/>
              <w:bottom w:val="single" w:sz="8" w:color="auto"/>
            </w:tcBorders>
          </w:tcPr>
          <w:p>
            <w:pPr>
              <w:spacing w:after="0" w:line="20" w:lineRule="exact"/>
              <w:rPr>
                <w:sz w:val="1"/>
                <w:szCs w:val="1"/>
                <w:color w:val="auto"/>
              </w:rPr>
            </w:pPr>
          </w:p>
        </w:tc>
        <w:tc>
          <w:tcPr>
            <w:tcW w:w="14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720" w:type="dxa"/>
            <w:vAlign w:val="bottom"/>
            <w:tcBorders>
              <w:top w:val="single" w:sz="8" w:color="DDDDDD"/>
              <w:bottom w:val="single" w:sz="8" w:color="auto"/>
            </w:tcBorders>
          </w:tcPr>
          <w:p>
            <w:pPr>
              <w:spacing w:after="0" w:line="20" w:lineRule="exact"/>
              <w:rPr>
                <w:sz w:val="1"/>
                <w:szCs w:val="1"/>
                <w:color w:val="auto"/>
              </w:rPr>
            </w:pPr>
          </w:p>
        </w:tc>
        <w:tc>
          <w:tcPr>
            <w:tcW w:w="1080" w:type="dxa"/>
            <w:vAlign w:val="bottom"/>
            <w:tcBorders>
              <w:top w:val="single" w:sz="8" w:color="DDDDDD"/>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Assets and Liabilities</w:t>
      </w:r>
    </w:p>
    <w:p>
      <w:pPr>
        <w:spacing w:after="0" w:line="6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When customers are billed in advance for services, the Company defers recognition of revenue until the related services are performed, which generally occurs at the end of the contract. The balance sheet classification of deferred revenue is determined based on the contractual lease term. For contracts that continue beyond their initial contractual lease term, revenue continues to be deferred until the services are performed. During the three months ended March 31, 2023, deferred revenue relating to services billed in advance of $27.7 million was recognized as revenue. As of March 31, 2023 and December 31, 2022, the Company had approximately $99.0 million and $102.2 million, respectively, of deferred revenue related to these services.</w:t>
      </w:r>
    </w:p>
    <w:p>
      <w:pPr>
        <w:spacing w:after="0" w:line="2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The Company does not have material contract assets, and the Company's uncompleted contracts with customers have unsatisfied (or partially satisfied) performance obligations. For the future services revenues that are expected to be recognized within twelve months, the Company has elected to utilize the optional disclosure exemption made available regarding transaction price allocated to unsatisfied (or partially unsatisfied) performance obligations. The transaction price for performance obligations that will be completed in greater than twelve months is variable based on the market rate in place at the time those services are provided, and therefore, the Company is applying the optional expedient to omit disclosure of such amounts.</w:t>
      </w:r>
    </w:p>
    <w:p>
      <w:pPr>
        <w:spacing w:after="0" w:line="24"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primary costs to obtain contracts for new and rental unit sales with the Company's customers are commissions. The Company pays its sales force commissions on the sale of new and rental units. For new and rental unit sales, the period benefited by each commission is less than one year; therefore, the commissions are expensed as incurred.</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1D2758"/>
        </w:rPr>
        <w:t>NOTE 5 - Leases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200" w:type="dxa"/>
            <w:vAlign w:val="bottom"/>
          </w:tcPr>
          <w:p>
            <w:pPr>
              <w:ind w:left="620"/>
              <w:spacing w:after="0"/>
              <w:rPr>
                <w:sz w:val="20"/>
                <w:szCs w:val="20"/>
                <w:color w:val="auto"/>
              </w:rPr>
            </w:pPr>
            <w:r>
              <w:rPr>
                <w:rFonts w:ascii="Arial" w:cs="Arial" w:eastAsia="Arial" w:hAnsi="Arial"/>
                <w:sz w:val="15"/>
                <w:szCs w:val="15"/>
                <w:color w:val="auto"/>
              </w:rPr>
              <w:t>As  of  March  31,  2023,  the  undiscounted  future  lease  payments</w:t>
            </w:r>
          </w:p>
        </w:tc>
        <w:tc>
          <w:tcPr>
            <w:tcW w:w="3500" w:type="dxa"/>
            <w:vAlign w:val="bottom"/>
            <w:gridSpan w:val="4"/>
          </w:tcPr>
          <w:p>
            <w:pPr>
              <w:jc w:val="right"/>
              <w:spacing w:after="0"/>
              <w:rPr>
                <w:sz w:val="20"/>
                <w:szCs w:val="20"/>
                <w:color w:val="auto"/>
              </w:rPr>
            </w:pPr>
            <w:r>
              <w:rPr>
                <w:rFonts w:ascii="Arial" w:cs="Arial" w:eastAsia="Arial" w:hAnsi="Arial"/>
                <w:sz w:val="15"/>
                <w:szCs w:val="15"/>
                <w:color w:val="auto"/>
              </w:rPr>
              <w:t>for  operating  and  finance  lease  liabilities</w:t>
            </w:r>
          </w:p>
        </w:tc>
        <w:tc>
          <w:tcPr>
            <w:tcW w:w="1540" w:type="dxa"/>
            <w:vAlign w:val="bottom"/>
          </w:tcPr>
          <w:p>
            <w:pPr>
              <w:jc w:val="right"/>
              <w:spacing w:after="0"/>
              <w:rPr>
                <w:sz w:val="20"/>
                <w:szCs w:val="20"/>
                <w:color w:val="auto"/>
              </w:rPr>
            </w:pPr>
            <w:r>
              <w:rPr>
                <w:rFonts w:ascii="Arial" w:cs="Arial" w:eastAsia="Arial" w:hAnsi="Arial"/>
                <w:sz w:val="15"/>
                <w:szCs w:val="15"/>
                <w:color w:val="auto"/>
              </w:rPr>
              <w:t>were  as  follows:</w:t>
            </w:r>
          </w:p>
        </w:tc>
      </w:tr>
      <w:tr>
        <w:trPr>
          <w:trHeight w:val="213"/>
        </w:trPr>
        <w:tc>
          <w:tcPr>
            <w:tcW w:w="62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500" w:type="dxa"/>
            <w:vAlign w:val="bottom"/>
            <w:shd w:val="clear" w:color="auto" w:fill="1D2758"/>
          </w:tcPr>
          <w:p>
            <w:pPr>
              <w:spacing w:after="0"/>
              <w:rPr>
                <w:sz w:val="18"/>
                <w:szCs w:val="18"/>
                <w:color w:val="auto"/>
              </w:rPr>
            </w:pPr>
          </w:p>
        </w:tc>
        <w:tc>
          <w:tcPr>
            <w:tcW w:w="2060" w:type="dxa"/>
            <w:vAlign w:val="bottom"/>
            <w:gridSpan w:val="2"/>
            <w:shd w:val="clear" w:color="auto" w:fill="1D2758"/>
          </w:tcPr>
          <w:p>
            <w:pPr>
              <w:ind w:left="380"/>
              <w:spacing w:after="0"/>
              <w:rPr>
                <w:sz w:val="20"/>
                <w:szCs w:val="20"/>
                <w:color w:val="auto"/>
              </w:rPr>
            </w:pPr>
            <w:r>
              <w:rPr>
                <w:rFonts w:ascii="Arial" w:cs="Arial" w:eastAsia="Arial" w:hAnsi="Arial"/>
                <w:sz w:val="15"/>
                <w:szCs w:val="15"/>
                <w:b w:val="1"/>
                <w:bCs w:val="1"/>
                <w:color w:val="FFFFFF"/>
              </w:rPr>
              <w:t>Operating</w:t>
            </w:r>
          </w:p>
        </w:tc>
        <w:tc>
          <w:tcPr>
            <w:tcW w:w="940" w:type="dxa"/>
            <w:vAlign w:val="bottom"/>
            <w:shd w:val="clear" w:color="auto" w:fill="1D2758"/>
          </w:tcPr>
          <w:p>
            <w:pPr>
              <w:spacing w:after="0"/>
              <w:rPr>
                <w:sz w:val="18"/>
                <w:szCs w:val="18"/>
                <w:color w:val="auto"/>
              </w:rPr>
            </w:pPr>
          </w:p>
        </w:tc>
        <w:tc>
          <w:tcPr>
            <w:tcW w:w="1540" w:type="dxa"/>
            <w:vAlign w:val="bottom"/>
            <w:shd w:val="clear" w:color="auto" w:fill="1D2758"/>
          </w:tcPr>
          <w:p>
            <w:pPr>
              <w:jc w:val="right"/>
              <w:ind w:right="863"/>
              <w:spacing w:after="0"/>
              <w:rPr>
                <w:sz w:val="20"/>
                <w:szCs w:val="20"/>
                <w:color w:val="auto"/>
              </w:rPr>
            </w:pPr>
            <w:r>
              <w:rPr>
                <w:rFonts w:ascii="Arial" w:cs="Arial" w:eastAsia="Arial" w:hAnsi="Arial"/>
                <w:sz w:val="15"/>
                <w:szCs w:val="15"/>
                <w:b w:val="1"/>
                <w:bCs w:val="1"/>
                <w:color w:val="FFFFFF"/>
              </w:rPr>
              <w:t>Finance</w:t>
            </w:r>
          </w:p>
        </w:tc>
      </w:tr>
      <w:tr>
        <w:trPr>
          <w:trHeight w:val="206"/>
        </w:trPr>
        <w:tc>
          <w:tcPr>
            <w:tcW w:w="620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2023 (remaining)</w:t>
            </w:r>
          </w:p>
        </w:tc>
        <w:tc>
          <w:tcPr>
            <w:tcW w:w="500" w:type="dxa"/>
            <w:vAlign w:val="bottom"/>
            <w:shd w:val="clear" w:color="auto" w:fill="DBDBDB"/>
          </w:tcPr>
          <w:p>
            <w:pPr>
              <w:jc w:val="right"/>
              <w:ind w:right="323"/>
              <w:spacing w:after="0"/>
              <w:rPr>
                <w:sz w:val="20"/>
                <w:szCs w:val="20"/>
                <w:color w:val="auto"/>
              </w:rPr>
            </w:pPr>
            <w:r>
              <w:rPr>
                <w:rFonts w:ascii="Arial" w:cs="Arial" w:eastAsia="Arial" w:hAnsi="Arial"/>
                <w:sz w:val="15"/>
                <w:szCs w:val="15"/>
                <w:color w:val="auto"/>
                <w:w w:val="95"/>
              </w:rPr>
              <w:t>$</w:t>
            </w: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46,323</w:t>
            </w:r>
          </w:p>
        </w:tc>
        <w:tc>
          <w:tcPr>
            <w:tcW w:w="8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743"/>
              <w:spacing w:after="0"/>
              <w:rPr>
                <w:sz w:val="20"/>
                <w:szCs w:val="20"/>
                <w:color w:val="auto"/>
              </w:rPr>
            </w:pPr>
            <w:r>
              <w:rPr>
                <w:rFonts w:ascii="Arial" w:cs="Arial" w:eastAsia="Arial" w:hAnsi="Arial"/>
                <w:sz w:val="15"/>
                <w:szCs w:val="15"/>
                <w:color w:val="auto"/>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12,694</w:t>
            </w:r>
          </w:p>
        </w:tc>
      </w:tr>
      <w:tr>
        <w:trPr>
          <w:trHeight w:val="205"/>
        </w:trPr>
        <w:tc>
          <w:tcPr>
            <w:tcW w:w="6200" w:type="dxa"/>
            <w:vAlign w:val="bottom"/>
          </w:tcPr>
          <w:p>
            <w:pPr>
              <w:ind w:left="20"/>
              <w:spacing w:after="0"/>
              <w:rPr>
                <w:sz w:val="20"/>
                <w:szCs w:val="20"/>
                <w:color w:val="auto"/>
              </w:rPr>
            </w:pPr>
            <w:r>
              <w:rPr>
                <w:rFonts w:ascii="Arial" w:cs="Arial" w:eastAsia="Arial" w:hAnsi="Arial"/>
                <w:sz w:val="15"/>
                <w:szCs w:val="15"/>
                <w:color w:val="auto"/>
              </w:rPr>
              <w:t>2024</w:t>
            </w:r>
          </w:p>
        </w:tc>
        <w:tc>
          <w:tcPr>
            <w:tcW w:w="5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5"/>
                <w:szCs w:val="15"/>
                <w:color w:val="auto"/>
              </w:rPr>
              <w:t>54,591</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15,259</w:t>
            </w:r>
          </w:p>
        </w:tc>
      </w:tr>
      <w:tr>
        <w:trPr>
          <w:trHeight w:val="207"/>
        </w:trPr>
        <w:tc>
          <w:tcPr>
            <w:tcW w:w="620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w:t>
            </w:r>
          </w:p>
        </w:tc>
        <w:tc>
          <w:tcPr>
            <w:tcW w:w="500" w:type="dxa"/>
            <w:vAlign w:val="bottom"/>
            <w:shd w:val="clear" w:color="auto" w:fill="DBDBDB"/>
          </w:tcPr>
          <w:p>
            <w:pPr>
              <w:spacing w:after="0"/>
              <w:rPr>
                <w:sz w:val="18"/>
                <w:szCs w:val="18"/>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45,588</w:t>
            </w:r>
          </w:p>
        </w:tc>
        <w:tc>
          <w:tcPr>
            <w:tcW w:w="8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14,932</w:t>
            </w:r>
          </w:p>
        </w:tc>
      </w:tr>
      <w:tr>
        <w:trPr>
          <w:trHeight w:val="205"/>
        </w:trPr>
        <w:tc>
          <w:tcPr>
            <w:tcW w:w="6200" w:type="dxa"/>
            <w:vAlign w:val="bottom"/>
          </w:tcPr>
          <w:p>
            <w:pPr>
              <w:ind w:left="20"/>
              <w:spacing w:after="0"/>
              <w:rPr>
                <w:sz w:val="20"/>
                <w:szCs w:val="20"/>
                <w:color w:val="auto"/>
              </w:rPr>
            </w:pPr>
            <w:r>
              <w:rPr>
                <w:rFonts w:ascii="Arial" w:cs="Arial" w:eastAsia="Arial" w:hAnsi="Arial"/>
                <w:sz w:val="15"/>
                <w:szCs w:val="15"/>
                <w:color w:val="auto"/>
              </w:rPr>
              <w:t>2026</w:t>
            </w:r>
          </w:p>
        </w:tc>
        <w:tc>
          <w:tcPr>
            <w:tcW w:w="5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5"/>
                <w:szCs w:val="15"/>
                <w:color w:val="auto"/>
              </w:rPr>
              <w:t>33,680</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14,618</w:t>
            </w:r>
          </w:p>
        </w:tc>
      </w:tr>
      <w:tr>
        <w:trPr>
          <w:trHeight w:val="207"/>
        </w:trPr>
        <w:tc>
          <w:tcPr>
            <w:tcW w:w="620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2027</w:t>
            </w:r>
          </w:p>
        </w:tc>
        <w:tc>
          <w:tcPr>
            <w:tcW w:w="500" w:type="dxa"/>
            <w:vAlign w:val="bottom"/>
            <w:shd w:val="clear" w:color="auto" w:fill="DBDBDB"/>
          </w:tcPr>
          <w:p>
            <w:pPr>
              <w:spacing w:after="0"/>
              <w:rPr>
                <w:sz w:val="18"/>
                <w:szCs w:val="18"/>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22,750</w:t>
            </w:r>
          </w:p>
        </w:tc>
        <w:tc>
          <w:tcPr>
            <w:tcW w:w="8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11,372</w:t>
            </w:r>
          </w:p>
        </w:tc>
      </w:tr>
      <w:tr>
        <w:trPr>
          <w:trHeight w:val="205"/>
        </w:trPr>
        <w:tc>
          <w:tcPr>
            <w:tcW w:w="62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Thereafter</w:t>
            </w:r>
          </w:p>
        </w:tc>
        <w:tc>
          <w:tcPr>
            <w:tcW w:w="5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57,028</w:t>
            </w:r>
          </w:p>
        </w:tc>
        <w:tc>
          <w:tcPr>
            <w:tcW w:w="80" w:type="dxa"/>
            <w:vAlign w:val="bottom"/>
            <w:tcBorders>
              <w:bottom w:val="single" w:sz="8" w:color="DBDBDB"/>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20,080</w:t>
            </w:r>
          </w:p>
        </w:tc>
      </w:tr>
      <w:tr>
        <w:trPr>
          <w:trHeight w:val="200"/>
        </w:trPr>
        <w:tc>
          <w:tcPr>
            <w:tcW w:w="62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lease payments</w:t>
            </w:r>
          </w:p>
        </w:tc>
        <w:tc>
          <w:tcPr>
            <w:tcW w:w="500" w:type="dxa"/>
            <w:vAlign w:val="bottom"/>
            <w:shd w:val="clear" w:color="auto" w:fill="DBDBDB"/>
          </w:tcPr>
          <w:p>
            <w:pPr>
              <w:spacing w:after="0"/>
              <w:rPr>
                <w:sz w:val="17"/>
                <w:szCs w:val="17"/>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259,960</w:t>
            </w:r>
          </w:p>
        </w:tc>
        <w:tc>
          <w:tcPr>
            <w:tcW w:w="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88,955</w:t>
            </w:r>
          </w:p>
        </w:tc>
      </w:tr>
      <w:tr>
        <w:trPr>
          <w:trHeight w:val="205"/>
        </w:trPr>
        <w:tc>
          <w:tcPr>
            <w:tcW w:w="62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Less: interest</w:t>
            </w:r>
          </w:p>
        </w:tc>
        <w:tc>
          <w:tcPr>
            <w:tcW w:w="5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(38,970)</w:t>
            </w:r>
          </w:p>
        </w:tc>
        <w:tc>
          <w:tcPr>
            <w:tcW w:w="80" w:type="dxa"/>
            <w:vAlign w:val="bottom"/>
            <w:tcBorders>
              <w:bottom w:val="single" w:sz="8" w:color="DBDBDB"/>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(9,090)</w:t>
            </w:r>
          </w:p>
        </w:tc>
      </w:tr>
      <w:tr>
        <w:trPr>
          <w:trHeight w:val="224"/>
        </w:trPr>
        <w:tc>
          <w:tcPr>
            <w:tcW w:w="6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Present value of lease liabilities</w:t>
            </w:r>
          </w:p>
        </w:tc>
        <w:tc>
          <w:tcPr>
            <w:tcW w:w="500" w:type="dxa"/>
            <w:vAlign w:val="bottom"/>
            <w:tcBorders>
              <w:bottom w:val="single" w:sz="8" w:color="auto"/>
            </w:tcBorders>
            <w:shd w:val="clear" w:color="auto" w:fill="DBDBDB"/>
          </w:tcPr>
          <w:p>
            <w:pPr>
              <w:jc w:val="right"/>
              <w:ind w:right="323"/>
              <w:spacing w:after="0"/>
              <w:rPr>
                <w:sz w:val="20"/>
                <w:szCs w:val="20"/>
                <w:color w:val="auto"/>
              </w:rPr>
            </w:pPr>
            <w:r>
              <w:rPr>
                <w:rFonts w:ascii="Arial" w:cs="Arial" w:eastAsia="Arial" w:hAnsi="Arial"/>
                <w:sz w:val="15"/>
                <w:szCs w:val="15"/>
                <w:color w:val="auto"/>
                <w:w w:val="95"/>
              </w:rPr>
              <w:t>$</w:t>
            </w:r>
          </w:p>
        </w:tc>
        <w:tc>
          <w:tcPr>
            <w:tcW w:w="1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220,990</w:t>
            </w:r>
          </w:p>
        </w:tc>
        <w:tc>
          <w:tcPr>
            <w:tcW w:w="80" w:type="dxa"/>
            <w:vAlign w:val="bottom"/>
            <w:tcBorders>
              <w:bottom w:val="single" w:sz="8" w:color="DBDBDB"/>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ind w:right="743"/>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79,865</w:t>
            </w:r>
          </w:p>
        </w:tc>
      </w:tr>
      <w:tr>
        <w:trPr>
          <w:trHeight w:val="20"/>
        </w:trPr>
        <w:tc>
          <w:tcPr>
            <w:tcW w:w="620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9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Finance lease liabilities are included within long-term debt and current portion of long-term debt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14" w:name="page15"/>
    <w:bookmarkEnd w:id="14"/>
    <w:p>
      <w:pPr>
        <w:ind w:left="620"/>
        <w:spacing w:after="0"/>
        <w:rPr>
          <w:sz w:val="20"/>
          <w:szCs w:val="20"/>
          <w:color w:val="auto"/>
        </w:rPr>
      </w:pPr>
      <w:r>
        <w:rPr>
          <w:rFonts w:ascii="Arial" w:cs="Arial" w:eastAsia="Arial" w:hAnsi="Arial"/>
          <w:sz w:val="15"/>
          <w:szCs w:val="15"/>
          <w:color w:val="auto"/>
        </w:rPr>
        <w:t>The Company’s lease activity during the three months ended March 31, 2023 and 2022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580" w:type="dxa"/>
            <w:vAlign w:val="bottom"/>
            <w:shd w:val="clear" w:color="auto" w:fill="1D2758"/>
          </w:tcPr>
          <w:p>
            <w:pPr>
              <w:spacing w:after="0"/>
              <w:rPr>
                <w:sz w:val="17"/>
                <w:szCs w:val="17"/>
                <w:color w:val="auto"/>
              </w:rPr>
            </w:pPr>
          </w:p>
        </w:tc>
        <w:tc>
          <w:tcPr>
            <w:tcW w:w="4440" w:type="dxa"/>
            <w:vAlign w:val="bottom"/>
            <w:gridSpan w:val="4"/>
            <w:shd w:val="clear" w:color="auto" w:fill="1D2758"/>
          </w:tcPr>
          <w:p>
            <w:pPr>
              <w:jc w:val="right"/>
              <w:ind w:right="1283"/>
              <w:spacing w:after="0"/>
              <w:rPr>
                <w:sz w:val="20"/>
                <w:szCs w:val="20"/>
                <w:color w:val="auto"/>
              </w:rPr>
            </w:pPr>
            <w:r>
              <w:rPr>
                <w:rFonts w:ascii="Arial" w:cs="Arial" w:eastAsia="Arial" w:hAnsi="Arial"/>
                <w:sz w:val="15"/>
                <w:szCs w:val="15"/>
                <w:b w:val="1"/>
                <w:bCs w:val="1"/>
                <w:color w:val="FFFFFF"/>
              </w:rPr>
              <w:t>Three Months Ended March 31,</w:t>
            </w:r>
          </w:p>
        </w:tc>
      </w:t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Financial Statement Line</w:t>
            </w:r>
          </w:p>
        </w:tc>
        <w:tc>
          <w:tcPr>
            <w:tcW w:w="580" w:type="dxa"/>
            <w:vAlign w:val="bottom"/>
            <w:shd w:val="clear" w:color="auto" w:fill="1D2758"/>
          </w:tcPr>
          <w:p>
            <w:pPr>
              <w:spacing w:after="0"/>
              <w:rPr>
                <w:sz w:val="17"/>
                <w:szCs w:val="17"/>
                <w:color w:val="auto"/>
              </w:rPr>
            </w:pPr>
          </w:p>
        </w:tc>
        <w:tc>
          <w:tcPr>
            <w:tcW w:w="1880" w:type="dxa"/>
            <w:vAlign w:val="bottom"/>
            <w:shd w:val="clear" w:color="auto" w:fill="1D2758"/>
          </w:tcPr>
          <w:p>
            <w:pPr>
              <w:jc w:val="right"/>
              <w:ind w:right="983"/>
              <w:spacing w:after="0"/>
              <w:rPr>
                <w:sz w:val="20"/>
                <w:szCs w:val="20"/>
                <w:color w:val="auto"/>
              </w:rPr>
            </w:pPr>
            <w:r>
              <w:rPr>
                <w:rFonts w:ascii="Arial" w:cs="Arial" w:eastAsia="Arial" w:hAnsi="Arial"/>
                <w:sz w:val="15"/>
                <w:szCs w:val="15"/>
                <w:b w:val="1"/>
                <w:bCs w:val="1"/>
                <w:color w:val="FFFFFF"/>
              </w:rPr>
              <w:t>2023</w:t>
            </w:r>
          </w:p>
        </w:tc>
        <w:tc>
          <w:tcPr>
            <w:tcW w:w="80" w:type="dxa"/>
            <w:vAlign w:val="bottom"/>
            <w:shd w:val="clear" w:color="auto" w:fill="1D2758"/>
          </w:tcPr>
          <w:p>
            <w:pPr>
              <w:spacing w:after="0"/>
              <w:rPr>
                <w:sz w:val="17"/>
                <w:szCs w:val="17"/>
                <w:color w:val="auto"/>
              </w:rPr>
            </w:pPr>
          </w:p>
        </w:tc>
        <w:tc>
          <w:tcPr>
            <w:tcW w:w="600" w:type="dxa"/>
            <w:vAlign w:val="bottom"/>
            <w:shd w:val="clear" w:color="auto" w:fill="1D2758"/>
          </w:tcPr>
          <w:p>
            <w:pPr>
              <w:spacing w:after="0"/>
              <w:rPr>
                <w:sz w:val="17"/>
                <w:szCs w:val="17"/>
                <w:color w:val="auto"/>
              </w:rPr>
            </w:pPr>
          </w:p>
        </w:tc>
        <w:tc>
          <w:tcPr>
            <w:tcW w:w="1880" w:type="dxa"/>
            <w:vAlign w:val="bottom"/>
            <w:shd w:val="clear" w:color="auto" w:fill="1D2758"/>
          </w:tcPr>
          <w:p>
            <w:pPr>
              <w:jc w:val="right"/>
              <w:ind w:right="983"/>
              <w:spacing w:after="0"/>
              <w:rPr>
                <w:sz w:val="20"/>
                <w:szCs w:val="20"/>
                <w:color w:val="auto"/>
              </w:rPr>
            </w:pPr>
            <w:r>
              <w:rPr>
                <w:rFonts w:ascii="Arial" w:cs="Arial" w:eastAsia="Arial" w:hAnsi="Arial"/>
                <w:sz w:val="15"/>
                <w:szCs w:val="15"/>
                <w:b w:val="1"/>
                <w:bCs w:val="1"/>
                <w:color w:val="FFFFFF"/>
              </w:rPr>
              <w:t>2022</w:t>
            </w: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Finance Lease Expense</w:t>
            </w:r>
          </w:p>
        </w:tc>
        <w:tc>
          <w:tcPr>
            <w:tcW w:w="580" w:type="dxa"/>
            <w:vAlign w:val="bottom"/>
            <w:shd w:val="clear" w:color="auto" w:fill="DBDBDB"/>
          </w:tcPr>
          <w:p>
            <w:pPr>
              <w:spacing w:after="0"/>
              <w:rPr>
                <w:sz w:val="17"/>
                <w:szCs w:val="17"/>
                <w:color w:val="auto"/>
              </w:rPr>
            </w:pPr>
          </w:p>
        </w:tc>
        <w:tc>
          <w:tcPr>
            <w:tcW w:w="1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1880" w:type="dxa"/>
            <w:vAlign w:val="bottom"/>
            <w:shd w:val="clear" w:color="auto" w:fill="DBDBDB"/>
          </w:tcPr>
          <w:p>
            <w:pPr>
              <w:spacing w:after="0"/>
              <w:rPr>
                <w:sz w:val="17"/>
                <w:szCs w:val="17"/>
                <w:color w:val="auto"/>
              </w:rPr>
            </w:pPr>
          </w:p>
        </w:tc>
      </w:tr>
      <w:tr>
        <w:trPr>
          <w:trHeight w:val="205"/>
        </w:trPr>
        <w:tc>
          <w:tcPr>
            <w:tcW w:w="6220" w:type="dxa"/>
            <w:vAlign w:val="bottom"/>
          </w:tcPr>
          <w:p>
            <w:pPr>
              <w:ind w:left="320"/>
              <w:spacing w:after="0"/>
              <w:rPr>
                <w:sz w:val="20"/>
                <w:szCs w:val="20"/>
                <w:color w:val="auto"/>
              </w:rPr>
            </w:pPr>
            <w:r>
              <w:rPr>
                <w:rFonts w:ascii="Arial" w:cs="Arial" w:eastAsia="Arial" w:hAnsi="Arial"/>
                <w:sz w:val="15"/>
                <w:szCs w:val="15"/>
                <w:color w:val="auto"/>
              </w:rPr>
              <w:t>Amortization of finance lease assets</w:t>
            </w:r>
          </w:p>
        </w:tc>
        <w:tc>
          <w:tcPr>
            <w:tcW w:w="580" w:type="dxa"/>
            <w:vAlign w:val="bottom"/>
          </w:tcPr>
          <w:p>
            <w:pPr>
              <w:jc w:val="right"/>
              <w:ind w:right="403"/>
              <w:spacing w:after="0"/>
              <w:rPr>
                <w:sz w:val="20"/>
                <w:szCs w:val="20"/>
                <w:color w:val="auto"/>
              </w:rPr>
            </w:pPr>
            <w:r>
              <w:rPr>
                <w:rFonts w:ascii="Arial" w:cs="Arial" w:eastAsia="Arial" w:hAnsi="Arial"/>
                <w:sz w:val="15"/>
                <w:szCs w:val="15"/>
                <w:color w:val="auto"/>
                <w:w w:val="95"/>
              </w:rPr>
              <w:t>$</w:t>
            </w:r>
          </w:p>
        </w:tc>
        <w:tc>
          <w:tcPr>
            <w:tcW w:w="1880" w:type="dxa"/>
            <w:vAlign w:val="bottom"/>
          </w:tcPr>
          <w:p>
            <w:pPr>
              <w:jc w:val="right"/>
              <w:spacing w:after="0"/>
              <w:rPr>
                <w:sz w:val="20"/>
                <w:szCs w:val="20"/>
                <w:color w:val="auto"/>
              </w:rPr>
            </w:pPr>
            <w:r>
              <w:rPr>
                <w:rFonts w:ascii="Arial" w:cs="Arial" w:eastAsia="Arial" w:hAnsi="Arial"/>
                <w:sz w:val="15"/>
                <w:szCs w:val="15"/>
                <w:color w:val="auto"/>
              </w:rPr>
              <w:t>3,761</w:t>
            </w:r>
          </w:p>
        </w:tc>
        <w:tc>
          <w:tcPr>
            <w:tcW w:w="80" w:type="dxa"/>
            <w:vAlign w:val="bottom"/>
          </w:tcPr>
          <w:p>
            <w:pPr>
              <w:spacing w:after="0"/>
              <w:rPr>
                <w:sz w:val="17"/>
                <w:szCs w:val="17"/>
                <w:color w:val="auto"/>
              </w:rPr>
            </w:pPr>
          </w:p>
        </w:tc>
        <w:tc>
          <w:tcPr>
            <w:tcW w:w="600" w:type="dxa"/>
            <w:vAlign w:val="bottom"/>
          </w:tcPr>
          <w:p>
            <w:pPr>
              <w:jc w:val="right"/>
              <w:ind w:right="403"/>
              <w:spacing w:after="0"/>
              <w:rPr>
                <w:sz w:val="20"/>
                <w:szCs w:val="20"/>
                <w:color w:val="auto"/>
              </w:rPr>
            </w:pPr>
            <w:r>
              <w:rPr>
                <w:rFonts w:ascii="Arial" w:cs="Arial" w:eastAsia="Arial" w:hAnsi="Arial"/>
                <w:sz w:val="15"/>
                <w:szCs w:val="15"/>
                <w:color w:val="auto"/>
              </w:rPr>
              <w:t>$</w:t>
            </w:r>
          </w:p>
        </w:tc>
        <w:tc>
          <w:tcPr>
            <w:tcW w:w="1880" w:type="dxa"/>
            <w:vAlign w:val="bottom"/>
          </w:tcPr>
          <w:p>
            <w:pPr>
              <w:jc w:val="right"/>
              <w:spacing w:after="0"/>
              <w:rPr>
                <w:sz w:val="20"/>
                <w:szCs w:val="20"/>
                <w:color w:val="auto"/>
              </w:rPr>
            </w:pPr>
            <w:r>
              <w:rPr>
                <w:rFonts w:ascii="Arial" w:cs="Arial" w:eastAsia="Arial" w:hAnsi="Arial"/>
                <w:sz w:val="15"/>
                <w:szCs w:val="15"/>
                <w:color w:val="auto"/>
              </w:rPr>
              <w:t>3,333</w:t>
            </w:r>
          </w:p>
        </w:tc>
      </w:tr>
      <w:tr>
        <w:trPr>
          <w:trHeight w:val="206"/>
        </w:trPr>
        <w:tc>
          <w:tcPr>
            <w:tcW w:w="6220" w:type="dxa"/>
            <w:vAlign w:val="bottom"/>
            <w:shd w:val="clear" w:color="auto" w:fill="DBDBDB"/>
          </w:tcPr>
          <w:p>
            <w:pPr>
              <w:ind w:left="320"/>
              <w:spacing w:after="0"/>
              <w:rPr>
                <w:sz w:val="20"/>
                <w:szCs w:val="20"/>
                <w:color w:val="auto"/>
              </w:rPr>
            </w:pPr>
            <w:r>
              <w:rPr>
                <w:rFonts w:ascii="Arial" w:cs="Arial" w:eastAsia="Arial" w:hAnsi="Arial"/>
                <w:sz w:val="15"/>
                <w:szCs w:val="15"/>
                <w:color w:val="auto"/>
              </w:rPr>
              <w:t>Interest on obligations under finance leases</w:t>
            </w:r>
          </w:p>
        </w:tc>
        <w:tc>
          <w:tcPr>
            <w:tcW w:w="580" w:type="dxa"/>
            <w:vAlign w:val="bottom"/>
            <w:tcBorders>
              <w:bottom w:val="single" w:sz="8" w:color="auto"/>
            </w:tcBorders>
            <w:shd w:val="clear" w:color="auto" w:fill="DBDBDB"/>
          </w:tcPr>
          <w:p>
            <w:pPr>
              <w:spacing w:after="0"/>
              <w:rPr>
                <w:sz w:val="17"/>
                <w:szCs w:val="17"/>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759</w:t>
            </w:r>
          </w:p>
        </w:tc>
        <w:tc>
          <w:tcPr>
            <w:tcW w:w="80" w:type="dxa"/>
            <w:vAlign w:val="bottom"/>
            <w:shd w:val="clear" w:color="auto" w:fill="DBDBDB"/>
          </w:tcPr>
          <w:p>
            <w:pPr>
              <w:spacing w:after="0"/>
              <w:rPr>
                <w:sz w:val="17"/>
                <w:szCs w:val="17"/>
                <w:color w:val="auto"/>
              </w:rPr>
            </w:pPr>
          </w:p>
        </w:tc>
        <w:tc>
          <w:tcPr>
            <w:tcW w:w="600" w:type="dxa"/>
            <w:vAlign w:val="bottom"/>
            <w:tcBorders>
              <w:bottom w:val="single" w:sz="8" w:color="auto"/>
            </w:tcBorders>
            <w:shd w:val="clear" w:color="auto" w:fill="DBDBDB"/>
          </w:tcPr>
          <w:p>
            <w:pPr>
              <w:spacing w:after="0"/>
              <w:rPr>
                <w:sz w:val="17"/>
                <w:szCs w:val="17"/>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429</w:t>
            </w:r>
          </w:p>
        </w:tc>
      </w:tr>
      <w:tr>
        <w:trPr>
          <w:trHeight w:val="200"/>
        </w:trPr>
        <w:tc>
          <w:tcPr>
            <w:tcW w:w="6220" w:type="dxa"/>
            <w:vAlign w:val="bottom"/>
          </w:tcPr>
          <w:p>
            <w:pPr>
              <w:ind w:left="20"/>
              <w:spacing w:after="0"/>
              <w:rPr>
                <w:sz w:val="20"/>
                <w:szCs w:val="20"/>
                <w:color w:val="auto"/>
              </w:rPr>
            </w:pPr>
            <w:r>
              <w:rPr>
                <w:rFonts w:ascii="Arial" w:cs="Arial" w:eastAsia="Arial" w:hAnsi="Arial"/>
                <w:sz w:val="15"/>
                <w:szCs w:val="15"/>
                <w:color w:val="auto"/>
              </w:rPr>
              <w:t>Total finance lease expense</w:t>
            </w:r>
          </w:p>
        </w:tc>
        <w:tc>
          <w:tcPr>
            <w:tcW w:w="58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4,520</w:t>
            </w:r>
          </w:p>
        </w:tc>
        <w:tc>
          <w:tcPr>
            <w:tcW w:w="80" w:type="dxa"/>
            <w:vAlign w:val="bottom"/>
          </w:tcPr>
          <w:p>
            <w:pPr>
              <w:spacing w:after="0"/>
              <w:rPr>
                <w:sz w:val="17"/>
                <w:szCs w:val="17"/>
                <w:color w:val="auto"/>
              </w:rPr>
            </w:pPr>
          </w:p>
        </w:tc>
        <w:tc>
          <w:tcPr>
            <w:tcW w:w="60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3,762</w:t>
            </w:r>
          </w:p>
        </w:tc>
      </w:tr>
      <w:tr>
        <w:trPr>
          <w:trHeight w:val="20"/>
        </w:trPr>
        <w:tc>
          <w:tcPr>
            <w:tcW w:w="6220" w:type="dxa"/>
            <w:vAlign w:val="bottom"/>
            <w:tcBorders>
              <w:bottom w:val="single" w:sz="8" w:color="DBDBDB"/>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11"/>
        </w:trPr>
        <w:tc>
          <w:tcPr>
            <w:tcW w:w="622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r>
      <w:tr>
        <w:trPr>
          <w:trHeight w:val="205"/>
        </w:trPr>
        <w:tc>
          <w:tcPr>
            <w:tcW w:w="6220" w:type="dxa"/>
            <w:vAlign w:val="bottom"/>
          </w:tcPr>
          <w:p>
            <w:pPr>
              <w:ind w:left="20"/>
              <w:spacing w:after="0"/>
              <w:rPr>
                <w:sz w:val="20"/>
                <w:szCs w:val="20"/>
                <w:color w:val="auto"/>
              </w:rPr>
            </w:pPr>
            <w:r>
              <w:rPr>
                <w:rFonts w:ascii="Arial" w:cs="Arial" w:eastAsia="Arial" w:hAnsi="Arial"/>
                <w:sz w:val="15"/>
                <w:szCs w:val="15"/>
                <w:color w:val="auto"/>
              </w:rPr>
              <w:t>Operating Lease Expense</w:t>
            </w:r>
          </w:p>
        </w:tc>
        <w:tc>
          <w:tcPr>
            <w:tcW w:w="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7"/>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Fixed lease expense</w:t>
            </w:r>
          </w:p>
        </w:tc>
        <w:tc>
          <w:tcPr>
            <w:tcW w:w="58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r>
      <w:tr>
        <w:trPr>
          <w:trHeight w:val="205"/>
        </w:trPr>
        <w:tc>
          <w:tcPr>
            <w:tcW w:w="6220" w:type="dxa"/>
            <w:vAlign w:val="bottom"/>
          </w:tcPr>
          <w:p>
            <w:pPr>
              <w:ind w:left="540"/>
              <w:spacing w:after="0"/>
              <w:rPr>
                <w:sz w:val="20"/>
                <w:szCs w:val="20"/>
                <w:color w:val="auto"/>
              </w:rPr>
            </w:pPr>
            <w:r>
              <w:rPr>
                <w:rFonts w:ascii="Arial" w:cs="Arial" w:eastAsia="Arial" w:hAnsi="Arial"/>
                <w:sz w:val="15"/>
                <w:szCs w:val="15"/>
                <w:color w:val="auto"/>
              </w:rPr>
              <w:t>Cost of leasing and services</w:t>
            </w:r>
          </w:p>
        </w:tc>
        <w:tc>
          <w:tcPr>
            <w:tcW w:w="580" w:type="dxa"/>
            <w:vAlign w:val="bottom"/>
          </w:tcPr>
          <w:p>
            <w:pPr>
              <w:jc w:val="right"/>
              <w:ind w:right="403"/>
              <w:spacing w:after="0"/>
              <w:rPr>
                <w:sz w:val="20"/>
                <w:szCs w:val="20"/>
                <w:color w:val="auto"/>
              </w:rPr>
            </w:pPr>
            <w:r>
              <w:rPr>
                <w:rFonts w:ascii="Arial" w:cs="Arial" w:eastAsia="Arial" w:hAnsi="Arial"/>
                <w:sz w:val="15"/>
                <w:szCs w:val="15"/>
                <w:color w:val="auto"/>
                <w:w w:val="95"/>
              </w:rPr>
              <w:t>$</w:t>
            </w:r>
          </w:p>
        </w:tc>
        <w:tc>
          <w:tcPr>
            <w:tcW w:w="1880" w:type="dxa"/>
            <w:vAlign w:val="bottom"/>
          </w:tcPr>
          <w:p>
            <w:pPr>
              <w:jc w:val="right"/>
              <w:spacing w:after="0"/>
              <w:rPr>
                <w:sz w:val="20"/>
                <w:szCs w:val="20"/>
                <w:color w:val="auto"/>
              </w:rPr>
            </w:pPr>
            <w:r>
              <w:rPr>
                <w:rFonts w:ascii="Arial" w:cs="Arial" w:eastAsia="Arial" w:hAnsi="Arial"/>
                <w:sz w:val="15"/>
                <w:szCs w:val="15"/>
                <w:color w:val="auto"/>
              </w:rPr>
              <w:t>420</w:t>
            </w:r>
          </w:p>
        </w:tc>
        <w:tc>
          <w:tcPr>
            <w:tcW w:w="80" w:type="dxa"/>
            <w:vAlign w:val="bottom"/>
          </w:tcPr>
          <w:p>
            <w:pPr>
              <w:spacing w:after="0"/>
              <w:rPr>
                <w:sz w:val="17"/>
                <w:szCs w:val="17"/>
                <w:color w:val="auto"/>
              </w:rPr>
            </w:pPr>
          </w:p>
        </w:tc>
        <w:tc>
          <w:tcPr>
            <w:tcW w:w="600" w:type="dxa"/>
            <w:vAlign w:val="bottom"/>
          </w:tcPr>
          <w:p>
            <w:pPr>
              <w:jc w:val="right"/>
              <w:ind w:right="403"/>
              <w:spacing w:after="0"/>
              <w:rPr>
                <w:sz w:val="20"/>
                <w:szCs w:val="20"/>
                <w:color w:val="auto"/>
              </w:rPr>
            </w:pPr>
            <w:r>
              <w:rPr>
                <w:rFonts w:ascii="Arial" w:cs="Arial" w:eastAsia="Arial" w:hAnsi="Arial"/>
                <w:sz w:val="15"/>
                <w:szCs w:val="15"/>
                <w:color w:val="auto"/>
              </w:rPr>
              <w:t>$</w:t>
            </w:r>
          </w:p>
        </w:tc>
        <w:tc>
          <w:tcPr>
            <w:tcW w:w="1880" w:type="dxa"/>
            <w:vAlign w:val="bottom"/>
          </w:tcPr>
          <w:p>
            <w:pPr>
              <w:jc w:val="right"/>
              <w:spacing w:after="0"/>
              <w:rPr>
                <w:sz w:val="20"/>
                <w:szCs w:val="20"/>
                <w:color w:val="auto"/>
              </w:rPr>
            </w:pPr>
            <w:r>
              <w:rPr>
                <w:rFonts w:ascii="Arial" w:cs="Arial" w:eastAsia="Arial" w:hAnsi="Arial"/>
                <w:sz w:val="15"/>
                <w:szCs w:val="15"/>
                <w:color w:val="auto"/>
              </w:rPr>
              <w:t>825</w:t>
            </w:r>
          </w:p>
        </w:tc>
      </w:tr>
      <w:tr>
        <w:trPr>
          <w:trHeight w:val="207"/>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Selling, general and administrative</w:t>
            </w:r>
          </w:p>
        </w:tc>
        <w:tc>
          <w:tcPr>
            <w:tcW w:w="580" w:type="dxa"/>
            <w:vAlign w:val="bottom"/>
            <w:shd w:val="clear" w:color="auto" w:fill="DBDBDB"/>
          </w:tcPr>
          <w:p>
            <w:pPr>
              <w:spacing w:after="0"/>
              <w:rPr>
                <w:sz w:val="18"/>
                <w:szCs w:val="18"/>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15,717</w:t>
            </w:r>
          </w:p>
        </w:tc>
        <w:tc>
          <w:tcPr>
            <w:tcW w:w="8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14,930</w:t>
            </w:r>
          </w:p>
        </w:tc>
      </w:tr>
      <w:tr>
        <w:trPr>
          <w:trHeight w:val="205"/>
        </w:trPr>
        <w:tc>
          <w:tcPr>
            <w:tcW w:w="6220" w:type="dxa"/>
            <w:vAlign w:val="bottom"/>
          </w:tcPr>
          <w:p>
            <w:pPr>
              <w:ind w:left="220"/>
              <w:spacing w:after="0"/>
              <w:rPr>
                <w:sz w:val="20"/>
                <w:szCs w:val="20"/>
                <w:color w:val="auto"/>
              </w:rPr>
            </w:pPr>
            <w:r>
              <w:rPr>
                <w:rFonts w:ascii="Arial" w:cs="Arial" w:eastAsia="Arial" w:hAnsi="Arial"/>
                <w:sz w:val="15"/>
                <w:szCs w:val="15"/>
                <w:color w:val="auto"/>
              </w:rPr>
              <w:t>Short-term lease expense</w:t>
            </w:r>
          </w:p>
        </w:tc>
        <w:tc>
          <w:tcPr>
            <w:tcW w:w="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7"/>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Cost of leasing and services</w:t>
            </w:r>
          </w:p>
        </w:tc>
        <w:tc>
          <w:tcPr>
            <w:tcW w:w="580" w:type="dxa"/>
            <w:vAlign w:val="bottom"/>
            <w:shd w:val="clear" w:color="auto" w:fill="DBDBDB"/>
          </w:tcPr>
          <w:p>
            <w:pPr>
              <w:spacing w:after="0"/>
              <w:rPr>
                <w:sz w:val="18"/>
                <w:szCs w:val="18"/>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6,654</w:t>
            </w:r>
          </w:p>
        </w:tc>
        <w:tc>
          <w:tcPr>
            <w:tcW w:w="8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8,862</w:t>
            </w:r>
          </w:p>
        </w:tc>
      </w:tr>
      <w:tr>
        <w:trPr>
          <w:trHeight w:val="205"/>
        </w:trPr>
        <w:tc>
          <w:tcPr>
            <w:tcW w:w="6220" w:type="dxa"/>
            <w:vAlign w:val="bottom"/>
          </w:tcPr>
          <w:p>
            <w:pPr>
              <w:ind w:left="540"/>
              <w:spacing w:after="0"/>
              <w:rPr>
                <w:sz w:val="20"/>
                <w:szCs w:val="20"/>
                <w:color w:val="auto"/>
              </w:rPr>
            </w:pPr>
            <w:r>
              <w:rPr>
                <w:rFonts w:ascii="Arial" w:cs="Arial" w:eastAsia="Arial" w:hAnsi="Arial"/>
                <w:sz w:val="15"/>
                <w:szCs w:val="15"/>
                <w:color w:val="auto"/>
              </w:rPr>
              <w:t>Selling, general and administrative</w:t>
            </w:r>
          </w:p>
        </w:tc>
        <w:tc>
          <w:tcPr>
            <w:tcW w:w="5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462</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668</w:t>
            </w:r>
          </w:p>
        </w:tc>
      </w:tr>
      <w:tr>
        <w:trPr>
          <w:trHeight w:val="207"/>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Variable lease expense</w:t>
            </w:r>
          </w:p>
        </w:tc>
        <w:tc>
          <w:tcPr>
            <w:tcW w:w="58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r>
      <w:tr>
        <w:trPr>
          <w:trHeight w:val="205"/>
        </w:trPr>
        <w:tc>
          <w:tcPr>
            <w:tcW w:w="6220" w:type="dxa"/>
            <w:vAlign w:val="bottom"/>
          </w:tcPr>
          <w:p>
            <w:pPr>
              <w:ind w:left="540"/>
              <w:spacing w:after="0"/>
              <w:rPr>
                <w:sz w:val="20"/>
                <w:szCs w:val="20"/>
                <w:color w:val="auto"/>
              </w:rPr>
            </w:pPr>
            <w:r>
              <w:rPr>
                <w:rFonts w:ascii="Arial" w:cs="Arial" w:eastAsia="Arial" w:hAnsi="Arial"/>
                <w:sz w:val="15"/>
                <w:szCs w:val="15"/>
                <w:color w:val="auto"/>
              </w:rPr>
              <w:t>Cost of leasing and services</w:t>
            </w:r>
          </w:p>
        </w:tc>
        <w:tc>
          <w:tcPr>
            <w:tcW w:w="5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1,026</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1,287</w:t>
            </w:r>
          </w:p>
        </w:tc>
      </w:tr>
      <w:tr>
        <w:trPr>
          <w:trHeight w:val="206"/>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Selling, general and administrative</w:t>
            </w:r>
          </w:p>
        </w:tc>
        <w:tc>
          <w:tcPr>
            <w:tcW w:w="580" w:type="dxa"/>
            <w:vAlign w:val="bottom"/>
            <w:tcBorders>
              <w:bottom w:val="single" w:sz="8" w:color="auto"/>
            </w:tcBorders>
            <w:shd w:val="clear" w:color="auto" w:fill="DBDBDB"/>
          </w:tcPr>
          <w:p>
            <w:pPr>
              <w:spacing w:after="0"/>
              <w:rPr>
                <w:sz w:val="17"/>
                <w:szCs w:val="17"/>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2,474</w:t>
            </w:r>
          </w:p>
        </w:tc>
        <w:tc>
          <w:tcPr>
            <w:tcW w:w="80" w:type="dxa"/>
            <w:vAlign w:val="bottom"/>
            <w:shd w:val="clear" w:color="auto" w:fill="DBDBDB"/>
          </w:tcPr>
          <w:p>
            <w:pPr>
              <w:spacing w:after="0"/>
              <w:rPr>
                <w:sz w:val="17"/>
                <w:szCs w:val="17"/>
                <w:color w:val="auto"/>
              </w:rPr>
            </w:pPr>
          </w:p>
        </w:tc>
        <w:tc>
          <w:tcPr>
            <w:tcW w:w="600" w:type="dxa"/>
            <w:vAlign w:val="bottom"/>
            <w:tcBorders>
              <w:bottom w:val="single" w:sz="8" w:color="auto"/>
            </w:tcBorders>
            <w:shd w:val="clear" w:color="auto" w:fill="DBDBDB"/>
          </w:tcPr>
          <w:p>
            <w:pPr>
              <w:spacing w:after="0"/>
              <w:rPr>
                <w:sz w:val="17"/>
                <w:szCs w:val="17"/>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1,767</w:t>
            </w:r>
          </w:p>
        </w:tc>
      </w:tr>
      <w:tr>
        <w:trPr>
          <w:trHeight w:val="200"/>
        </w:trPr>
        <w:tc>
          <w:tcPr>
            <w:tcW w:w="6220" w:type="dxa"/>
            <w:vAlign w:val="bottom"/>
          </w:tcPr>
          <w:p>
            <w:pPr>
              <w:ind w:left="20"/>
              <w:spacing w:after="0"/>
              <w:rPr>
                <w:sz w:val="20"/>
                <w:szCs w:val="20"/>
                <w:color w:val="auto"/>
              </w:rPr>
            </w:pPr>
            <w:r>
              <w:rPr>
                <w:rFonts w:ascii="Arial" w:cs="Arial" w:eastAsia="Arial" w:hAnsi="Arial"/>
                <w:sz w:val="15"/>
                <w:szCs w:val="15"/>
                <w:color w:val="auto"/>
              </w:rPr>
              <w:t>Total operating lease expense</w:t>
            </w:r>
          </w:p>
        </w:tc>
        <w:tc>
          <w:tcPr>
            <w:tcW w:w="58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26,753</w:t>
            </w:r>
          </w:p>
        </w:tc>
        <w:tc>
          <w:tcPr>
            <w:tcW w:w="80" w:type="dxa"/>
            <w:vAlign w:val="bottom"/>
          </w:tcPr>
          <w:p>
            <w:pPr>
              <w:spacing w:after="0"/>
              <w:rPr>
                <w:sz w:val="17"/>
                <w:szCs w:val="17"/>
                <w:color w:val="auto"/>
              </w:rPr>
            </w:pPr>
          </w:p>
        </w:tc>
        <w:tc>
          <w:tcPr>
            <w:tcW w:w="60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28,339</w:t>
            </w:r>
          </w:p>
        </w:tc>
      </w:tr>
      <w:tr>
        <w:trPr>
          <w:trHeight w:val="20"/>
        </w:trPr>
        <w:tc>
          <w:tcPr>
            <w:tcW w:w="6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Supplemental cash flow information related to leases for the three months ended March 31, 2023 and 2022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80" w:type="dxa"/>
            <w:vAlign w:val="bottom"/>
            <w:shd w:val="clear" w:color="auto" w:fill="1D2758"/>
          </w:tcPr>
          <w:p>
            <w:pPr>
              <w:spacing w:after="0"/>
              <w:rPr>
                <w:sz w:val="17"/>
                <w:szCs w:val="17"/>
                <w:color w:val="auto"/>
              </w:rPr>
            </w:pPr>
          </w:p>
        </w:tc>
        <w:tc>
          <w:tcPr>
            <w:tcW w:w="4240" w:type="dxa"/>
            <w:vAlign w:val="bottom"/>
            <w:gridSpan w:val="3"/>
            <w:shd w:val="clear" w:color="auto" w:fill="1D2758"/>
          </w:tcPr>
          <w:p>
            <w:pPr>
              <w:jc w:val="right"/>
              <w:ind w:right="1043"/>
              <w:spacing w:after="0"/>
              <w:rPr>
                <w:sz w:val="20"/>
                <w:szCs w:val="20"/>
                <w:color w:val="auto"/>
              </w:rPr>
            </w:pPr>
            <w:r>
              <w:rPr>
                <w:rFonts w:ascii="Arial" w:cs="Arial" w:eastAsia="Arial" w:hAnsi="Arial"/>
                <w:sz w:val="15"/>
                <w:szCs w:val="15"/>
                <w:b w:val="1"/>
                <w:bCs w:val="1"/>
                <w:color w:val="FFFFFF"/>
              </w:rPr>
              <w:t>Three Months Ended March 31,</w:t>
            </w:r>
          </w:p>
        </w:tc>
      </w:tr>
      <w:tr>
        <w:trPr>
          <w:trHeight w:val="206"/>
        </w:trPr>
        <w:tc>
          <w:tcPr>
            <w:tcW w:w="67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Supplemental Cash Flow Information</w:t>
            </w:r>
          </w:p>
        </w:tc>
        <w:tc>
          <w:tcPr>
            <w:tcW w:w="280" w:type="dxa"/>
            <w:vAlign w:val="bottom"/>
            <w:shd w:val="clear" w:color="auto" w:fill="1D2758"/>
          </w:tcPr>
          <w:p>
            <w:pPr>
              <w:spacing w:after="0"/>
              <w:rPr>
                <w:sz w:val="17"/>
                <w:szCs w:val="17"/>
                <w:color w:val="auto"/>
              </w:rPr>
            </w:pPr>
          </w:p>
        </w:tc>
        <w:tc>
          <w:tcPr>
            <w:tcW w:w="1960" w:type="dxa"/>
            <w:vAlign w:val="bottom"/>
            <w:shd w:val="clear" w:color="auto" w:fill="1D2758"/>
          </w:tcPr>
          <w:p>
            <w:pPr>
              <w:jc w:val="right"/>
              <w:ind w:right="883"/>
              <w:spacing w:after="0"/>
              <w:rPr>
                <w:sz w:val="20"/>
                <w:szCs w:val="20"/>
                <w:color w:val="auto"/>
              </w:rPr>
            </w:pPr>
            <w:r>
              <w:rPr>
                <w:rFonts w:ascii="Arial" w:cs="Arial" w:eastAsia="Arial" w:hAnsi="Arial"/>
                <w:sz w:val="15"/>
                <w:szCs w:val="15"/>
                <w:b w:val="1"/>
                <w:bCs w:val="1"/>
                <w:color w:val="FFFFFF"/>
              </w:rPr>
              <w:t>2023</w:t>
            </w:r>
          </w:p>
        </w:tc>
        <w:tc>
          <w:tcPr>
            <w:tcW w:w="300" w:type="dxa"/>
            <w:vAlign w:val="bottom"/>
            <w:shd w:val="clear" w:color="auto" w:fill="1D2758"/>
          </w:tcPr>
          <w:p>
            <w:pPr>
              <w:spacing w:after="0"/>
              <w:rPr>
                <w:sz w:val="17"/>
                <w:szCs w:val="17"/>
                <w:color w:val="auto"/>
              </w:rPr>
            </w:pPr>
          </w:p>
        </w:tc>
        <w:tc>
          <w:tcPr>
            <w:tcW w:w="1980" w:type="dxa"/>
            <w:vAlign w:val="bottom"/>
            <w:shd w:val="clear" w:color="auto" w:fill="1D2758"/>
          </w:tcPr>
          <w:p>
            <w:pPr>
              <w:jc w:val="right"/>
              <w:ind w:right="863"/>
              <w:spacing w:after="0"/>
              <w:rPr>
                <w:sz w:val="20"/>
                <w:szCs w:val="20"/>
                <w:color w:val="auto"/>
              </w:rPr>
            </w:pPr>
            <w:r>
              <w:rPr>
                <w:rFonts w:ascii="Arial" w:cs="Arial" w:eastAsia="Arial" w:hAnsi="Arial"/>
                <w:sz w:val="15"/>
                <w:szCs w:val="15"/>
                <w:b w:val="1"/>
                <w:bCs w:val="1"/>
                <w:color w:val="FFFFFF"/>
              </w:rPr>
              <w:t>2022</w:t>
            </w:r>
          </w:p>
        </w:tc>
      </w:tr>
      <w:tr>
        <w:trPr>
          <w:trHeight w:val="206"/>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paid for the amounts included in the measurement of lease liabilities:</w:t>
            </w:r>
          </w:p>
        </w:tc>
        <w:tc>
          <w:tcPr>
            <w:tcW w:w="280" w:type="dxa"/>
            <w:vAlign w:val="bottom"/>
            <w:shd w:val="clear" w:color="auto" w:fill="DBDBDB"/>
          </w:tcPr>
          <w:p>
            <w:pPr>
              <w:spacing w:after="0"/>
              <w:rPr>
                <w:sz w:val="17"/>
                <w:szCs w:val="17"/>
                <w:color w:val="auto"/>
              </w:rPr>
            </w:pPr>
          </w:p>
        </w:tc>
        <w:tc>
          <w:tcPr>
            <w:tcW w:w="196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980" w:type="dxa"/>
            <w:vAlign w:val="bottom"/>
            <w:shd w:val="clear" w:color="auto" w:fill="DBDBDB"/>
          </w:tcPr>
          <w:p>
            <w:pPr>
              <w:spacing w:after="0"/>
              <w:rPr>
                <w:sz w:val="17"/>
                <w:szCs w:val="17"/>
                <w:color w:val="auto"/>
              </w:rPr>
            </w:pPr>
          </w:p>
        </w:tc>
      </w:tr>
      <w:tr>
        <w:trPr>
          <w:trHeight w:val="205"/>
        </w:trPr>
        <w:tc>
          <w:tcPr>
            <w:tcW w:w="6720" w:type="dxa"/>
            <w:vAlign w:val="bottom"/>
          </w:tcPr>
          <w:p>
            <w:pPr>
              <w:ind w:left="120"/>
              <w:spacing w:after="0"/>
              <w:rPr>
                <w:sz w:val="20"/>
                <w:szCs w:val="20"/>
                <w:color w:val="auto"/>
              </w:rPr>
            </w:pPr>
            <w:r>
              <w:rPr>
                <w:rFonts w:ascii="Arial" w:cs="Arial" w:eastAsia="Arial" w:hAnsi="Arial"/>
                <w:sz w:val="15"/>
                <w:szCs w:val="15"/>
                <w:color w:val="auto"/>
              </w:rPr>
              <w:t>Operating cash outflows from operating leases</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960" w:type="dxa"/>
            <w:vAlign w:val="bottom"/>
          </w:tcPr>
          <w:p>
            <w:pPr>
              <w:jc w:val="right"/>
              <w:ind w:right="23"/>
              <w:spacing w:after="0"/>
              <w:rPr>
                <w:sz w:val="20"/>
                <w:szCs w:val="20"/>
                <w:color w:val="auto"/>
              </w:rPr>
            </w:pPr>
            <w:r>
              <w:rPr>
                <w:rFonts w:ascii="Arial" w:cs="Arial" w:eastAsia="Arial" w:hAnsi="Arial"/>
                <w:sz w:val="15"/>
                <w:szCs w:val="15"/>
                <w:color w:val="auto"/>
              </w:rPr>
              <w:t>16,693</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980" w:type="dxa"/>
            <w:vAlign w:val="bottom"/>
          </w:tcPr>
          <w:p>
            <w:pPr>
              <w:jc w:val="right"/>
              <w:spacing w:after="0"/>
              <w:rPr>
                <w:sz w:val="20"/>
                <w:szCs w:val="20"/>
                <w:color w:val="auto"/>
              </w:rPr>
            </w:pPr>
            <w:r>
              <w:rPr>
                <w:rFonts w:ascii="Arial" w:cs="Arial" w:eastAsia="Arial" w:hAnsi="Arial"/>
                <w:sz w:val="15"/>
                <w:szCs w:val="15"/>
                <w:color w:val="auto"/>
              </w:rPr>
              <w:t>15,753</w:t>
            </w:r>
          </w:p>
        </w:tc>
      </w:tr>
      <w:tr>
        <w:trPr>
          <w:trHeight w:val="207"/>
        </w:trPr>
        <w:tc>
          <w:tcPr>
            <w:tcW w:w="6720" w:type="dxa"/>
            <w:vAlign w:val="bottom"/>
            <w:shd w:val="clear" w:color="auto" w:fill="DBDBDB"/>
          </w:tcPr>
          <w:p>
            <w:pPr>
              <w:ind w:left="120"/>
              <w:spacing w:after="0"/>
              <w:rPr>
                <w:sz w:val="20"/>
                <w:szCs w:val="20"/>
                <w:color w:val="auto"/>
              </w:rPr>
            </w:pPr>
            <w:r>
              <w:rPr>
                <w:rFonts w:ascii="Arial" w:cs="Arial" w:eastAsia="Arial" w:hAnsi="Arial"/>
                <w:sz w:val="15"/>
                <w:szCs w:val="15"/>
                <w:color w:val="auto"/>
              </w:rPr>
              <w:t>Operating cash outflows from finance leases</w:t>
            </w: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9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728</w:t>
            </w:r>
          </w:p>
        </w:tc>
        <w:tc>
          <w:tcPr>
            <w:tcW w:w="30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412</w:t>
            </w:r>
          </w:p>
        </w:tc>
      </w:tr>
      <w:tr>
        <w:trPr>
          <w:trHeight w:val="205"/>
        </w:trPr>
        <w:tc>
          <w:tcPr>
            <w:tcW w:w="6720" w:type="dxa"/>
            <w:vAlign w:val="bottom"/>
          </w:tcPr>
          <w:p>
            <w:pPr>
              <w:ind w:left="120"/>
              <w:spacing w:after="0"/>
              <w:rPr>
                <w:sz w:val="20"/>
                <w:szCs w:val="20"/>
                <w:color w:val="auto"/>
              </w:rPr>
            </w:pPr>
            <w:r>
              <w:rPr>
                <w:rFonts w:ascii="Arial" w:cs="Arial" w:eastAsia="Arial" w:hAnsi="Arial"/>
                <w:sz w:val="15"/>
                <w:szCs w:val="15"/>
                <w:color w:val="auto"/>
              </w:rPr>
              <w:t>Financing cash outflows from finance leases</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960" w:type="dxa"/>
            <w:vAlign w:val="bottom"/>
          </w:tcPr>
          <w:p>
            <w:pPr>
              <w:jc w:val="right"/>
              <w:ind w:right="23"/>
              <w:spacing w:after="0"/>
              <w:rPr>
                <w:sz w:val="20"/>
                <w:szCs w:val="20"/>
                <w:color w:val="auto"/>
              </w:rPr>
            </w:pPr>
            <w:r>
              <w:rPr>
                <w:rFonts w:ascii="Arial" w:cs="Arial" w:eastAsia="Arial" w:hAnsi="Arial"/>
                <w:sz w:val="15"/>
                <w:szCs w:val="15"/>
                <w:color w:val="auto"/>
              </w:rPr>
              <w:t>3,446</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980" w:type="dxa"/>
            <w:vAlign w:val="bottom"/>
          </w:tcPr>
          <w:p>
            <w:pPr>
              <w:jc w:val="right"/>
              <w:spacing w:after="0"/>
              <w:rPr>
                <w:sz w:val="20"/>
                <w:szCs w:val="20"/>
                <w:color w:val="auto"/>
              </w:rPr>
            </w:pPr>
            <w:r>
              <w:rPr>
                <w:rFonts w:ascii="Arial" w:cs="Arial" w:eastAsia="Arial" w:hAnsi="Arial"/>
                <w:sz w:val="15"/>
                <w:szCs w:val="15"/>
                <w:color w:val="auto"/>
              </w:rPr>
              <w:t>3,848</w:t>
            </w:r>
          </w:p>
        </w:tc>
      </w:tr>
      <w:tr>
        <w:trPr>
          <w:trHeight w:val="246"/>
        </w:trPr>
        <w:tc>
          <w:tcPr>
            <w:tcW w:w="672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196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980" w:type="dxa"/>
            <w:vAlign w:val="bottom"/>
            <w:shd w:val="clear" w:color="auto" w:fill="DBDBDB"/>
          </w:tcPr>
          <w:p>
            <w:pPr>
              <w:spacing w:after="0"/>
              <w:rPr>
                <w:sz w:val="21"/>
                <w:szCs w:val="21"/>
                <w:color w:val="auto"/>
              </w:rPr>
            </w:pPr>
          </w:p>
        </w:tc>
      </w:tr>
      <w:tr>
        <w:trPr>
          <w:trHeight w:val="205"/>
        </w:trPr>
        <w:tc>
          <w:tcPr>
            <w:tcW w:w="6720" w:type="dxa"/>
            <w:vAlign w:val="bottom"/>
          </w:tcPr>
          <w:p>
            <w:pPr>
              <w:ind w:left="20"/>
              <w:spacing w:after="0"/>
              <w:rPr>
                <w:sz w:val="20"/>
                <w:szCs w:val="20"/>
                <w:color w:val="auto"/>
              </w:rPr>
            </w:pPr>
            <w:r>
              <w:rPr>
                <w:rFonts w:ascii="Arial" w:cs="Arial" w:eastAsia="Arial" w:hAnsi="Arial"/>
                <w:sz w:val="15"/>
                <w:szCs w:val="15"/>
                <w:color w:val="auto"/>
              </w:rPr>
              <w:t>Right of use assets obtained in exchange for lease obligations</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960" w:type="dxa"/>
            <w:vAlign w:val="bottom"/>
          </w:tcPr>
          <w:p>
            <w:pPr>
              <w:jc w:val="right"/>
              <w:ind w:right="23"/>
              <w:spacing w:after="0"/>
              <w:rPr>
                <w:sz w:val="20"/>
                <w:szCs w:val="20"/>
                <w:color w:val="auto"/>
              </w:rPr>
            </w:pPr>
            <w:r>
              <w:rPr>
                <w:rFonts w:ascii="Arial" w:cs="Arial" w:eastAsia="Arial" w:hAnsi="Arial"/>
                <w:sz w:val="15"/>
                <w:szCs w:val="15"/>
                <w:color w:val="auto"/>
              </w:rPr>
              <w:t>8,741</w:t>
            </w: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980" w:type="dxa"/>
            <w:vAlign w:val="bottom"/>
          </w:tcPr>
          <w:p>
            <w:pPr>
              <w:jc w:val="right"/>
              <w:spacing w:after="0"/>
              <w:rPr>
                <w:sz w:val="20"/>
                <w:szCs w:val="20"/>
                <w:color w:val="auto"/>
              </w:rPr>
            </w:pPr>
            <w:r>
              <w:rPr>
                <w:rFonts w:ascii="Arial" w:cs="Arial" w:eastAsia="Arial" w:hAnsi="Arial"/>
                <w:sz w:val="15"/>
                <w:szCs w:val="15"/>
                <w:color w:val="auto"/>
              </w:rPr>
              <w:t>8,794</w:t>
            </w:r>
          </w:p>
        </w:tc>
      </w:tr>
      <w:tr>
        <w:trPr>
          <w:trHeight w:val="207"/>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Assets obtained in exchange for finance leases</w:t>
            </w: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19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8,913</w:t>
            </w:r>
          </w:p>
        </w:tc>
        <w:tc>
          <w:tcPr>
            <w:tcW w:w="30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5,411</w:t>
            </w:r>
          </w:p>
        </w:tc>
      </w:tr>
      <w:tr>
        <w:trPr>
          <w:trHeight w:val="310"/>
        </w:trPr>
        <w:tc>
          <w:tcPr>
            <w:tcW w:w="11240" w:type="dxa"/>
            <w:vAlign w:val="bottom"/>
            <w:gridSpan w:val="5"/>
          </w:tcPr>
          <w:p>
            <w:pPr>
              <w:ind w:left="620"/>
              <w:spacing w:after="0"/>
              <w:rPr>
                <w:sz w:val="20"/>
                <w:szCs w:val="20"/>
                <w:color w:val="auto"/>
              </w:rPr>
            </w:pPr>
            <w:r>
              <w:rPr>
                <w:rFonts w:ascii="Arial" w:cs="Arial" w:eastAsia="Arial" w:hAnsi="Arial"/>
                <w:sz w:val="15"/>
                <w:szCs w:val="15"/>
                <w:color w:val="auto"/>
              </w:rPr>
              <w:t>Weighted average remaining operating lease terms and the weighted average discount rates as of March 31, 2023 and December 31, 2022 were as</w:t>
            </w:r>
          </w:p>
        </w:tc>
      </w:tr>
      <w:tr>
        <w:trPr>
          <w:trHeight w:val="204"/>
        </w:trPr>
        <w:tc>
          <w:tcPr>
            <w:tcW w:w="6720" w:type="dxa"/>
            <w:vAlign w:val="bottom"/>
          </w:tcPr>
          <w:p>
            <w:pPr>
              <w:spacing w:after="0"/>
              <w:rPr>
                <w:sz w:val="20"/>
                <w:szCs w:val="20"/>
                <w:color w:val="auto"/>
              </w:rPr>
            </w:pPr>
            <w:r>
              <w:rPr>
                <w:rFonts w:ascii="Arial" w:cs="Arial" w:eastAsia="Arial" w:hAnsi="Arial"/>
                <w:sz w:val="15"/>
                <w:szCs w:val="15"/>
                <w:color w:val="auto"/>
              </w:rPr>
              <w:t>follows:</w:t>
            </w:r>
          </w:p>
        </w:tc>
        <w:tc>
          <w:tcPr>
            <w:tcW w:w="2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79"/>
        </w:trPr>
        <w:tc>
          <w:tcPr>
            <w:tcW w:w="6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980" w:type="dxa"/>
            <w:vAlign w:val="bottom"/>
          </w:tcPr>
          <w:p>
            <w:pPr>
              <w:spacing w:after="0"/>
              <w:rPr>
                <w:sz w:val="6"/>
                <w:szCs w:val="6"/>
                <w:color w:val="auto"/>
              </w:rPr>
            </w:pPr>
          </w:p>
        </w:tc>
      </w:tr>
      <w:tr>
        <w:trPr>
          <w:trHeight w:val="206"/>
        </w:trPr>
        <w:tc>
          <w:tcPr>
            <w:tcW w:w="67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Lease Terms and Discount Rates</w:t>
            </w:r>
          </w:p>
        </w:tc>
        <w:tc>
          <w:tcPr>
            <w:tcW w:w="280" w:type="dxa"/>
            <w:vAlign w:val="bottom"/>
            <w:shd w:val="clear" w:color="auto" w:fill="1D2758"/>
          </w:tcPr>
          <w:p>
            <w:pPr>
              <w:spacing w:after="0"/>
              <w:rPr>
                <w:sz w:val="17"/>
                <w:szCs w:val="17"/>
                <w:color w:val="auto"/>
              </w:rPr>
            </w:pPr>
          </w:p>
        </w:tc>
        <w:tc>
          <w:tcPr>
            <w:tcW w:w="196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March 31, 2023</w:t>
            </w:r>
          </w:p>
        </w:tc>
        <w:tc>
          <w:tcPr>
            <w:tcW w:w="300" w:type="dxa"/>
            <w:vAlign w:val="bottom"/>
            <w:shd w:val="clear" w:color="auto" w:fill="1D2758"/>
          </w:tcPr>
          <w:p>
            <w:pPr>
              <w:spacing w:after="0"/>
              <w:rPr>
                <w:sz w:val="17"/>
                <w:szCs w:val="17"/>
                <w:color w:val="auto"/>
              </w:rPr>
            </w:pPr>
          </w:p>
        </w:tc>
        <w:tc>
          <w:tcPr>
            <w:tcW w:w="1980" w:type="dxa"/>
            <w:vAlign w:val="bottom"/>
            <w:shd w:val="clear" w:color="auto" w:fill="1D2758"/>
          </w:tcPr>
          <w:p>
            <w:pPr>
              <w:jc w:val="right"/>
              <w:ind w:right="363"/>
              <w:spacing w:after="0"/>
              <w:rPr>
                <w:sz w:val="20"/>
                <w:szCs w:val="20"/>
                <w:color w:val="auto"/>
              </w:rPr>
            </w:pPr>
            <w:r>
              <w:rPr>
                <w:rFonts w:ascii="Arial" w:cs="Arial" w:eastAsia="Arial" w:hAnsi="Arial"/>
                <w:sz w:val="15"/>
                <w:szCs w:val="15"/>
                <w:b w:val="1"/>
                <w:bCs w:val="1"/>
                <w:color w:val="FFFFFF"/>
              </w:rPr>
              <w:t>December 31, 2022</w:t>
            </w:r>
          </w:p>
        </w:tc>
      </w:tr>
      <w:tr>
        <w:trPr>
          <w:trHeight w:val="206"/>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remaining lease term - operating leases</w:t>
            </w:r>
          </w:p>
        </w:tc>
        <w:tc>
          <w:tcPr>
            <w:tcW w:w="280" w:type="dxa"/>
            <w:vAlign w:val="bottom"/>
            <w:shd w:val="clear" w:color="auto" w:fill="DBDBDB"/>
          </w:tcPr>
          <w:p>
            <w:pPr>
              <w:spacing w:after="0"/>
              <w:rPr>
                <w:sz w:val="17"/>
                <w:szCs w:val="17"/>
                <w:color w:val="auto"/>
              </w:rPr>
            </w:pPr>
          </w:p>
        </w:tc>
        <w:tc>
          <w:tcPr>
            <w:tcW w:w="196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5.7 years</w:t>
            </w:r>
          </w:p>
        </w:tc>
        <w:tc>
          <w:tcPr>
            <w:tcW w:w="300" w:type="dxa"/>
            <w:vAlign w:val="bottom"/>
            <w:shd w:val="clear" w:color="auto" w:fill="DBDBDB"/>
          </w:tcPr>
          <w:p>
            <w:pPr>
              <w:spacing w:after="0"/>
              <w:rPr>
                <w:sz w:val="17"/>
                <w:szCs w:val="17"/>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 years</w:t>
            </w:r>
          </w:p>
        </w:tc>
      </w:tr>
      <w:tr>
        <w:trPr>
          <w:trHeight w:val="205"/>
        </w:trPr>
        <w:tc>
          <w:tcPr>
            <w:tcW w:w="6720" w:type="dxa"/>
            <w:vAlign w:val="bottom"/>
          </w:tcPr>
          <w:p>
            <w:pPr>
              <w:ind w:left="20"/>
              <w:spacing w:after="0"/>
              <w:rPr>
                <w:sz w:val="20"/>
                <w:szCs w:val="20"/>
                <w:color w:val="auto"/>
              </w:rPr>
            </w:pPr>
            <w:r>
              <w:rPr>
                <w:rFonts w:ascii="Arial" w:cs="Arial" w:eastAsia="Arial" w:hAnsi="Arial"/>
                <w:sz w:val="15"/>
                <w:szCs w:val="15"/>
                <w:color w:val="auto"/>
              </w:rPr>
              <w:t>Weighted average discount rate - operating leases</w:t>
            </w:r>
          </w:p>
        </w:tc>
        <w:tc>
          <w:tcPr>
            <w:tcW w:w="280" w:type="dxa"/>
            <w:vAlign w:val="bottom"/>
          </w:tcPr>
          <w:p>
            <w:pPr>
              <w:spacing w:after="0"/>
              <w:rPr>
                <w:sz w:val="17"/>
                <w:szCs w:val="17"/>
                <w:color w:val="auto"/>
              </w:rPr>
            </w:pPr>
          </w:p>
        </w:tc>
        <w:tc>
          <w:tcPr>
            <w:tcW w:w="1960" w:type="dxa"/>
            <w:vAlign w:val="bottom"/>
          </w:tcPr>
          <w:p>
            <w:pPr>
              <w:jc w:val="right"/>
              <w:ind w:right="43"/>
              <w:spacing w:after="0"/>
              <w:rPr>
                <w:sz w:val="20"/>
                <w:szCs w:val="20"/>
                <w:color w:val="auto"/>
              </w:rPr>
            </w:pPr>
            <w:r>
              <w:rPr>
                <w:rFonts w:ascii="Arial" w:cs="Arial" w:eastAsia="Arial" w:hAnsi="Arial"/>
                <w:sz w:val="15"/>
                <w:szCs w:val="15"/>
                <w:color w:val="auto"/>
              </w:rPr>
              <w:t>5.5 %</w:t>
            </w:r>
          </w:p>
        </w:tc>
        <w:tc>
          <w:tcPr>
            <w:tcW w:w="3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5"/>
                <w:szCs w:val="15"/>
                <w:color w:val="auto"/>
              </w:rPr>
              <w:t>5.4 %</w:t>
            </w:r>
          </w:p>
        </w:tc>
      </w:tr>
      <w:tr>
        <w:trPr>
          <w:trHeight w:val="207"/>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remaining lease term - finance leases</w:t>
            </w:r>
          </w:p>
        </w:tc>
        <w:tc>
          <w:tcPr>
            <w:tcW w:w="280" w:type="dxa"/>
            <w:vAlign w:val="bottom"/>
            <w:shd w:val="clear" w:color="auto" w:fill="DBDBDB"/>
          </w:tcPr>
          <w:p>
            <w:pPr>
              <w:spacing w:after="0"/>
              <w:rPr>
                <w:sz w:val="18"/>
                <w:szCs w:val="18"/>
                <w:color w:val="auto"/>
              </w:rPr>
            </w:pPr>
          </w:p>
        </w:tc>
        <w:tc>
          <w:tcPr>
            <w:tcW w:w="196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5.0 years</w:t>
            </w:r>
          </w:p>
        </w:tc>
        <w:tc>
          <w:tcPr>
            <w:tcW w:w="300" w:type="dxa"/>
            <w:vAlign w:val="bottom"/>
            <w:shd w:val="clear" w:color="auto" w:fill="DBDBDB"/>
          </w:tcPr>
          <w:p>
            <w:pPr>
              <w:spacing w:after="0"/>
              <w:rPr>
                <w:sz w:val="18"/>
                <w:szCs w:val="18"/>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 years</w:t>
            </w:r>
          </w:p>
        </w:tc>
      </w:tr>
      <w:tr>
        <w:trPr>
          <w:trHeight w:val="205"/>
        </w:trPr>
        <w:tc>
          <w:tcPr>
            <w:tcW w:w="6720" w:type="dxa"/>
            <w:vAlign w:val="bottom"/>
          </w:tcPr>
          <w:p>
            <w:pPr>
              <w:ind w:left="20"/>
              <w:spacing w:after="0"/>
              <w:rPr>
                <w:sz w:val="20"/>
                <w:szCs w:val="20"/>
                <w:color w:val="auto"/>
              </w:rPr>
            </w:pPr>
            <w:r>
              <w:rPr>
                <w:rFonts w:ascii="Arial" w:cs="Arial" w:eastAsia="Arial" w:hAnsi="Arial"/>
                <w:sz w:val="15"/>
                <w:szCs w:val="15"/>
                <w:color w:val="auto"/>
              </w:rPr>
              <w:t>Weighted average discount rate - finance leases</w:t>
            </w:r>
          </w:p>
        </w:tc>
        <w:tc>
          <w:tcPr>
            <w:tcW w:w="280" w:type="dxa"/>
            <w:vAlign w:val="bottom"/>
          </w:tcPr>
          <w:p>
            <w:pPr>
              <w:spacing w:after="0"/>
              <w:rPr>
                <w:sz w:val="17"/>
                <w:szCs w:val="17"/>
                <w:color w:val="auto"/>
              </w:rPr>
            </w:pPr>
          </w:p>
        </w:tc>
        <w:tc>
          <w:tcPr>
            <w:tcW w:w="1960" w:type="dxa"/>
            <w:vAlign w:val="bottom"/>
          </w:tcPr>
          <w:p>
            <w:pPr>
              <w:jc w:val="right"/>
              <w:ind w:right="43"/>
              <w:spacing w:after="0"/>
              <w:rPr>
                <w:sz w:val="20"/>
                <w:szCs w:val="20"/>
                <w:color w:val="auto"/>
              </w:rPr>
            </w:pPr>
            <w:r>
              <w:rPr>
                <w:rFonts w:ascii="Arial" w:cs="Arial" w:eastAsia="Arial" w:hAnsi="Arial"/>
                <w:sz w:val="15"/>
                <w:szCs w:val="15"/>
                <w:color w:val="auto"/>
              </w:rPr>
              <w:t>3.5 %</w:t>
            </w:r>
          </w:p>
        </w:tc>
        <w:tc>
          <w:tcPr>
            <w:tcW w:w="3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5"/>
                <w:szCs w:val="15"/>
                <w:color w:val="auto"/>
              </w:rPr>
              <w:t>3.4 %</w:t>
            </w:r>
          </w:p>
        </w:tc>
      </w:tr>
      <w:tr>
        <w:trPr>
          <w:trHeight w:val="335"/>
        </w:trPr>
        <w:tc>
          <w:tcPr>
            <w:tcW w:w="6720" w:type="dxa"/>
            <w:vAlign w:val="bottom"/>
          </w:tcPr>
          <w:p>
            <w:pPr>
              <w:ind w:left="620"/>
              <w:spacing w:after="0"/>
              <w:rPr>
                <w:sz w:val="20"/>
                <w:szCs w:val="20"/>
                <w:color w:val="auto"/>
              </w:rPr>
            </w:pPr>
            <w:r>
              <w:rPr>
                <w:rFonts w:ascii="Arial" w:cs="Arial" w:eastAsia="Arial" w:hAnsi="Arial"/>
                <w:sz w:val="15"/>
                <w:szCs w:val="15"/>
                <w:color w:val="auto"/>
              </w:rPr>
              <w:t>The Company presents information related to leasing revenues in Note 4.</w:t>
            </w: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1D2758"/>
        </w:rPr>
        <w:t>NOTE 6 - Inventories</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Inventories at the respective balance sheet dates consisted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66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March 31, 2023</w:t>
            </w:r>
          </w:p>
        </w:tc>
        <w:tc>
          <w:tcPr>
            <w:tcW w:w="560" w:type="dxa"/>
            <w:vAlign w:val="bottom"/>
            <w:shd w:val="clear" w:color="auto" w:fill="1D2758"/>
          </w:tcPr>
          <w:p>
            <w:pPr>
              <w:spacing w:after="0"/>
              <w:rPr>
                <w:sz w:val="20"/>
                <w:szCs w:val="20"/>
                <w:color w:val="auto"/>
              </w:rPr>
            </w:pPr>
          </w:p>
        </w:tc>
        <w:tc>
          <w:tcPr>
            <w:tcW w:w="80" w:type="dxa"/>
            <w:vAlign w:val="bottom"/>
            <w:shd w:val="clear" w:color="auto" w:fill="1D2758"/>
          </w:tcPr>
          <w:p>
            <w:pPr>
              <w:spacing w:after="0"/>
              <w:rPr>
                <w:sz w:val="20"/>
                <w:szCs w:val="20"/>
                <w:color w:val="auto"/>
              </w:rPr>
            </w:pPr>
          </w:p>
        </w:tc>
        <w:tc>
          <w:tcPr>
            <w:tcW w:w="260" w:type="dxa"/>
            <w:vAlign w:val="bottom"/>
            <w:shd w:val="clear" w:color="auto" w:fill="1D2758"/>
          </w:tcPr>
          <w:p>
            <w:pPr>
              <w:spacing w:after="0"/>
              <w:rPr>
                <w:sz w:val="20"/>
                <w:szCs w:val="20"/>
                <w:color w:val="auto"/>
              </w:rPr>
            </w:pPr>
          </w:p>
        </w:tc>
        <w:tc>
          <w:tcPr>
            <w:tcW w:w="1960" w:type="dxa"/>
            <w:vAlign w:val="bottom"/>
            <w:vMerge w:val="restart"/>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December 31, 2022</w:t>
            </w:r>
          </w:p>
        </w:tc>
        <w:tc>
          <w:tcPr>
            <w:tcW w:w="0" w:type="dxa"/>
            <w:vAlign w:val="bottom"/>
          </w:tcPr>
          <w:p>
            <w:pPr>
              <w:spacing w:after="0"/>
              <w:rPr>
                <w:sz w:val="1"/>
                <w:szCs w:val="1"/>
                <w:color w:val="auto"/>
              </w:rPr>
            </w:pPr>
          </w:p>
        </w:tc>
      </w:tr>
      <w:tr>
        <w:trPr>
          <w:trHeight w:val="65"/>
        </w:trPr>
        <w:tc>
          <w:tcPr>
            <w:tcW w:w="6720" w:type="dxa"/>
            <w:vAlign w:val="bottom"/>
            <w:shd w:val="clear" w:color="auto" w:fill="1D2758"/>
          </w:tcPr>
          <w:p>
            <w:pPr>
              <w:spacing w:after="0"/>
              <w:rPr>
                <w:sz w:val="5"/>
                <w:szCs w:val="5"/>
                <w:color w:val="auto"/>
              </w:rPr>
            </w:pPr>
          </w:p>
        </w:tc>
        <w:tc>
          <w:tcPr>
            <w:tcW w:w="1660" w:type="dxa"/>
            <w:vAlign w:val="bottom"/>
            <w:vMerge w:val="continue"/>
            <w:shd w:val="clear" w:color="auto" w:fill="1D2758"/>
          </w:tcPr>
          <w:p>
            <w:pPr>
              <w:spacing w:after="0"/>
              <w:rPr>
                <w:sz w:val="5"/>
                <w:szCs w:val="5"/>
                <w:color w:val="auto"/>
              </w:rPr>
            </w:pPr>
          </w:p>
        </w:tc>
        <w:tc>
          <w:tcPr>
            <w:tcW w:w="560" w:type="dxa"/>
            <w:vAlign w:val="bottom"/>
            <w:shd w:val="clear" w:color="auto" w:fill="1D2758"/>
          </w:tcPr>
          <w:p>
            <w:pPr>
              <w:spacing w:after="0"/>
              <w:rPr>
                <w:sz w:val="5"/>
                <w:szCs w:val="5"/>
                <w:color w:val="auto"/>
              </w:rPr>
            </w:pPr>
          </w:p>
        </w:tc>
        <w:tc>
          <w:tcPr>
            <w:tcW w:w="80" w:type="dxa"/>
            <w:vAlign w:val="bottom"/>
            <w:shd w:val="clear" w:color="auto" w:fill="1D2758"/>
          </w:tcPr>
          <w:p>
            <w:pPr>
              <w:spacing w:after="0"/>
              <w:rPr>
                <w:sz w:val="5"/>
                <w:szCs w:val="5"/>
                <w:color w:val="auto"/>
              </w:rPr>
            </w:pPr>
          </w:p>
        </w:tc>
        <w:tc>
          <w:tcPr>
            <w:tcW w:w="260" w:type="dxa"/>
            <w:vAlign w:val="bottom"/>
            <w:shd w:val="clear" w:color="auto" w:fill="1D2758"/>
          </w:tcPr>
          <w:p>
            <w:pPr>
              <w:spacing w:after="0"/>
              <w:rPr>
                <w:sz w:val="5"/>
                <w:szCs w:val="5"/>
                <w:color w:val="auto"/>
              </w:rPr>
            </w:pPr>
          </w:p>
        </w:tc>
        <w:tc>
          <w:tcPr>
            <w:tcW w:w="1960" w:type="dxa"/>
            <w:vAlign w:val="bottom"/>
            <w:vMerge w:val="continue"/>
            <w:shd w:val="clear" w:color="auto" w:fill="1D2758"/>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Raw materials</w:t>
            </w:r>
          </w:p>
        </w:tc>
        <w:tc>
          <w:tcPr>
            <w:tcW w:w="1660" w:type="dxa"/>
            <w:vAlign w:val="bottom"/>
            <w:shd w:val="clear" w:color="auto" w:fill="DBDBDB"/>
          </w:tcPr>
          <w:p>
            <w:pPr>
              <w:jc w:val="right"/>
              <w:ind w:right="1483"/>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38,827</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38,611</w:t>
            </w:r>
          </w:p>
        </w:tc>
        <w:tc>
          <w:tcPr>
            <w:tcW w:w="0" w:type="dxa"/>
            <w:vAlign w:val="bottom"/>
          </w:tcPr>
          <w:p>
            <w:pPr>
              <w:spacing w:after="0"/>
              <w:rPr>
                <w:sz w:val="1"/>
                <w:szCs w:val="1"/>
                <w:color w:val="auto"/>
              </w:rPr>
            </w:pPr>
          </w:p>
        </w:tc>
      </w:tr>
      <w:tr>
        <w:trPr>
          <w:trHeight w:val="205"/>
        </w:trPr>
        <w:tc>
          <w:tcPr>
            <w:tcW w:w="67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Finished units</w:t>
            </w:r>
          </w:p>
        </w:tc>
        <w:tc>
          <w:tcPr>
            <w:tcW w:w="16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3,180</w:t>
            </w:r>
          </w:p>
        </w:tc>
        <w:tc>
          <w:tcPr>
            <w:tcW w:w="8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2,419</w:t>
            </w:r>
          </w:p>
        </w:tc>
        <w:tc>
          <w:tcPr>
            <w:tcW w:w="0" w:type="dxa"/>
            <w:vAlign w:val="bottom"/>
          </w:tcPr>
          <w:p>
            <w:pPr>
              <w:spacing w:after="0"/>
              <w:rPr>
                <w:sz w:val="1"/>
                <w:szCs w:val="1"/>
                <w:color w:val="auto"/>
              </w:rPr>
            </w:pPr>
          </w:p>
        </w:tc>
      </w:tr>
      <w:tr>
        <w:trPr>
          <w:trHeight w:val="225"/>
        </w:trPr>
        <w:tc>
          <w:tcPr>
            <w:tcW w:w="67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Inventories</w:t>
            </w:r>
          </w:p>
        </w:tc>
        <w:tc>
          <w:tcPr>
            <w:tcW w:w="1660" w:type="dxa"/>
            <w:vAlign w:val="bottom"/>
            <w:tcBorders>
              <w:bottom w:val="single" w:sz="8" w:color="auto"/>
            </w:tcBorders>
            <w:shd w:val="clear" w:color="auto" w:fill="DBDBDB"/>
          </w:tcPr>
          <w:p>
            <w:pPr>
              <w:jc w:val="right"/>
              <w:ind w:right="1483"/>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42,007</w:t>
            </w:r>
          </w:p>
        </w:tc>
        <w:tc>
          <w:tcPr>
            <w:tcW w:w="8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41,030</w:t>
            </w:r>
          </w:p>
        </w:tc>
        <w:tc>
          <w:tcPr>
            <w:tcW w:w="0" w:type="dxa"/>
            <w:vAlign w:val="bottom"/>
          </w:tcPr>
          <w:p>
            <w:pPr>
              <w:spacing w:after="0"/>
              <w:rPr>
                <w:sz w:val="1"/>
                <w:szCs w:val="1"/>
                <w:color w:val="auto"/>
              </w:rPr>
            </w:pPr>
          </w:p>
        </w:tc>
      </w:tr>
      <w:tr>
        <w:trPr>
          <w:trHeight w:val="20"/>
        </w:trPr>
        <w:tc>
          <w:tcPr>
            <w:tcW w:w="6720" w:type="dxa"/>
            <w:vAlign w:val="bottom"/>
            <w:tcBorders>
              <w:top w:val="single" w:sz="8" w:color="DBDBDB"/>
            </w:tcBorders>
          </w:tcPr>
          <w:p>
            <w:pPr>
              <w:spacing w:after="0" w:line="20" w:lineRule="exact"/>
              <w:rPr>
                <w:sz w:val="1"/>
                <w:szCs w:val="1"/>
                <w:color w:val="auto"/>
              </w:rPr>
            </w:pPr>
          </w:p>
        </w:tc>
        <w:tc>
          <w:tcPr>
            <w:tcW w:w="166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9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1D2758"/>
        </w:rPr>
        <w:t>NOTE 7 - Rental Equipment, net</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Rental equipment, net at the respective balance sheet dates consisted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40" w:type="dxa"/>
            <w:vAlign w:val="bottom"/>
            <w:shd w:val="clear" w:color="auto" w:fill="1D2758"/>
          </w:tcPr>
          <w:p>
            <w:pPr>
              <w:spacing w:after="0"/>
              <w:rPr>
                <w:sz w:val="20"/>
                <w:szCs w:val="20"/>
                <w:color w:val="auto"/>
              </w:rPr>
            </w:pPr>
          </w:p>
        </w:tc>
        <w:tc>
          <w:tcPr>
            <w:tcW w:w="1960" w:type="dxa"/>
            <w:vAlign w:val="bottom"/>
            <w:gridSpan w:val="2"/>
            <w:vMerge w:val="restart"/>
            <w:shd w:val="clear" w:color="auto" w:fill="1D2758"/>
          </w:tcPr>
          <w:p>
            <w:pPr>
              <w:ind w:left="220"/>
              <w:spacing w:after="0"/>
              <w:rPr>
                <w:sz w:val="20"/>
                <w:szCs w:val="20"/>
                <w:color w:val="auto"/>
              </w:rPr>
            </w:pPr>
            <w:r>
              <w:rPr>
                <w:rFonts w:ascii="Arial" w:cs="Arial" w:eastAsia="Arial" w:hAnsi="Arial"/>
                <w:sz w:val="15"/>
                <w:szCs w:val="15"/>
                <w:b w:val="1"/>
                <w:bCs w:val="1"/>
                <w:color w:val="FFFFFF"/>
              </w:rPr>
              <w:t>March 31, 2023</w:t>
            </w:r>
          </w:p>
        </w:tc>
        <w:tc>
          <w:tcPr>
            <w:tcW w:w="260" w:type="dxa"/>
            <w:vAlign w:val="bottom"/>
            <w:shd w:val="clear" w:color="auto" w:fill="1D2758"/>
          </w:tcPr>
          <w:p>
            <w:pPr>
              <w:spacing w:after="0"/>
              <w:rPr>
                <w:sz w:val="20"/>
                <w:szCs w:val="20"/>
                <w:color w:val="auto"/>
              </w:rPr>
            </w:pPr>
          </w:p>
        </w:tc>
        <w:tc>
          <w:tcPr>
            <w:tcW w:w="1960" w:type="dxa"/>
            <w:vAlign w:val="bottom"/>
            <w:vMerge w:val="restart"/>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December 31, 2022</w:t>
            </w:r>
          </w:p>
        </w:tc>
        <w:tc>
          <w:tcPr>
            <w:tcW w:w="0" w:type="dxa"/>
            <w:vAlign w:val="bottom"/>
          </w:tcPr>
          <w:p>
            <w:pPr>
              <w:spacing w:after="0"/>
              <w:rPr>
                <w:sz w:val="1"/>
                <w:szCs w:val="1"/>
                <w:color w:val="auto"/>
              </w:rPr>
            </w:pPr>
          </w:p>
        </w:tc>
      </w:tr>
      <w:tr>
        <w:trPr>
          <w:trHeight w:val="65"/>
        </w:trPr>
        <w:tc>
          <w:tcPr>
            <w:tcW w:w="6720" w:type="dxa"/>
            <w:vAlign w:val="bottom"/>
            <w:shd w:val="clear" w:color="auto" w:fill="1D2758"/>
          </w:tcPr>
          <w:p>
            <w:pPr>
              <w:spacing w:after="0"/>
              <w:rPr>
                <w:sz w:val="5"/>
                <w:szCs w:val="5"/>
                <w:color w:val="auto"/>
              </w:rPr>
            </w:pPr>
          </w:p>
        </w:tc>
        <w:tc>
          <w:tcPr>
            <w:tcW w:w="340" w:type="dxa"/>
            <w:vAlign w:val="bottom"/>
            <w:shd w:val="clear" w:color="auto" w:fill="1D2758"/>
          </w:tcPr>
          <w:p>
            <w:pPr>
              <w:spacing w:after="0"/>
              <w:rPr>
                <w:sz w:val="5"/>
                <w:szCs w:val="5"/>
                <w:color w:val="auto"/>
              </w:rPr>
            </w:pPr>
          </w:p>
        </w:tc>
        <w:tc>
          <w:tcPr>
            <w:tcW w:w="1960" w:type="dxa"/>
            <w:vAlign w:val="bottom"/>
            <w:gridSpan w:val="2"/>
            <w:vMerge w:val="continue"/>
            <w:shd w:val="clear" w:color="auto" w:fill="1D2758"/>
          </w:tcPr>
          <w:p>
            <w:pPr>
              <w:spacing w:after="0"/>
              <w:rPr>
                <w:sz w:val="5"/>
                <w:szCs w:val="5"/>
                <w:color w:val="auto"/>
              </w:rPr>
            </w:pPr>
          </w:p>
        </w:tc>
        <w:tc>
          <w:tcPr>
            <w:tcW w:w="260" w:type="dxa"/>
            <w:vAlign w:val="bottom"/>
            <w:shd w:val="clear" w:color="auto" w:fill="1D2758"/>
          </w:tcPr>
          <w:p>
            <w:pPr>
              <w:spacing w:after="0"/>
              <w:rPr>
                <w:sz w:val="5"/>
                <w:szCs w:val="5"/>
                <w:color w:val="auto"/>
              </w:rPr>
            </w:pPr>
          </w:p>
        </w:tc>
        <w:tc>
          <w:tcPr>
            <w:tcW w:w="1960" w:type="dxa"/>
            <w:vAlign w:val="bottom"/>
            <w:vMerge w:val="continue"/>
            <w:shd w:val="clear" w:color="auto" w:fill="1D2758"/>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Modular space units</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3,292,264</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3,197,779</w:t>
            </w:r>
          </w:p>
        </w:tc>
        <w:tc>
          <w:tcPr>
            <w:tcW w:w="0" w:type="dxa"/>
            <w:vAlign w:val="bottom"/>
          </w:tcPr>
          <w:p>
            <w:pPr>
              <w:spacing w:after="0"/>
              <w:rPr>
                <w:sz w:val="1"/>
                <w:szCs w:val="1"/>
                <w:color w:val="auto"/>
              </w:rPr>
            </w:pPr>
          </w:p>
        </w:tc>
      </w:tr>
      <w:tr>
        <w:trPr>
          <w:trHeight w:val="205"/>
        </w:trPr>
        <w:tc>
          <w:tcPr>
            <w:tcW w:w="6720" w:type="dxa"/>
            <w:vAlign w:val="bottom"/>
          </w:tcPr>
          <w:p>
            <w:pPr>
              <w:ind w:left="20"/>
              <w:spacing w:after="0"/>
              <w:rPr>
                <w:sz w:val="20"/>
                <w:szCs w:val="20"/>
                <w:color w:val="auto"/>
              </w:rPr>
            </w:pPr>
            <w:r>
              <w:rPr>
                <w:rFonts w:ascii="Arial" w:cs="Arial" w:eastAsia="Arial" w:hAnsi="Arial"/>
                <w:sz w:val="15"/>
                <w:szCs w:val="15"/>
                <w:color w:val="auto"/>
              </w:rPr>
              <w:t>Portable storage units</w:t>
            </w:r>
          </w:p>
        </w:tc>
        <w:tc>
          <w:tcPr>
            <w:tcW w:w="340" w:type="dxa"/>
            <w:vAlign w:val="bottom"/>
          </w:tcPr>
          <w:p>
            <w:pPr>
              <w:spacing w:after="0"/>
              <w:rPr>
                <w:sz w:val="17"/>
                <w:szCs w:val="17"/>
                <w:color w:val="auto"/>
              </w:rPr>
            </w:pPr>
          </w:p>
        </w:tc>
        <w:tc>
          <w:tcPr>
            <w:tcW w:w="1880" w:type="dxa"/>
            <w:vAlign w:val="bottom"/>
          </w:tcPr>
          <w:p>
            <w:pPr>
              <w:jc w:val="right"/>
              <w:ind w:right="3"/>
              <w:spacing w:after="0"/>
              <w:rPr>
                <w:sz w:val="20"/>
                <w:szCs w:val="20"/>
                <w:color w:val="auto"/>
              </w:rPr>
            </w:pPr>
            <w:r>
              <w:rPr>
                <w:rFonts w:ascii="Arial" w:cs="Arial" w:eastAsia="Arial" w:hAnsi="Arial"/>
                <w:sz w:val="15"/>
                <w:szCs w:val="15"/>
                <w:color w:val="auto"/>
              </w:rPr>
              <w:t>848,982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849,193</w:t>
            </w:r>
          </w:p>
        </w:tc>
        <w:tc>
          <w:tcPr>
            <w:tcW w:w="0" w:type="dxa"/>
            <w:vAlign w:val="bottom"/>
          </w:tcPr>
          <w:p>
            <w:pPr>
              <w:spacing w:after="0"/>
              <w:rPr>
                <w:sz w:val="1"/>
                <w:szCs w:val="1"/>
                <w:color w:val="auto"/>
              </w:rPr>
            </w:pPr>
          </w:p>
        </w:tc>
      </w:tr>
      <w:tr>
        <w:trPr>
          <w:trHeight w:val="207"/>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Value added products</w:t>
            </w:r>
          </w:p>
        </w:tc>
        <w:tc>
          <w:tcPr>
            <w:tcW w:w="340" w:type="dxa"/>
            <w:vAlign w:val="bottom"/>
            <w:tcBorders>
              <w:bottom w:val="single" w:sz="8" w:color="auto"/>
            </w:tcBorders>
            <w:shd w:val="clear" w:color="auto" w:fill="DBDBDB"/>
          </w:tcPr>
          <w:p>
            <w:pPr>
              <w:spacing w:after="0"/>
              <w:rPr>
                <w:sz w:val="18"/>
                <w:szCs w:val="18"/>
                <w:color w:val="auto"/>
              </w:rPr>
            </w:pPr>
          </w:p>
        </w:tc>
        <w:tc>
          <w:tcPr>
            <w:tcW w:w="18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202,358</w:t>
            </w:r>
          </w:p>
        </w:tc>
        <w:tc>
          <w:tcPr>
            <w:tcW w:w="80" w:type="dxa"/>
            <w:vAlign w:val="bottom"/>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203,444</w:t>
            </w:r>
          </w:p>
        </w:tc>
        <w:tc>
          <w:tcPr>
            <w:tcW w:w="0" w:type="dxa"/>
            <w:vAlign w:val="bottom"/>
          </w:tcPr>
          <w:p>
            <w:pPr>
              <w:spacing w:after="0"/>
              <w:rPr>
                <w:sz w:val="1"/>
                <w:szCs w:val="1"/>
                <w:color w:val="auto"/>
              </w:rPr>
            </w:pPr>
          </w:p>
        </w:tc>
      </w:tr>
      <w:tr>
        <w:trPr>
          <w:trHeight w:val="198"/>
        </w:trPr>
        <w:tc>
          <w:tcPr>
            <w:tcW w:w="6720" w:type="dxa"/>
            <w:vAlign w:val="bottom"/>
          </w:tcPr>
          <w:p>
            <w:pPr>
              <w:ind w:left="220"/>
              <w:spacing w:after="0"/>
              <w:rPr>
                <w:sz w:val="20"/>
                <w:szCs w:val="20"/>
                <w:color w:val="auto"/>
              </w:rPr>
            </w:pPr>
            <w:r>
              <w:rPr>
                <w:rFonts w:ascii="Arial" w:cs="Arial" w:eastAsia="Arial" w:hAnsi="Arial"/>
                <w:sz w:val="15"/>
                <w:szCs w:val="15"/>
                <w:color w:val="auto"/>
              </w:rPr>
              <w:t>Total rental equipment</w:t>
            </w:r>
          </w:p>
        </w:tc>
        <w:tc>
          <w:tcPr>
            <w:tcW w:w="340" w:type="dxa"/>
            <w:vAlign w:val="bottom"/>
          </w:tcPr>
          <w:p>
            <w:pPr>
              <w:spacing w:after="0"/>
              <w:rPr>
                <w:sz w:val="17"/>
                <w:szCs w:val="17"/>
                <w:color w:val="auto"/>
              </w:rPr>
            </w:pPr>
          </w:p>
        </w:tc>
        <w:tc>
          <w:tcPr>
            <w:tcW w:w="1880" w:type="dxa"/>
            <w:vAlign w:val="bottom"/>
          </w:tcPr>
          <w:p>
            <w:pPr>
              <w:jc w:val="right"/>
              <w:ind w:right="3"/>
              <w:spacing w:after="0"/>
              <w:rPr>
                <w:sz w:val="20"/>
                <w:szCs w:val="20"/>
                <w:color w:val="auto"/>
              </w:rPr>
            </w:pPr>
            <w:r>
              <w:rPr>
                <w:rFonts w:ascii="Arial" w:cs="Arial" w:eastAsia="Arial" w:hAnsi="Arial"/>
                <w:sz w:val="15"/>
                <w:szCs w:val="15"/>
                <w:color w:val="auto"/>
              </w:rPr>
              <w:t>4,343,604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4,250,416</w:t>
            </w:r>
          </w:p>
        </w:tc>
        <w:tc>
          <w:tcPr>
            <w:tcW w:w="0" w:type="dxa"/>
            <w:vAlign w:val="bottom"/>
          </w:tcPr>
          <w:p>
            <w:pPr>
              <w:spacing w:after="0"/>
              <w:rPr>
                <w:sz w:val="1"/>
                <w:szCs w:val="1"/>
                <w:color w:val="auto"/>
              </w:rPr>
            </w:pPr>
          </w:p>
        </w:tc>
      </w:tr>
      <w:tr>
        <w:trPr>
          <w:trHeight w:val="207"/>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Less: accumulated depreciation</w:t>
            </w:r>
          </w:p>
        </w:tc>
        <w:tc>
          <w:tcPr>
            <w:tcW w:w="340" w:type="dxa"/>
            <w:vAlign w:val="bottom"/>
            <w:tcBorders>
              <w:bottom w:val="single" w:sz="8" w:color="auto"/>
            </w:tcBorders>
            <w:shd w:val="clear" w:color="auto" w:fill="DBDBDB"/>
          </w:tcPr>
          <w:p>
            <w:pPr>
              <w:spacing w:after="0"/>
              <w:rPr>
                <w:sz w:val="18"/>
                <w:szCs w:val="18"/>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(1,215,543)</w:t>
            </w:r>
          </w:p>
        </w:tc>
        <w:tc>
          <w:tcPr>
            <w:tcW w:w="80" w:type="dxa"/>
            <w:vAlign w:val="bottom"/>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(1,173,129)</w:t>
            </w:r>
          </w:p>
        </w:tc>
        <w:tc>
          <w:tcPr>
            <w:tcW w:w="0" w:type="dxa"/>
            <w:vAlign w:val="bottom"/>
          </w:tcPr>
          <w:p>
            <w:pPr>
              <w:spacing w:after="0"/>
              <w:rPr>
                <w:sz w:val="1"/>
                <w:szCs w:val="1"/>
                <w:color w:val="auto"/>
              </w:rPr>
            </w:pPr>
          </w:p>
        </w:tc>
      </w:tr>
      <w:tr>
        <w:trPr>
          <w:trHeight w:val="198"/>
        </w:trPr>
        <w:tc>
          <w:tcPr>
            <w:tcW w:w="6720" w:type="dxa"/>
            <w:vAlign w:val="bottom"/>
          </w:tcPr>
          <w:p>
            <w:pPr>
              <w:ind w:left="220"/>
              <w:spacing w:after="0"/>
              <w:rPr>
                <w:sz w:val="20"/>
                <w:szCs w:val="20"/>
                <w:color w:val="auto"/>
              </w:rPr>
            </w:pPr>
            <w:r>
              <w:rPr>
                <w:rFonts w:ascii="Arial" w:cs="Arial" w:eastAsia="Arial" w:hAnsi="Arial"/>
                <w:sz w:val="15"/>
                <w:szCs w:val="15"/>
                <w:color w:val="auto"/>
              </w:rPr>
              <w:t>Rental equipment, net</w:t>
            </w: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3,128,061</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3,077,287</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1D2758"/>
        </w:rPr>
        <w:t>NOTE 8 - Goodwill and Intangibles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20" w:type="dxa"/>
            <w:vAlign w:val="bottom"/>
          </w:tcPr>
          <w:p>
            <w:pPr>
              <w:ind w:left="620"/>
              <w:spacing w:after="0"/>
              <w:rPr>
                <w:sz w:val="20"/>
                <w:szCs w:val="20"/>
                <w:color w:val="auto"/>
              </w:rPr>
            </w:pPr>
            <w:r>
              <w:rPr>
                <w:rFonts w:ascii="Arial" w:cs="Arial" w:eastAsia="Arial" w:hAnsi="Arial"/>
                <w:sz w:val="15"/>
                <w:szCs w:val="15"/>
                <w:color w:val="auto"/>
              </w:rPr>
              <w:t>Changes in the carrying amount of goodwill were as follows:</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4"/>
        </w:trPr>
        <w:tc>
          <w:tcPr>
            <w:tcW w:w="57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40" w:type="dxa"/>
            <w:vAlign w:val="bottom"/>
            <w:shd w:val="clear" w:color="auto" w:fill="1D2758"/>
          </w:tcPr>
          <w:p>
            <w:pPr>
              <w:spacing w:after="0"/>
              <w:rPr>
                <w:sz w:val="18"/>
                <w:szCs w:val="18"/>
                <w:color w:val="auto"/>
              </w:rPr>
            </w:pPr>
          </w:p>
        </w:tc>
        <w:tc>
          <w:tcPr>
            <w:tcW w:w="1520" w:type="dxa"/>
            <w:vAlign w:val="bottom"/>
            <w:gridSpan w:val="2"/>
            <w:shd w:val="clear" w:color="auto" w:fill="1D2758"/>
          </w:tcPr>
          <w:p>
            <w:pPr>
              <w:ind w:left="240"/>
              <w:spacing w:after="0"/>
              <w:rPr>
                <w:sz w:val="20"/>
                <w:szCs w:val="20"/>
                <w:color w:val="auto"/>
              </w:rPr>
            </w:pPr>
            <w:r>
              <w:rPr>
                <w:rFonts w:ascii="Arial" w:cs="Arial" w:eastAsia="Arial" w:hAnsi="Arial"/>
                <w:sz w:val="15"/>
                <w:szCs w:val="15"/>
                <w:b w:val="1"/>
                <w:bCs w:val="1"/>
                <w:color w:val="FFFFFF"/>
              </w:rPr>
              <w:t>Modular</w:t>
            </w:r>
          </w:p>
        </w:tc>
        <w:tc>
          <w:tcPr>
            <w:tcW w:w="340" w:type="dxa"/>
            <w:vAlign w:val="bottom"/>
            <w:shd w:val="clear" w:color="auto" w:fill="1D2758"/>
          </w:tcPr>
          <w:p>
            <w:pPr>
              <w:spacing w:after="0"/>
              <w:rPr>
                <w:sz w:val="18"/>
                <w:szCs w:val="18"/>
                <w:color w:val="auto"/>
              </w:rPr>
            </w:pPr>
          </w:p>
        </w:tc>
        <w:tc>
          <w:tcPr>
            <w:tcW w:w="1540" w:type="dxa"/>
            <w:vAlign w:val="bottom"/>
            <w:gridSpan w:val="2"/>
            <w:shd w:val="clear" w:color="auto" w:fill="1D2758"/>
          </w:tcPr>
          <w:p>
            <w:pPr>
              <w:ind w:left="260"/>
              <w:spacing w:after="0"/>
              <w:rPr>
                <w:sz w:val="20"/>
                <w:szCs w:val="20"/>
                <w:color w:val="auto"/>
              </w:rPr>
            </w:pPr>
            <w:r>
              <w:rPr>
                <w:rFonts w:ascii="Arial" w:cs="Arial" w:eastAsia="Arial" w:hAnsi="Arial"/>
                <w:sz w:val="15"/>
                <w:szCs w:val="15"/>
                <w:b w:val="1"/>
                <w:bCs w:val="1"/>
                <w:color w:val="FFFFFF"/>
              </w:rPr>
              <w:t>Storage</w:t>
            </w:r>
          </w:p>
        </w:tc>
        <w:tc>
          <w:tcPr>
            <w:tcW w:w="420" w:type="dxa"/>
            <w:vAlign w:val="bottom"/>
            <w:shd w:val="clear" w:color="auto" w:fill="1D2758"/>
          </w:tcPr>
          <w:p>
            <w:pPr>
              <w:spacing w:after="0"/>
              <w:rPr>
                <w:sz w:val="18"/>
                <w:szCs w:val="18"/>
                <w:color w:val="auto"/>
              </w:rPr>
            </w:pPr>
          </w:p>
        </w:tc>
        <w:tc>
          <w:tcPr>
            <w:tcW w:w="136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Total</w:t>
            </w:r>
          </w:p>
        </w:tc>
      </w:tr>
      <w:tr>
        <w:trPr>
          <w:trHeight w:val="206"/>
        </w:trPr>
        <w:tc>
          <w:tcPr>
            <w:tcW w:w="5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2021</w:t>
            </w: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521,049</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492,552</w:t>
            </w: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1,013,601</w:t>
            </w:r>
          </w:p>
        </w:tc>
      </w:tr>
      <w:tr>
        <w:trPr>
          <w:trHeight w:val="205"/>
        </w:trPr>
        <w:tc>
          <w:tcPr>
            <w:tcW w:w="5720" w:type="dxa"/>
            <w:vAlign w:val="bottom"/>
          </w:tcPr>
          <w:p>
            <w:pPr>
              <w:ind w:left="220"/>
              <w:spacing w:after="0"/>
              <w:rPr>
                <w:sz w:val="20"/>
                <w:szCs w:val="20"/>
                <w:color w:val="auto"/>
              </w:rPr>
            </w:pPr>
            <w:r>
              <w:rPr>
                <w:rFonts w:ascii="Arial" w:cs="Arial" w:eastAsia="Arial" w:hAnsi="Arial"/>
                <w:sz w:val="15"/>
                <w:szCs w:val="15"/>
                <w:color w:val="auto"/>
              </w:rPr>
              <w:t>Effects of movements in foreign exchange rates</w:t>
            </w:r>
          </w:p>
        </w:tc>
        <w:tc>
          <w:tcPr>
            <w:tcW w:w="3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(2,172)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(2,172)</w:t>
            </w:r>
          </w:p>
        </w:tc>
      </w:tr>
      <w:tr>
        <w:trPr>
          <w:trHeight w:val="200"/>
        </w:trPr>
        <w:tc>
          <w:tcPr>
            <w:tcW w:w="57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December 31, 2022</w:t>
            </w:r>
          </w:p>
        </w:tc>
        <w:tc>
          <w:tcPr>
            <w:tcW w:w="340" w:type="dxa"/>
            <w:vAlign w:val="bottom"/>
            <w:tcBorders>
              <w:top w:val="single" w:sz="8" w:color="auto"/>
            </w:tcBorders>
            <w:shd w:val="clear" w:color="auto" w:fill="DBDBDB"/>
          </w:tcPr>
          <w:p>
            <w:pPr>
              <w:spacing w:after="0"/>
              <w:rPr>
                <w:sz w:val="17"/>
                <w:szCs w:val="17"/>
                <w:color w:val="auto"/>
              </w:rPr>
            </w:pPr>
          </w:p>
        </w:tc>
        <w:tc>
          <w:tcPr>
            <w:tcW w:w="1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518,877</w:t>
            </w:r>
          </w:p>
        </w:tc>
        <w:tc>
          <w:tcPr>
            <w:tcW w:w="100" w:type="dxa"/>
            <w:vAlign w:val="bottom"/>
            <w:tcBorders>
              <w:top w:val="single" w:sz="8" w:color="DBDBDB"/>
            </w:tcBorders>
            <w:shd w:val="clear" w:color="auto" w:fill="DBDBDB"/>
          </w:tcPr>
          <w:p>
            <w:pPr>
              <w:spacing w:after="0"/>
              <w:rPr>
                <w:sz w:val="17"/>
                <w:szCs w:val="17"/>
                <w:color w:val="auto"/>
              </w:rPr>
            </w:pPr>
          </w:p>
        </w:tc>
        <w:tc>
          <w:tcPr>
            <w:tcW w:w="340" w:type="dxa"/>
            <w:vAlign w:val="bottom"/>
            <w:tcBorders>
              <w:top w:val="single" w:sz="8" w:color="auto"/>
            </w:tcBorders>
            <w:shd w:val="clear" w:color="auto" w:fill="DBDBDB"/>
          </w:tcPr>
          <w:p>
            <w:pPr>
              <w:spacing w:after="0"/>
              <w:rPr>
                <w:sz w:val="17"/>
                <w:szCs w:val="17"/>
                <w:color w:val="auto"/>
              </w:rPr>
            </w:pPr>
          </w:p>
        </w:tc>
        <w:tc>
          <w:tcPr>
            <w:tcW w:w="1460" w:type="dxa"/>
            <w:vAlign w:val="bottom"/>
            <w:tcBorders>
              <w:top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492,552</w:t>
            </w:r>
          </w:p>
        </w:tc>
        <w:tc>
          <w:tcPr>
            <w:tcW w:w="80" w:type="dxa"/>
            <w:vAlign w:val="bottom"/>
            <w:tcBorders>
              <w:top w:val="single" w:sz="8" w:color="DBDBDB"/>
            </w:tcBorders>
            <w:shd w:val="clear" w:color="auto" w:fill="DBDBDB"/>
          </w:tcPr>
          <w:p>
            <w:pPr>
              <w:spacing w:after="0"/>
              <w:rPr>
                <w:sz w:val="17"/>
                <w:szCs w:val="17"/>
                <w:color w:val="auto"/>
              </w:rPr>
            </w:pPr>
          </w:p>
        </w:tc>
        <w:tc>
          <w:tcPr>
            <w:tcW w:w="420" w:type="dxa"/>
            <w:vAlign w:val="bottom"/>
            <w:tcBorders>
              <w:top w:val="single" w:sz="8" w:color="auto"/>
            </w:tcBorders>
            <w:shd w:val="clear" w:color="auto" w:fill="DBDBDB"/>
          </w:tcPr>
          <w:p>
            <w:pPr>
              <w:spacing w:after="0"/>
              <w:rPr>
                <w:sz w:val="17"/>
                <w:szCs w:val="17"/>
                <w:color w:val="auto"/>
              </w:rPr>
            </w:pP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1,011,429</w:t>
            </w:r>
          </w:p>
        </w:tc>
      </w:tr>
      <w:tr>
        <w:trPr>
          <w:trHeight w:val="205"/>
        </w:trPr>
        <w:tc>
          <w:tcPr>
            <w:tcW w:w="5720" w:type="dxa"/>
            <w:vAlign w:val="bottom"/>
          </w:tcPr>
          <w:p>
            <w:pPr>
              <w:ind w:left="220"/>
              <w:spacing w:after="0"/>
              <w:rPr>
                <w:sz w:val="20"/>
                <w:szCs w:val="20"/>
                <w:color w:val="auto"/>
              </w:rPr>
            </w:pPr>
            <w:r>
              <w:rPr>
                <w:rFonts w:ascii="Arial" w:cs="Arial" w:eastAsia="Arial" w:hAnsi="Arial"/>
                <w:sz w:val="15"/>
                <w:szCs w:val="15"/>
                <w:color w:val="auto"/>
              </w:rPr>
              <w:t>Effects of movements in foreign exchange rates</w:t>
            </w:r>
          </w:p>
        </w:tc>
        <w:tc>
          <w:tcPr>
            <w:tcW w:w="3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84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84</w:t>
            </w:r>
          </w:p>
        </w:tc>
      </w:tr>
      <w:tr>
        <w:trPr>
          <w:trHeight w:val="224"/>
        </w:trPr>
        <w:tc>
          <w:tcPr>
            <w:tcW w:w="572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March 31, 2023</w:t>
            </w:r>
          </w:p>
        </w:tc>
        <w:tc>
          <w:tcPr>
            <w:tcW w:w="340" w:type="dxa"/>
            <w:vAlign w:val="bottom"/>
            <w:tcBorders>
              <w:top w:val="single" w:sz="8" w:color="auto"/>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518,961</w:t>
            </w:r>
          </w:p>
        </w:tc>
        <w:tc>
          <w:tcPr>
            <w:tcW w:w="100" w:type="dxa"/>
            <w:vAlign w:val="bottom"/>
            <w:tcBorders>
              <w:top w:val="single" w:sz="8" w:color="DBDBDB"/>
              <w:bottom w:val="single" w:sz="8" w:color="DBDBDB"/>
            </w:tcBorders>
            <w:shd w:val="clear" w:color="auto" w:fill="DBDBDB"/>
          </w:tcPr>
          <w:p>
            <w:pPr>
              <w:spacing w:after="0"/>
              <w:rPr>
                <w:sz w:val="19"/>
                <w:szCs w:val="19"/>
                <w:color w:val="auto"/>
              </w:rPr>
            </w:pPr>
          </w:p>
        </w:tc>
        <w:tc>
          <w:tcPr>
            <w:tcW w:w="340" w:type="dxa"/>
            <w:vAlign w:val="bottom"/>
            <w:tcBorders>
              <w:top w:val="single" w:sz="8" w:color="auto"/>
              <w:bottom w:val="single" w:sz="8" w:color="auto"/>
            </w:tcBorders>
            <w:shd w:val="clear" w:color="auto" w:fill="DBDBDB"/>
          </w:tcPr>
          <w:p>
            <w:pPr>
              <w:jc w:val="right"/>
              <w:ind w:right="163"/>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492,552</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420" w:type="dxa"/>
            <w:vAlign w:val="bottom"/>
            <w:tcBorders>
              <w:top w:val="single" w:sz="8" w:color="auto"/>
              <w:bottom w:val="single" w:sz="8" w:color="auto"/>
            </w:tcBorders>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1,011,513</w:t>
            </w:r>
          </w:p>
        </w:tc>
      </w:tr>
      <w:tr>
        <w:trPr>
          <w:trHeight w:val="20"/>
        </w:trPr>
        <w:tc>
          <w:tcPr>
            <w:tcW w:w="572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had no goodwill impairment during the three months ended March 31, 2023 or the year ended December 31, 2022.</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Intangible assets other than goodwill at the respective balance sheet dates consisted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60" w:type="dxa"/>
            <w:vAlign w:val="bottom"/>
            <w:shd w:val="clear" w:color="auto" w:fill="1D2758"/>
          </w:tcPr>
          <w:p>
            <w:pPr>
              <w:spacing w:after="0"/>
              <w:rPr>
                <w:sz w:val="17"/>
                <w:szCs w:val="17"/>
                <w:color w:val="auto"/>
              </w:rPr>
            </w:pPr>
          </w:p>
        </w:tc>
        <w:tc>
          <w:tcPr>
            <w:tcW w:w="1560" w:type="dxa"/>
            <w:vAlign w:val="bottom"/>
            <w:vMerge w:val="restart"/>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Weighted average</w:t>
            </w:r>
          </w:p>
        </w:tc>
        <w:tc>
          <w:tcPr>
            <w:tcW w:w="160" w:type="dxa"/>
            <w:vAlign w:val="bottom"/>
            <w:shd w:val="clear" w:color="auto" w:fill="1D2758"/>
          </w:tcPr>
          <w:p>
            <w:pPr>
              <w:spacing w:after="0"/>
              <w:rPr>
                <w:sz w:val="17"/>
                <w:szCs w:val="17"/>
                <w:color w:val="auto"/>
              </w:rPr>
            </w:pPr>
          </w:p>
        </w:tc>
        <w:tc>
          <w:tcPr>
            <w:tcW w:w="2980" w:type="dxa"/>
            <w:vAlign w:val="bottom"/>
            <w:gridSpan w:val="5"/>
            <w:shd w:val="clear" w:color="auto" w:fill="1D2758"/>
          </w:tcPr>
          <w:p>
            <w:pPr>
              <w:ind w:left="820"/>
              <w:spacing w:after="0"/>
              <w:rPr>
                <w:sz w:val="20"/>
                <w:szCs w:val="20"/>
                <w:color w:val="auto"/>
              </w:rPr>
            </w:pPr>
            <w:r>
              <w:rPr>
                <w:rFonts w:ascii="Arial" w:cs="Arial" w:eastAsia="Arial" w:hAnsi="Arial"/>
                <w:sz w:val="15"/>
                <w:szCs w:val="15"/>
                <w:b w:val="1"/>
                <w:bCs w:val="1"/>
                <w:color w:val="FFFFFF"/>
              </w:rPr>
              <w:t>March 31, 2023</w:t>
            </w:r>
          </w:p>
        </w:tc>
        <w:tc>
          <w:tcPr>
            <w:tcW w:w="140" w:type="dxa"/>
            <w:vAlign w:val="bottom"/>
            <w:shd w:val="clear" w:color="auto" w:fill="1D2758"/>
          </w:tcPr>
          <w:p>
            <w:pPr>
              <w:spacing w:after="0"/>
              <w:rPr>
                <w:sz w:val="17"/>
                <w:szCs w:val="17"/>
                <w:color w:val="auto"/>
              </w:rPr>
            </w:pPr>
          </w:p>
        </w:tc>
        <w:tc>
          <w:tcPr>
            <w:tcW w:w="13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060" w:type="dxa"/>
            <w:vAlign w:val="bottom"/>
            <w:shd w:val="clear" w:color="auto" w:fill="1D2758"/>
          </w:tcPr>
          <w:p>
            <w:pPr>
              <w:spacing w:after="0"/>
              <w:rPr>
                <w:sz w:val="13"/>
                <w:szCs w:val="13"/>
                <w:color w:val="auto"/>
              </w:rPr>
            </w:pPr>
          </w:p>
        </w:tc>
        <w:tc>
          <w:tcPr>
            <w:tcW w:w="1560" w:type="dxa"/>
            <w:vAlign w:val="bottom"/>
            <w:vMerge w:val="continue"/>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1400" w:type="dxa"/>
            <w:vAlign w:val="bottom"/>
            <w:gridSpan w:val="2"/>
            <w:vMerge w:val="restart"/>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Gross carrying</w:t>
            </w:r>
          </w:p>
        </w:tc>
        <w:tc>
          <w:tcPr>
            <w:tcW w:w="180" w:type="dxa"/>
            <w:vAlign w:val="bottom"/>
            <w:shd w:val="clear" w:color="auto" w:fill="1D2758"/>
          </w:tcPr>
          <w:p>
            <w:pPr>
              <w:spacing w:after="0"/>
              <w:rPr>
                <w:sz w:val="13"/>
                <w:szCs w:val="13"/>
                <w:color w:val="auto"/>
              </w:rPr>
            </w:pPr>
          </w:p>
        </w:tc>
        <w:tc>
          <w:tcPr>
            <w:tcW w:w="1400" w:type="dxa"/>
            <w:vAlign w:val="bottom"/>
            <w:gridSpan w:val="2"/>
            <w:vMerge w:val="restart"/>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Accumulated</w:t>
            </w:r>
          </w:p>
        </w:tc>
        <w:tc>
          <w:tcPr>
            <w:tcW w:w="140" w:type="dxa"/>
            <w:vAlign w:val="bottom"/>
            <w:shd w:val="clear" w:color="auto" w:fill="1D2758"/>
          </w:tcPr>
          <w:p>
            <w:pPr>
              <w:spacing w:after="0"/>
              <w:rPr>
                <w:sz w:val="13"/>
                <w:szCs w:val="13"/>
                <w:color w:val="auto"/>
              </w:rPr>
            </w:pPr>
          </w:p>
        </w:tc>
        <w:tc>
          <w:tcPr>
            <w:tcW w:w="134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60" w:type="dxa"/>
            <w:vAlign w:val="bottom"/>
            <w:shd w:val="clear" w:color="auto" w:fill="1D2758"/>
          </w:tcPr>
          <w:p>
            <w:pPr>
              <w:jc w:val="center"/>
              <w:ind w:right="3"/>
              <w:spacing w:after="0" w:line="155" w:lineRule="exact"/>
              <w:rPr>
                <w:sz w:val="20"/>
                <w:szCs w:val="20"/>
                <w:color w:val="auto"/>
              </w:rPr>
            </w:pPr>
            <w:r>
              <w:rPr>
                <w:rFonts w:ascii="Arial" w:cs="Arial" w:eastAsia="Arial" w:hAnsi="Arial"/>
                <w:sz w:val="15"/>
                <w:szCs w:val="15"/>
                <w:b w:val="1"/>
                <w:bCs w:val="1"/>
                <w:color w:val="FFFFFF"/>
              </w:rPr>
              <w:t>remaining life (in</w:t>
            </w:r>
          </w:p>
        </w:tc>
        <w:tc>
          <w:tcPr>
            <w:tcW w:w="160" w:type="dxa"/>
            <w:vAlign w:val="bottom"/>
            <w:shd w:val="clear" w:color="auto" w:fill="1D2758"/>
          </w:tcPr>
          <w:p>
            <w:pPr>
              <w:spacing w:after="0"/>
              <w:rPr>
                <w:sz w:val="13"/>
                <w:szCs w:val="13"/>
                <w:color w:val="auto"/>
              </w:rPr>
            </w:pPr>
          </w:p>
        </w:tc>
        <w:tc>
          <w:tcPr>
            <w:tcW w:w="1400" w:type="dxa"/>
            <w:vAlign w:val="bottom"/>
            <w:gridSpan w:val="2"/>
            <w:vMerge w:val="continue"/>
            <w:shd w:val="clear" w:color="auto" w:fill="1D2758"/>
          </w:tcPr>
          <w:p>
            <w:pPr>
              <w:spacing w:after="0"/>
              <w:rPr>
                <w:sz w:val="13"/>
                <w:szCs w:val="13"/>
                <w:color w:val="auto"/>
              </w:rPr>
            </w:pPr>
          </w:p>
        </w:tc>
        <w:tc>
          <w:tcPr>
            <w:tcW w:w="180" w:type="dxa"/>
            <w:vAlign w:val="bottom"/>
            <w:shd w:val="clear" w:color="auto" w:fill="1D2758"/>
          </w:tcPr>
          <w:p>
            <w:pPr>
              <w:spacing w:after="0"/>
              <w:rPr>
                <w:sz w:val="13"/>
                <w:szCs w:val="13"/>
                <w:color w:val="auto"/>
              </w:rPr>
            </w:pPr>
          </w:p>
        </w:tc>
        <w:tc>
          <w:tcPr>
            <w:tcW w:w="1400" w:type="dxa"/>
            <w:vAlign w:val="bottom"/>
            <w:gridSpan w:val="2"/>
            <w:vMerge w:val="continue"/>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3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Net book value</w:t>
            </w:r>
          </w:p>
        </w:tc>
        <w:tc>
          <w:tcPr>
            <w:tcW w:w="0" w:type="dxa"/>
            <w:vAlign w:val="bottom"/>
          </w:tcPr>
          <w:p>
            <w:pPr>
              <w:spacing w:after="0"/>
              <w:rPr>
                <w:sz w:val="1"/>
                <w:szCs w:val="1"/>
                <w:color w:val="auto"/>
              </w:rPr>
            </w:pPr>
          </w:p>
        </w:tc>
      </w:tr>
      <w:tr>
        <w:trPr>
          <w:trHeight w:val="206"/>
        </w:trPr>
        <w:tc>
          <w:tcPr>
            <w:tcW w:w="5060" w:type="dxa"/>
            <w:vAlign w:val="bottom"/>
            <w:vMerge w:val="continue"/>
            <w:shd w:val="clear" w:color="auto" w:fill="1D2758"/>
          </w:tcPr>
          <w:p>
            <w:pPr>
              <w:spacing w:after="0"/>
              <w:rPr>
                <w:sz w:val="17"/>
                <w:szCs w:val="17"/>
                <w:color w:val="auto"/>
              </w:rPr>
            </w:pPr>
          </w:p>
        </w:tc>
        <w:tc>
          <w:tcPr>
            <w:tcW w:w="156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years)</w:t>
            </w:r>
          </w:p>
        </w:tc>
        <w:tc>
          <w:tcPr>
            <w:tcW w:w="16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amount</w:t>
            </w:r>
          </w:p>
        </w:tc>
        <w:tc>
          <w:tcPr>
            <w:tcW w:w="18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amortization</w:t>
            </w:r>
          </w:p>
        </w:tc>
        <w:tc>
          <w:tcPr>
            <w:tcW w:w="140" w:type="dxa"/>
            <w:vAlign w:val="bottom"/>
            <w:shd w:val="clear" w:color="auto" w:fill="1D2758"/>
          </w:tcPr>
          <w:p>
            <w:pPr>
              <w:spacing w:after="0"/>
              <w:rPr>
                <w:sz w:val="17"/>
                <w:szCs w:val="17"/>
                <w:color w:val="auto"/>
              </w:rPr>
            </w:pPr>
          </w:p>
        </w:tc>
        <w:tc>
          <w:tcPr>
            <w:tcW w:w="134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060" w:type="dxa"/>
            <w:vAlign w:val="bottom"/>
          </w:tcPr>
          <w:p>
            <w:pPr>
              <w:ind w:left="220"/>
              <w:spacing w:after="0"/>
              <w:rPr>
                <w:sz w:val="20"/>
                <w:szCs w:val="20"/>
                <w:color w:val="auto"/>
              </w:rPr>
            </w:pPr>
            <w:r>
              <w:rPr>
                <w:rFonts w:ascii="Arial" w:cs="Arial" w:eastAsia="Arial" w:hAnsi="Arial"/>
                <w:sz w:val="15"/>
                <w:szCs w:val="15"/>
                <w:color w:val="auto"/>
              </w:rPr>
              <w:t>Mobile Mini customer relationships</w:t>
            </w:r>
          </w:p>
        </w:tc>
        <w:tc>
          <w:tcPr>
            <w:tcW w:w="1560" w:type="dxa"/>
            <w:vAlign w:val="bottom"/>
          </w:tcPr>
          <w:p>
            <w:pPr>
              <w:jc w:val="center"/>
              <w:spacing w:after="0"/>
              <w:rPr>
                <w:sz w:val="20"/>
                <w:szCs w:val="20"/>
                <w:color w:val="auto"/>
              </w:rPr>
            </w:pPr>
            <w:r>
              <w:rPr>
                <w:rFonts w:ascii="Arial" w:cs="Arial" w:eastAsia="Arial" w:hAnsi="Arial"/>
                <w:sz w:val="15"/>
                <w:szCs w:val="15"/>
                <w:color w:val="auto"/>
              </w:rPr>
              <w:t>5.3</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188,000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(64,625)</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123,375</w:t>
            </w:r>
          </w:p>
        </w:tc>
        <w:tc>
          <w:tcPr>
            <w:tcW w:w="0" w:type="dxa"/>
            <w:vAlign w:val="bottom"/>
          </w:tcPr>
          <w:p>
            <w:pPr>
              <w:spacing w:after="0"/>
              <w:rPr>
                <w:sz w:val="1"/>
                <w:szCs w:val="1"/>
                <w:color w:val="auto"/>
              </w:rPr>
            </w:pPr>
          </w:p>
        </w:tc>
      </w:tr>
      <w:tr>
        <w:trPr>
          <w:trHeight w:val="207"/>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Technology</w:t>
            </w:r>
          </w:p>
        </w:tc>
        <w:tc>
          <w:tcPr>
            <w:tcW w:w="15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3.3</w:t>
            </w:r>
          </w:p>
        </w:tc>
        <w:tc>
          <w:tcPr>
            <w:tcW w:w="16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1,500</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(687)</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813</w:t>
            </w:r>
          </w:p>
        </w:tc>
        <w:tc>
          <w:tcPr>
            <w:tcW w:w="0" w:type="dxa"/>
            <w:vAlign w:val="bottom"/>
          </w:tcPr>
          <w:p>
            <w:pPr>
              <w:spacing w:after="0"/>
              <w:rPr>
                <w:sz w:val="1"/>
                <w:szCs w:val="1"/>
                <w:color w:val="auto"/>
              </w:rPr>
            </w:pPr>
          </w:p>
        </w:tc>
      </w:tr>
      <w:tr>
        <w:trPr>
          <w:trHeight w:val="205"/>
        </w:trPr>
        <w:tc>
          <w:tcPr>
            <w:tcW w:w="5060" w:type="dxa"/>
            <w:vAlign w:val="bottom"/>
          </w:tcPr>
          <w:p>
            <w:pPr>
              <w:ind w:left="20"/>
              <w:spacing w:after="0"/>
              <w:rPr>
                <w:sz w:val="20"/>
                <w:szCs w:val="20"/>
                <w:color w:val="auto"/>
              </w:rPr>
            </w:pPr>
            <w:r>
              <w:rPr>
                <w:rFonts w:ascii="Arial" w:cs="Arial" w:eastAsia="Arial" w:hAnsi="Arial"/>
                <w:sz w:val="15"/>
                <w:szCs w:val="15"/>
                <w:color w:val="auto"/>
              </w:rPr>
              <w:t>Indefinite-lived intangible assets:</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Trade name - Mobile Mini</w:t>
            </w:r>
          </w:p>
        </w:tc>
        <w:tc>
          <w:tcPr>
            <w:tcW w:w="15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0" w:type="dxa"/>
            <w:vAlign w:val="bottom"/>
          </w:tcPr>
          <w:p>
            <w:pPr>
              <w:spacing w:after="0"/>
              <w:rPr>
                <w:sz w:val="1"/>
                <w:szCs w:val="1"/>
                <w:color w:val="auto"/>
              </w:rPr>
            </w:pPr>
          </w:p>
        </w:tc>
      </w:tr>
      <w:tr>
        <w:trPr>
          <w:trHeight w:val="219"/>
        </w:trPr>
        <w:tc>
          <w:tcPr>
            <w:tcW w:w="5060" w:type="dxa"/>
            <w:vAlign w:val="bottom"/>
          </w:tcPr>
          <w:p>
            <w:pPr>
              <w:ind w:left="220"/>
              <w:spacing w:after="0"/>
              <w:rPr>
                <w:sz w:val="20"/>
                <w:szCs w:val="20"/>
                <w:color w:val="auto"/>
              </w:rPr>
            </w:pPr>
            <w:r>
              <w:rPr>
                <w:rFonts w:ascii="Arial" w:cs="Arial" w:eastAsia="Arial" w:hAnsi="Arial"/>
                <w:sz w:val="15"/>
                <w:szCs w:val="15"/>
                <w:color w:val="auto"/>
              </w:rPr>
              <w:t>Trade name - WillScot</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125,000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125,000</w:t>
            </w:r>
          </w:p>
        </w:tc>
        <w:tc>
          <w:tcPr>
            <w:tcW w:w="0" w:type="dxa"/>
            <w:vAlign w:val="bottom"/>
          </w:tcPr>
          <w:p>
            <w:pPr>
              <w:spacing w:after="0"/>
              <w:rPr>
                <w:sz w:val="1"/>
                <w:szCs w:val="1"/>
                <w:color w:val="auto"/>
              </w:rPr>
            </w:pPr>
          </w:p>
        </w:tc>
      </w:tr>
      <w:tr>
        <w:trPr>
          <w:trHeight w:val="224"/>
        </w:trPr>
        <w:tc>
          <w:tcPr>
            <w:tcW w:w="50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60" w:type="dxa"/>
            <w:vAlign w:val="bottom"/>
            <w:tcBorders>
              <w:top w:val="single" w:sz="8" w:color="DBDBDB"/>
              <w:bottom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478,500</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(65,312)</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413,188</w:t>
            </w:r>
          </w:p>
        </w:tc>
        <w:tc>
          <w:tcPr>
            <w:tcW w:w="0" w:type="dxa"/>
            <w:vAlign w:val="bottom"/>
          </w:tcPr>
          <w:p>
            <w:pPr>
              <w:spacing w:after="0"/>
              <w:rPr>
                <w:sz w:val="1"/>
                <w:szCs w:val="1"/>
                <w:color w:val="auto"/>
              </w:rPr>
            </w:pPr>
          </w:p>
        </w:tc>
      </w:tr>
      <w:tr>
        <w:trPr>
          <w:trHeight w:val="20"/>
        </w:trPr>
        <w:tc>
          <w:tcPr>
            <w:tcW w:w="506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6"/>
        </w:trPr>
        <w:tc>
          <w:tcPr>
            <w:tcW w:w="5060" w:type="dxa"/>
            <w:vAlign w:val="bottom"/>
            <w:shd w:val="clear" w:color="auto" w:fill="1D2758"/>
          </w:tcPr>
          <w:p>
            <w:pPr>
              <w:spacing w:after="0"/>
              <w:rPr>
                <w:sz w:val="17"/>
                <w:szCs w:val="17"/>
                <w:color w:val="auto"/>
              </w:rPr>
            </w:pPr>
          </w:p>
        </w:tc>
        <w:tc>
          <w:tcPr>
            <w:tcW w:w="1560" w:type="dxa"/>
            <w:vAlign w:val="bottom"/>
            <w:vMerge w:val="restart"/>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Weighted average</w:t>
            </w:r>
          </w:p>
        </w:tc>
        <w:tc>
          <w:tcPr>
            <w:tcW w:w="160" w:type="dxa"/>
            <w:vAlign w:val="bottom"/>
            <w:shd w:val="clear" w:color="auto" w:fill="1D2758"/>
          </w:tcPr>
          <w:p>
            <w:pPr>
              <w:spacing w:after="0"/>
              <w:rPr>
                <w:sz w:val="17"/>
                <w:szCs w:val="17"/>
                <w:color w:val="auto"/>
              </w:rPr>
            </w:pPr>
          </w:p>
        </w:tc>
        <w:tc>
          <w:tcPr>
            <w:tcW w:w="2980" w:type="dxa"/>
            <w:vAlign w:val="bottom"/>
            <w:gridSpan w:val="5"/>
            <w:shd w:val="clear" w:color="auto" w:fill="1D2758"/>
          </w:tcPr>
          <w:p>
            <w:pPr>
              <w:ind w:left="680"/>
              <w:spacing w:after="0"/>
              <w:rPr>
                <w:sz w:val="20"/>
                <w:szCs w:val="20"/>
                <w:color w:val="auto"/>
              </w:rPr>
            </w:pPr>
            <w:r>
              <w:rPr>
                <w:rFonts w:ascii="Arial" w:cs="Arial" w:eastAsia="Arial" w:hAnsi="Arial"/>
                <w:sz w:val="15"/>
                <w:szCs w:val="15"/>
                <w:b w:val="1"/>
                <w:bCs w:val="1"/>
                <w:color w:val="FFFFFF"/>
              </w:rPr>
              <w:t>December 31, 2022</w:t>
            </w:r>
          </w:p>
        </w:tc>
        <w:tc>
          <w:tcPr>
            <w:tcW w:w="140" w:type="dxa"/>
            <w:vAlign w:val="bottom"/>
            <w:shd w:val="clear" w:color="auto" w:fill="1D2758"/>
          </w:tcPr>
          <w:p>
            <w:pPr>
              <w:spacing w:after="0"/>
              <w:rPr>
                <w:sz w:val="17"/>
                <w:szCs w:val="17"/>
                <w:color w:val="auto"/>
              </w:rPr>
            </w:pPr>
          </w:p>
        </w:tc>
        <w:tc>
          <w:tcPr>
            <w:tcW w:w="13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060" w:type="dxa"/>
            <w:vAlign w:val="bottom"/>
            <w:shd w:val="clear" w:color="auto" w:fill="1D2758"/>
          </w:tcPr>
          <w:p>
            <w:pPr>
              <w:spacing w:after="0"/>
              <w:rPr>
                <w:sz w:val="13"/>
                <w:szCs w:val="13"/>
                <w:color w:val="auto"/>
              </w:rPr>
            </w:pPr>
          </w:p>
        </w:tc>
        <w:tc>
          <w:tcPr>
            <w:tcW w:w="1560" w:type="dxa"/>
            <w:vAlign w:val="bottom"/>
            <w:vMerge w:val="continue"/>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1400" w:type="dxa"/>
            <w:vAlign w:val="bottom"/>
            <w:gridSpan w:val="2"/>
            <w:vMerge w:val="restart"/>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Gross carrying</w:t>
            </w:r>
          </w:p>
        </w:tc>
        <w:tc>
          <w:tcPr>
            <w:tcW w:w="180" w:type="dxa"/>
            <w:vAlign w:val="bottom"/>
            <w:shd w:val="clear" w:color="auto" w:fill="1D2758"/>
          </w:tcPr>
          <w:p>
            <w:pPr>
              <w:spacing w:after="0"/>
              <w:rPr>
                <w:sz w:val="13"/>
                <w:szCs w:val="13"/>
                <w:color w:val="auto"/>
              </w:rPr>
            </w:pPr>
          </w:p>
        </w:tc>
        <w:tc>
          <w:tcPr>
            <w:tcW w:w="1400" w:type="dxa"/>
            <w:vAlign w:val="bottom"/>
            <w:gridSpan w:val="2"/>
            <w:vMerge w:val="restart"/>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Accumulated</w:t>
            </w:r>
          </w:p>
        </w:tc>
        <w:tc>
          <w:tcPr>
            <w:tcW w:w="140" w:type="dxa"/>
            <w:vAlign w:val="bottom"/>
            <w:shd w:val="clear" w:color="auto" w:fill="1D2758"/>
          </w:tcPr>
          <w:p>
            <w:pPr>
              <w:spacing w:after="0"/>
              <w:rPr>
                <w:sz w:val="13"/>
                <w:szCs w:val="13"/>
                <w:color w:val="auto"/>
              </w:rPr>
            </w:pPr>
          </w:p>
        </w:tc>
        <w:tc>
          <w:tcPr>
            <w:tcW w:w="134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60" w:type="dxa"/>
            <w:vAlign w:val="bottom"/>
            <w:shd w:val="clear" w:color="auto" w:fill="1D2758"/>
          </w:tcPr>
          <w:p>
            <w:pPr>
              <w:jc w:val="center"/>
              <w:ind w:right="3"/>
              <w:spacing w:after="0" w:line="155" w:lineRule="exact"/>
              <w:rPr>
                <w:sz w:val="20"/>
                <w:szCs w:val="20"/>
                <w:color w:val="auto"/>
              </w:rPr>
            </w:pPr>
            <w:r>
              <w:rPr>
                <w:rFonts w:ascii="Arial" w:cs="Arial" w:eastAsia="Arial" w:hAnsi="Arial"/>
                <w:sz w:val="15"/>
                <w:szCs w:val="15"/>
                <w:b w:val="1"/>
                <w:bCs w:val="1"/>
                <w:color w:val="FFFFFF"/>
              </w:rPr>
              <w:t>remaining life (in</w:t>
            </w:r>
          </w:p>
        </w:tc>
        <w:tc>
          <w:tcPr>
            <w:tcW w:w="160" w:type="dxa"/>
            <w:vAlign w:val="bottom"/>
            <w:shd w:val="clear" w:color="auto" w:fill="1D2758"/>
          </w:tcPr>
          <w:p>
            <w:pPr>
              <w:spacing w:after="0"/>
              <w:rPr>
                <w:sz w:val="13"/>
                <w:szCs w:val="13"/>
                <w:color w:val="auto"/>
              </w:rPr>
            </w:pPr>
          </w:p>
        </w:tc>
        <w:tc>
          <w:tcPr>
            <w:tcW w:w="1400" w:type="dxa"/>
            <w:vAlign w:val="bottom"/>
            <w:gridSpan w:val="2"/>
            <w:vMerge w:val="continue"/>
            <w:shd w:val="clear" w:color="auto" w:fill="1D2758"/>
          </w:tcPr>
          <w:p>
            <w:pPr>
              <w:spacing w:after="0"/>
              <w:rPr>
                <w:sz w:val="13"/>
                <w:szCs w:val="13"/>
                <w:color w:val="auto"/>
              </w:rPr>
            </w:pPr>
          </w:p>
        </w:tc>
        <w:tc>
          <w:tcPr>
            <w:tcW w:w="180" w:type="dxa"/>
            <w:vAlign w:val="bottom"/>
            <w:shd w:val="clear" w:color="auto" w:fill="1D2758"/>
          </w:tcPr>
          <w:p>
            <w:pPr>
              <w:spacing w:after="0"/>
              <w:rPr>
                <w:sz w:val="13"/>
                <w:szCs w:val="13"/>
                <w:color w:val="auto"/>
              </w:rPr>
            </w:pPr>
          </w:p>
        </w:tc>
        <w:tc>
          <w:tcPr>
            <w:tcW w:w="1400" w:type="dxa"/>
            <w:vAlign w:val="bottom"/>
            <w:gridSpan w:val="2"/>
            <w:vMerge w:val="continue"/>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3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Net book value</w:t>
            </w:r>
          </w:p>
        </w:tc>
        <w:tc>
          <w:tcPr>
            <w:tcW w:w="0" w:type="dxa"/>
            <w:vAlign w:val="bottom"/>
          </w:tcPr>
          <w:p>
            <w:pPr>
              <w:spacing w:after="0"/>
              <w:rPr>
                <w:sz w:val="1"/>
                <w:szCs w:val="1"/>
                <w:color w:val="auto"/>
              </w:rPr>
            </w:pPr>
          </w:p>
        </w:tc>
      </w:tr>
      <w:tr>
        <w:trPr>
          <w:trHeight w:val="206"/>
        </w:trPr>
        <w:tc>
          <w:tcPr>
            <w:tcW w:w="5060" w:type="dxa"/>
            <w:vAlign w:val="bottom"/>
            <w:vMerge w:val="continue"/>
            <w:shd w:val="clear" w:color="auto" w:fill="1D2758"/>
          </w:tcPr>
          <w:p>
            <w:pPr>
              <w:spacing w:after="0"/>
              <w:rPr>
                <w:sz w:val="17"/>
                <w:szCs w:val="17"/>
                <w:color w:val="auto"/>
              </w:rPr>
            </w:pPr>
          </w:p>
        </w:tc>
        <w:tc>
          <w:tcPr>
            <w:tcW w:w="156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years)</w:t>
            </w:r>
          </w:p>
        </w:tc>
        <w:tc>
          <w:tcPr>
            <w:tcW w:w="16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amount</w:t>
            </w:r>
          </w:p>
        </w:tc>
        <w:tc>
          <w:tcPr>
            <w:tcW w:w="18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amortization</w:t>
            </w:r>
          </w:p>
        </w:tc>
        <w:tc>
          <w:tcPr>
            <w:tcW w:w="140" w:type="dxa"/>
            <w:vAlign w:val="bottom"/>
            <w:shd w:val="clear" w:color="auto" w:fill="1D2758"/>
          </w:tcPr>
          <w:p>
            <w:pPr>
              <w:spacing w:after="0"/>
              <w:rPr>
                <w:sz w:val="17"/>
                <w:szCs w:val="17"/>
                <w:color w:val="auto"/>
              </w:rPr>
            </w:pPr>
          </w:p>
        </w:tc>
        <w:tc>
          <w:tcPr>
            <w:tcW w:w="134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060" w:type="dxa"/>
            <w:vAlign w:val="bottom"/>
          </w:tcPr>
          <w:p>
            <w:pPr>
              <w:ind w:left="220"/>
              <w:spacing w:after="0"/>
              <w:rPr>
                <w:sz w:val="20"/>
                <w:szCs w:val="20"/>
                <w:color w:val="auto"/>
              </w:rPr>
            </w:pPr>
            <w:r>
              <w:rPr>
                <w:rFonts w:ascii="Arial" w:cs="Arial" w:eastAsia="Arial" w:hAnsi="Arial"/>
                <w:sz w:val="15"/>
                <w:szCs w:val="15"/>
                <w:color w:val="auto"/>
              </w:rPr>
              <w:t>Mobile Mini customer relationships</w:t>
            </w:r>
          </w:p>
        </w:tc>
        <w:tc>
          <w:tcPr>
            <w:tcW w:w="1560" w:type="dxa"/>
            <w:vAlign w:val="bottom"/>
          </w:tcPr>
          <w:p>
            <w:pPr>
              <w:jc w:val="center"/>
              <w:spacing w:after="0"/>
              <w:rPr>
                <w:sz w:val="20"/>
                <w:szCs w:val="20"/>
                <w:color w:val="auto"/>
              </w:rPr>
            </w:pPr>
            <w:r>
              <w:rPr>
                <w:rFonts w:ascii="Arial" w:cs="Arial" w:eastAsia="Arial" w:hAnsi="Arial"/>
                <w:sz w:val="15"/>
                <w:szCs w:val="15"/>
                <w:color w:val="auto"/>
              </w:rPr>
              <w:t>5.5</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188,000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(58,750)</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129,250</w:t>
            </w:r>
          </w:p>
        </w:tc>
        <w:tc>
          <w:tcPr>
            <w:tcW w:w="0" w:type="dxa"/>
            <w:vAlign w:val="bottom"/>
          </w:tcPr>
          <w:p>
            <w:pPr>
              <w:spacing w:after="0"/>
              <w:rPr>
                <w:sz w:val="1"/>
                <w:szCs w:val="1"/>
                <w:color w:val="auto"/>
              </w:rPr>
            </w:pPr>
          </w:p>
        </w:tc>
      </w:tr>
      <w:tr>
        <w:trPr>
          <w:trHeight w:val="207"/>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Technology</w:t>
            </w:r>
          </w:p>
        </w:tc>
        <w:tc>
          <w:tcPr>
            <w:tcW w:w="15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3.5</w:t>
            </w:r>
          </w:p>
        </w:tc>
        <w:tc>
          <w:tcPr>
            <w:tcW w:w="16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1,500</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(625)</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875</w:t>
            </w:r>
          </w:p>
        </w:tc>
        <w:tc>
          <w:tcPr>
            <w:tcW w:w="0" w:type="dxa"/>
            <w:vAlign w:val="bottom"/>
          </w:tcPr>
          <w:p>
            <w:pPr>
              <w:spacing w:after="0"/>
              <w:rPr>
                <w:sz w:val="1"/>
                <w:szCs w:val="1"/>
                <w:color w:val="auto"/>
              </w:rPr>
            </w:pPr>
          </w:p>
        </w:tc>
      </w:tr>
      <w:tr>
        <w:trPr>
          <w:trHeight w:val="205"/>
        </w:trPr>
        <w:tc>
          <w:tcPr>
            <w:tcW w:w="5060" w:type="dxa"/>
            <w:vAlign w:val="bottom"/>
          </w:tcPr>
          <w:p>
            <w:pPr>
              <w:ind w:left="20"/>
              <w:spacing w:after="0"/>
              <w:rPr>
                <w:sz w:val="20"/>
                <w:szCs w:val="20"/>
                <w:color w:val="auto"/>
              </w:rPr>
            </w:pPr>
            <w:r>
              <w:rPr>
                <w:rFonts w:ascii="Arial" w:cs="Arial" w:eastAsia="Arial" w:hAnsi="Arial"/>
                <w:sz w:val="15"/>
                <w:szCs w:val="15"/>
                <w:color w:val="auto"/>
              </w:rPr>
              <w:t>Indefinite-lived intangible assets:</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Trade name - Mobile Mini</w:t>
            </w:r>
          </w:p>
        </w:tc>
        <w:tc>
          <w:tcPr>
            <w:tcW w:w="15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0" w:type="dxa"/>
            <w:vAlign w:val="bottom"/>
          </w:tcPr>
          <w:p>
            <w:pPr>
              <w:spacing w:after="0"/>
              <w:rPr>
                <w:sz w:val="1"/>
                <w:szCs w:val="1"/>
                <w:color w:val="auto"/>
              </w:rPr>
            </w:pPr>
          </w:p>
        </w:tc>
      </w:tr>
      <w:tr>
        <w:trPr>
          <w:trHeight w:val="219"/>
        </w:trPr>
        <w:tc>
          <w:tcPr>
            <w:tcW w:w="5060" w:type="dxa"/>
            <w:vAlign w:val="bottom"/>
          </w:tcPr>
          <w:p>
            <w:pPr>
              <w:ind w:left="220"/>
              <w:spacing w:after="0"/>
              <w:rPr>
                <w:sz w:val="20"/>
                <w:szCs w:val="20"/>
                <w:color w:val="auto"/>
              </w:rPr>
            </w:pPr>
            <w:r>
              <w:rPr>
                <w:rFonts w:ascii="Arial" w:cs="Arial" w:eastAsia="Arial" w:hAnsi="Arial"/>
                <w:sz w:val="15"/>
                <w:szCs w:val="15"/>
                <w:color w:val="auto"/>
              </w:rPr>
              <w:t>Trade name - WillScot</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125,000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125,000</w:t>
            </w:r>
          </w:p>
        </w:tc>
        <w:tc>
          <w:tcPr>
            <w:tcW w:w="0" w:type="dxa"/>
            <w:vAlign w:val="bottom"/>
          </w:tcPr>
          <w:p>
            <w:pPr>
              <w:spacing w:after="0"/>
              <w:rPr>
                <w:sz w:val="1"/>
                <w:szCs w:val="1"/>
                <w:color w:val="auto"/>
              </w:rPr>
            </w:pPr>
          </w:p>
        </w:tc>
      </w:tr>
      <w:tr>
        <w:trPr>
          <w:trHeight w:val="224"/>
        </w:trPr>
        <w:tc>
          <w:tcPr>
            <w:tcW w:w="50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60" w:type="dxa"/>
            <w:vAlign w:val="bottom"/>
            <w:tcBorders>
              <w:top w:val="single" w:sz="8" w:color="DBDBDB"/>
              <w:bottom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478,500</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(59,375)</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419,125</w:t>
            </w:r>
          </w:p>
        </w:tc>
        <w:tc>
          <w:tcPr>
            <w:tcW w:w="0" w:type="dxa"/>
            <w:vAlign w:val="bottom"/>
          </w:tcPr>
          <w:p>
            <w:pPr>
              <w:spacing w:after="0"/>
              <w:rPr>
                <w:sz w:val="1"/>
                <w:szCs w:val="1"/>
                <w:color w:val="auto"/>
              </w:rPr>
            </w:pPr>
          </w:p>
        </w:tc>
      </w:tr>
      <w:tr>
        <w:trPr>
          <w:trHeight w:val="20"/>
        </w:trPr>
        <w:tc>
          <w:tcPr>
            <w:tcW w:w="506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Amortization expense related to intangible assets was $5.9 million for the each of the three months ended March 31, 2023 and 2022.</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Based on the carrying value at March 31, 2023, future amortization of intangible assets is expected to be as follows for the years ended December 31: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7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980" w:type="dxa"/>
            <w:vAlign w:val="bottom"/>
            <w:shd w:val="clear" w:color="auto" w:fill="1D2758"/>
          </w:tcPr>
          <w:p>
            <w:pPr>
              <w:spacing w:after="0"/>
              <w:rPr>
                <w:sz w:val="17"/>
                <w:szCs w:val="17"/>
                <w:color w:val="auto"/>
              </w:rPr>
            </w:pPr>
          </w:p>
        </w:tc>
        <w:tc>
          <w:tcPr>
            <w:tcW w:w="1500" w:type="dxa"/>
            <w:vAlign w:val="bottom"/>
            <w:shd w:val="clear" w:color="auto" w:fill="1D2758"/>
          </w:tcPr>
          <w:p>
            <w:pPr>
              <w:spacing w:after="0"/>
              <w:rPr>
                <w:sz w:val="17"/>
                <w:szCs w:val="17"/>
                <w:color w:val="auto"/>
              </w:rPr>
            </w:pPr>
          </w:p>
        </w:tc>
      </w:tr>
      <w:tr>
        <w:trPr>
          <w:trHeight w:val="206"/>
        </w:trPr>
        <w:tc>
          <w:tcPr>
            <w:tcW w:w="8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2023 (remaining)</w:t>
            </w:r>
          </w:p>
        </w:tc>
        <w:tc>
          <w:tcPr>
            <w:tcW w:w="980" w:type="dxa"/>
            <w:vAlign w:val="bottom"/>
            <w:shd w:val="clear" w:color="auto" w:fill="DBDBDB"/>
          </w:tcPr>
          <w:p>
            <w:pPr>
              <w:jc w:val="right"/>
              <w:ind w:right="783"/>
              <w:spacing w:after="0"/>
              <w:rPr>
                <w:sz w:val="20"/>
                <w:szCs w:val="20"/>
                <w:color w:val="auto"/>
              </w:rPr>
            </w:pPr>
            <w:r>
              <w:rPr>
                <w:rFonts w:ascii="Arial" w:cs="Arial" w:eastAsia="Arial" w:hAnsi="Arial"/>
                <w:sz w:val="15"/>
                <w:szCs w:val="15"/>
                <w:color w:val="auto"/>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17,813</w:t>
            </w:r>
          </w:p>
        </w:tc>
      </w:tr>
      <w:tr>
        <w:trPr>
          <w:trHeight w:val="205"/>
        </w:trPr>
        <w:tc>
          <w:tcPr>
            <w:tcW w:w="8760" w:type="dxa"/>
            <w:vAlign w:val="bottom"/>
          </w:tcPr>
          <w:p>
            <w:pPr>
              <w:ind w:left="20"/>
              <w:spacing w:after="0"/>
              <w:rPr>
                <w:sz w:val="20"/>
                <w:szCs w:val="20"/>
                <w:color w:val="auto"/>
              </w:rPr>
            </w:pPr>
            <w:r>
              <w:rPr>
                <w:rFonts w:ascii="Arial" w:cs="Arial" w:eastAsia="Arial" w:hAnsi="Arial"/>
                <w:sz w:val="15"/>
                <w:szCs w:val="15"/>
                <w:color w:val="auto"/>
              </w:rPr>
              <w:t>2024</w:t>
            </w:r>
          </w:p>
        </w:tc>
        <w:tc>
          <w:tcPr>
            <w:tcW w:w="9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23,750</w:t>
            </w:r>
          </w:p>
        </w:tc>
      </w:tr>
      <w:tr>
        <w:trPr>
          <w:trHeight w:val="207"/>
        </w:trPr>
        <w:tc>
          <w:tcPr>
            <w:tcW w:w="8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w:t>
            </w:r>
          </w:p>
        </w:tc>
        <w:tc>
          <w:tcPr>
            <w:tcW w:w="98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23,750</w:t>
            </w:r>
          </w:p>
        </w:tc>
      </w:tr>
      <w:tr>
        <w:trPr>
          <w:trHeight w:val="205"/>
        </w:trPr>
        <w:tc>
          <w:tcPr>
            <w:tcW w:w="8760" w:type="dxa"/>
            <w:vAlign w:val="bottom"/>
          </w:tcPr>
          <w:p>
            <w:pPr>
              <w:ind w:left="20"/>
              <w:spacing w:after="0"/>
              <w:rPr>
                <w:sz w:val="20"/>
                <w:szCs w:val="20"/>
                <w:color w:val="auto"/>
              </w:rPr>
            </w:pPr>
            <w:r>
              <w:rPr>
                <w:rFonts w:ascii="Arial" w:cs="Arial" w:eastAsia="Arial" w:hAnsi="Arial"/>
                <w:sz w:val="15"/>
                <w:szCs w:val="15"/>
                <w:color w:val="auto"/>
              </w:rPr>
              <w:t>2026</w:t>
            </w:r>
          </w:p>
        </w:tc>
        <w:tc>
          <w:tcPr>
            <w:tcW w:w="9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23,625</w:t>
            </w:r>
          </w:p>
        </w:tc>
      </w:tr>
      <w:tr>
        <w:trPr>
          <w:trHeight w:val="207"/>
        </w:trPr>
        <w:tc>
          <w:tcPr>
            <w:tcW w:w="8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2027</w:t>
            </w:r>
          </w:p>
        </w:tc>
        <w:tc>
          <w:tcPr>
            <w:tcW w:w="98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23,500</w:t>
            </w:r>
          </w:p>
        </w:tc>
      </w:tr>
      <w:tr>
        <w:trPr>
          <w:trHeight w:val="205"/>
        </w:trPr>
        <w:tc>
          <w:tcPr>
            <w:tcW w:w="87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Thereafter</w:t>
            </w:r>
          </w:p>
        </w:tc>
        <w:tc>
          <w:tcPr>
            <w:tcW w:w="9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11,750</w:t>
            </w:r>
          </w:p>
        </w:tc>
      </w:tr>
      <w:tr>
        <w:trPr>
          <w:trHeight w:val="225"/>
        </w:trPr>
        <w:tc>
          <w:tcPr>
            <w:tcW w:w="876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5"/>
                <w:szCs w:val="15"/>
                <w:color w:val="auto"/>
              </w:rPr>
              <w:t>Total</w:t>
            </w:r>
          </w:p>
        </w:tc>
        <w:tc>
          <w:tcPr>
            <w:tcW w:w="980" w:type="dxa"/>
            <w:vAlign w:val="bottom"/>
            <w:tcBorders>
              <w:bottom w:val="single" w:sz="8" w:color="auto"/>
            </w:tcBorders>
            <w:shd w:val="clear" w:color="auto" w:fill="DBDBDB"/>
          </w:tcPr>
          <w:p>
            <w:pPr>
              <w:jc w:val="right"/>
              <w:ind w:right="783"/>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124,188</w:t>
            </w:r>
          </w:p>
        </w:tc>
      </w:tr>
      <w:tr>
        <w:trPr>
          <w:trHeight w:val="20"/>
        </w:trPr>
        <w:tc>
          <w:tcPr>
            <w:tcW w:w="876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1D2758"/>
        </w:rPr>
        <w:t>NOTE 9 - Debt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60" w:type="dxa"/>
            <w:vAlign w:val="bottom"/>
            <w:gridSpan w:val="3"/>
          </w:tcPr>
          <w:p>
            <w:pPr>
              <w:ind w:left="620"/>
              <w:spacing w:after="0"/>
              <w:rPr>
                <w:sz w:val="20"/>
                <w:szCs w:val="20"/>
                <w:color w:val="auto"/>
              </w:rPr>
            </w:pPr>
            <w:r>
              <w:rPr>
                <w:rFonts w:ascii="Arial" w:cs="Arial" w:eastAsia="Arial" w:hAnsi="Arial"/>
                <w:sz w:val="15"/>
                <w:szCs w:val="15"/>
                <w:color w:val="auto"/>
              </w:rPr>
              <w:t>The carrying value of debt outstanding at the respective balance sheet dates consisted of the following:</w:t>
            </w: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18"/>
        </w:trPr>
        <w:tc>
          <w:tcPr>
            <w:tcW w:w="36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206"/>
        </w:trPr>
        <w:tc>
          <w:tcPr>
            <w:tcW w:w="36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rates)</w:t>
            </w:r>
          </w:p>
        </w:tc>
        <w:tc>
          <w:tcPr>
            <w:tcW w:w="2240" w:type="dxa"/>
            <w:vAlign w:val="bottom"/>
            <w:shd w:val="clear" w:color="auto" w:fill="1D2758"/>
          </w:tcPr>
          <w:p>
            <w:pPr>
              <w:jc w:val="center"/>
              <w:ind w:left="563"/>
              <w:spacing w:after="0"/>
              <w:rPr>
                <w:sz w:val="20"/>
                <w:szCs w:val="20"/>
                <w:color w:val="auto"/>
              </w:rPr>
            </w:pPr>
            <w:r>
              <w:rPr>
                <w:rFonts w:ascii="Arial" w:cs="Arial" w:eastAsia="Arial" w:hAnsi="Arial"/>
                <w:sz w:val="15"/>
                <w:szCs w:val="15"/>
                <w:b w:val="1"/>
                <w:bCs w:val="1"/>
                <w:color w:val="FFFFFF"/>
              </w:rPr>
              <w:t>Interest rate</w:t>
            </w:r>
          </w:p>
        </w:tc>
        <w:tc>
          <w:tcPr>
            <w:tcW w:w="190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Year of maturity</w:t>
            </w:r>
          </w:p>
        </w:tc>
        <w:tc>
          <w:tcPr>
            <w:tcW w:w="200" w:type="dxa"/>
            <w:vAlign w:val="bottom"/>
            <w:shd w:val="clear" w:color="auto" w:fill="1D2758"/>
          </w:tcPr>
          <w:p>
            <w:pPr>
              <w:spacing w:after="0"/>
              <w:rPr>
                <w:sz w:val="17"/>
                <w:szCs w:val="17"/>
                <w:color w:val="auto"/>
              </w:rPr>
            </w:pPr>
          </w:p>
        </w:tc>
        <w:tc>
          <w:tcPr>
            <w:tcW w:w="1580" w:type="dxa"/>
            <w:vAlign w:val="bottom"/>
            <w:gridSpan w:val="2"/>
            <w:shd w:val="clear" w:color="auto" w:fill="1D2758"/>
          </w:tcPr>
          <w:p>
            <w:pPr>
              <w:ind w:left="100"/>
              <w:spacing w:after="0"/>
              <w:rPr>
                <w:sz w:val="20"/>
                <w:szCs w:val="20"/>
                <w:color w:val="auto"/>
              </w:rPr>
            </w:pPr>
            <w:r>
              <w:rPr>
                <w:rFonts w:ascii="Arial" w:cs="Arial" w:eastAsia="Arial" w:hAnsi="Arial"/>
                <w:sz w:val="15"/>
                <w:szCs w:val="15"/>
                <w:b w:val="1"/>
                <w:bCs w:val="1"/>
                <w:color w:val="FFFFFF"/>
              </w:rPr>
              <w:t>March 31, 2023</w:t>
            </w:r>
          </w:p>
        </w:tc>
        <w:tc>
          <w:tcPr>
            <w:tcW w:w="140" w:type="dxa"/>
            <w:vAlign w:val="bottom"/>
            <w:shd w:val="clear" w:color="auto" w:fill="1D2758"/>
          </w:tcPr>
          <w:p>
            <w:pPr>
              <w:spacing w:after="0"/>
              <w:rPr>
                <w:sz w:val="17"/>
                <w:szCs w:val="17"/>
                <w:color w:val="auto"/>
              </w:rPr>
            </w:pPr>
          </w:p>
        </w:tc>
        <w:tc>
          <w:tcPr>
            <w:tcW w:w="1560" w:type="dxa"/>
            <w:vAlign w:val="bottom"/>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December 31, 2022</w:t>
            </w:r>
          </w:p>
        </w:tc>
      </w:tr>
      <w:tr>
        <w:trPr>
          <w:trHeight w:val="206"/>
        </w:trPr>
        <w:tc>
          <w:tcPr>
            <w:tcW w:w="3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 Secured Notes</w:t>
            </w:r>
          </w:p>
        </w:tc>
        <w:tc>
          <w:tcPr>
            <w:tcW w:w="2240" w:type="dxa"/>
            <w:vAlign w:val="bottom"/>
            <w:shd w:val="clear" w:color="auto" w:fill="DBDBDB"/>
          </w:tcPr>
          <w:p>
            <w:pPr>
              <w:jc w:val="center"/>
              <w:ind w:left="563"/>
              <w:spacing w:after="0"/>
              <w:rPr>
                <w:sz w:val="20"/>
                <w:szCs w:val="20"/>
                <w:color w:val="auto"/>
              </w:rPr>
            </w:pPr>
            <w:r>
              <w:rPr>
                <w:rFonts w:ascii="Arial" w:cs="Arial" w:eastAsia="Arial" w:hAnsi="Arial"/>
                <w:sz w:val="15"/>
                <w:szCs w:val="15"/>
                <w:color w:val="auto"/>
              </w:rPr>
              <w:t>6.125%</w:t>
            </w:r>
          </w:p>
        </w:tc>
        <w:tc>
          <w:tcPr>
            <w:tcW w:w="190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2025</w:t>
            </w: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520,931</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520,350</w:t>
            </w:r>
          </w:p>
        </w:tc>
      </w:tr>
      <w:tr>
        <w:trPr>
          <w:trHeight w:val="206"/>
        </w:trPr>
        <w:tc>
          <w:tcPr>
            <w:tcW w:w="3620" w:type="dxa"/>
            <w:vAlign w:val="bottom"/>
          </w:tcPr>
          <w:p>
            <w:pPr>
              <w:ind w:left="20"/>
              <w:spacing w:after="0" w:line="207" w:lineRule="exact"/>
              <w:rPr>
                <w:sz w:val="20"/>
                <w:szCs w:val="20"/>
                <w:color w:val="auto"/>
              </w:rPr>
            </w:pPr>
            <w:r>
              <w:rPr>
                <w:rFonts w:ascii="Arial" w:cs="Arial" w:eastAsia="Arial" w:hAnsi="Arial"/>
                <w:sz w:val="15"/>
                <w:szCs w:val="15"/>
                <w:color w:val="auto"/>
              </w:rPr>
              <w:t>ABL Facility</w:t>
            </w:r>
            <w:r>
              <w:rPr>
                <w:rFonts w:ascii="Arial" w:cs="Arial" w:eastAsia="Arial" w:hAnsi="Arial"/>
                <w:sz w:val="20"/>
                <w:szCs w:val="20"/>
                <w:color w:val="auto"/>
                <w:vertAlign w:val="superscript"/>
              </w:rPr>
              <w:t>(a)</w:t>
            </w:r>
          </w:p>
        </w:tc>
        <w:tc>
          <w:tcPr>
            <w:tcW w:w="2240" w:type="dxa"/>
            <w:vAlign w:val="bottom"/>
          </w:tcPr>
          <w:p>
            <w:pPr>
              <w:jc w:val="center"/>
              <w:ind w:left="563"/>
              <w:spacing w:after="0"/>
              <w:rPr>
                <w:sz w:val="20"/>
                <w:szCs w:val="20"/>
                <w:color w:val="auto"/>
              </w:rPr>
            </w:pPr>
            <w:r>
              <w:rPr>
                <w:rFonts w:ascii="Arial" w:cs="Arial" w:eastAsia="Arial" w:hAnsi="Arial"/>
                <w:sz w:val="15"/>
                <w:szCs w:val="15"/>
                <w:color w:val="auto"/>
              </w:rPr>
              <w:t>Varies</w:t>
            </w:r>
          </w:p>
        </w:tc>
        <w:tc>
          <w:tcPr>
            <w:tcW w:w="1900" w:type="dxa"/>
            <w:vAlign w:val="bottom"/>
          </w:tcPr>
          <w:p>
            <w:pPr>
              <w:jc w:val="center"/>
              <w:spacing w:after="0"/>
              <w:rPr>
                <w:sz w:val="20"/>
                <w:szCs w:val="20"/>
                <w:color w:val="auto"/>
              </w:rPr>
            </w:pPr>
            <w:r>
              <w:rPr>
                <w:rFonts w:ascii="Arial" w:cs="Arial" w:eastAsia="Arial" w:hAnsi="Arial"/>
                <w:sz w:val="15"/>
                <w:szCs w:val="15"/>
                <w:color w:val="auto"/>
              </w:rPr>
              <w:t>2027</w:t>
            </w:r>
          </w:p>
        </w:tc>
        <w:tc>
          <w:tcPr>
            <w:tcW w:w="200" w:type="dxa"/>
            <w:vAlign w:val="bottom"/>
          </w:tcPr>
          <w:p>
            <w:pPr>
              <w:spacing w:after="0"/>
              <w:rPr>
                <w:sz w:val="17"/>
                <w:szCs w:val="17"/>
                <w:color w:val="auto"/>
              </w:rPr>
            </w:pPr>
          </w:p>
        </w:tc>
        <w:tc>
          <w:tcPr>
            <w:tcW w:w="1500" w:type="dxa"/>
            <w:vAlign w:val="bottom"/>
          </w:tcPr>
          <w:p>
            <w:pPr>
              <w:jc w:val="right"/>
              <w:ind w:right="3"/>
              <w:spacing w:after="0"/>
              <w:rPr>
                <w:sz w:val="20"/>
                <w:szCs w:val="20"/>
                <w:color w:val="auto"/>
              </w:rPr>
            </w:pPr>
            <w:r>
              <w:rPr>
                <w:rFonts w:ascii="Arial" w:cs="Arial" w:eastAsia="Arial" w:hAnsi="Arial"/>
                <w:sz w:val="15"/>
                <w:szCs w:val="15"/>
                <w:color w:val="auto"/>
              </w:rPr>
              <w:t>1,795,448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1,988,176</w:t>
            </w:r>
          </w:p>
        </w:tc>
      </w:tr>
      <w:tr>
        <w:trPr>
          <w:trHeight w:val="206"/>
        </w:trPr>
        <w:tc>
          <w:tcPr>
            <w:tcW w:w="3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2028 Secured Notes</w:t>
            </w:r>
          </w:p>
        </w:tc>
        <w:tc>
          <w:tcPr>
            <w:tcW w:w="2240" w:type="dxa"/>
            <w:vAlign w:val="bottom"/>
            <w:shd w:val="clear" w:color="auto" w:fill="DBDBDB"/>
          </w:tcPr>
          <w:p>
            <w:pPr>
              <w:jc w:val="center"/>
              <w:ind w:left="563"/>
              <w:spacing w:after="0"/>
              <w:rPr>
                <w:sz w:val="20"/>
                <w:szCs w:val="20"/>
                <w:color w:val="auto"/>
              </w:rPr>
            </w:pPr>
            <w:r>
              <w:rPr>
                <w:rFonts w:ascii="Arial" w:cs="Arial" w:eastAsia="Arial" w:hAnsi="Arial"/>
                <w:sz w:val="15"/>
                <w:szCs w:val="15"/>
                <w:color w:val="auto"/>
              </w:rPr>
              <w:t>4.625%</w:t>
            </w:r>
          </w:p>
        </w:tc>
        <w:tc>
          <w:tcPr>
            <w:tcW w:w="190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2028</w:t>
            </w:r>
          </w:p>
        </w:tc>
        <w:tc>
          <w:tcPr>
            <w:tcW w:w="200" w:type="dxa"/>
            <w:vAlign w:val="bottom"/>
            <w:shd w:val="clear" w:color="auto" w:fill="DBDBDB"/>
          </w:tcPr>
          <w:p>
            <w:pPr>
              <w:spacing w:after="0"/>
              <w:rPr>
                <w:sz w:val="17"/>
                <w:szCs w:val="17"/>
                <w:color w:val="auto"/>
              </w:rPr>
            </w:pPr>
          </w:p>
        </w:tc>
        <w:tc>
          <w:tcPr>
            <w:tcW w:w="15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493,723</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493,470</w:t>
            </w:r>
          </w:p>
        </w:tc>
      </w:tr>
      <w:tr>
        <w:trPr>
          <w:trHeight w:val="205"/>
        </w:trPr>
        <w:tc>
          <w:tcPr>
            <w:tcW w:w="36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Finance Leases</w:t>
            </w:r>
          </w:p>
        </w:tc>
        <w:tc>
          <w:tcPr>
            <w:tcW w:w="2240" w:type="dxa"/>
            <w:vAlign w:val="bottom"/>
            <w:tcBorders>
              <w:bottom w:val="single" w:sz="8" w:color="DBDBDB"/>
            </w:tcBorders>
          </w:tcPr>
          <w:p>
            <w:pPr>
              <w:jc w:val="center"/>
              <w:ind w:left="563"/>
              <w:spacing w:after="0"/>
              <w:rPr>
                <w:sz w:val="20"/>
                <w:szCs w:val="20"/>
                <w:color w:val="auto"/>
              </w:rPr>
            </w:pPr>
            <w:r>
              <w:rPr>
                <w:rFonts w:ascii="Arial" w:cs="Arial" w:eastAsia="Arial" w:hAnsi="Arial"/>
                <w:sz w:val="15"/>
                <w:szCs w:val="15"/>
                <w:color w:val="auto"/>
              </w:rPr>
              <w:t>Varies</w:t>
            </w:r>
          </w:p>
        </w:tc>
        <w:tc>
          <w:tcPr>
            <w:tcW w:w="1900" w:type="dxa"/>
            <w:vAlign w:val="bottom"/>
            <w:tcBorders>
              <w:bottom w:val="single" w:sz="8" w:color="DBDBDB"/>
            </w:tcBorders>
          </w:tcPr>
          <w:p>
            <w:pPr>
              <w:jc w:val="center"/>
              <w:spacing w:after="0"/>
              <w:rPr>
                <w:sz w:val="20"/>
                <w:szCs w:val="20"/>
                <w:color w:val="auto"/>
              </w:rPr>
            </w:pPr>
            <w:r>
              <w:rPr>
                <w:rFonts w:ascii="Arial" w:cs="Arial" w:eastAsia="Arial" w:hAnsi="Arial"/>
                <w:sz w:val="15"/>
                <w:szCs w:val="15"/>
                <w:color w:val="auto"/>
              </w:rPr>
              <w:t>Varies</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79,865</w:t>
            </w:r>
          </w:p>
        </w:tc>
        <w:tc>
          <w:tcPr>
            <w:tcW w:w="8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74,370</w:t>
            </w:r>
          </w:p>
        </w:tc>
      </w:tr>
      <w:tr>
        <w:trPr>
          <w:trHeight w:val="200"/>
        </w:trPr>
        <w:tc>
          <w:tcPr>
            <w:tcW w:w="3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debt</w:t>
            </w:r>
          </w:p>
        </w:tc>
        <w:tc>
          <w:tcPr>
            <w:tcW w:w="2240" w:type="dxa"/>
            <w:vAlign w:val="bottom"/>
            <w:shd w:val="clear" w:color="auto" w:fill="DBDBDB"/>
          </w:tcPr>
          <w:p>
            <w:pPr>
              <w:spacing w:after="0"/>
              <w:rPr>
                <w:sz w:val="17"/>
                <w:szCs w:val="17"/>
                <w:color w:val="auto"/>
              </w:rPr>
            </w:pPr>
          </w:p>
        </w:tc>
        <w:tc>
          <w:tcPr>
            <w:tcW w:w="19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5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2,889,967</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3,076,366</w:t>
            </w:r>
          </w:p>
        </w:tc>
      </w:tr>
      <w:tr>
        <w:trPr>
          <w:trHeight w:val="205"/>
        </w:trPr>
        <w:tc>
          <w:tcPr>
            <w:tcW w:w="36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Less: current portion of long-term debt</w:t>
            </w:r>
          </w:p>
        </w:tc>
        <w:tc>
          <w:tcPr>
            <w:tcW w:w="2240" w:type="dxa"/>
            <w:vAlign w:val="bottom"/>
            <w:tcBorders>
              <w:bottom w:val="single" w:sz="8" w:color="DBDBDB"/>
            </w:tcBorders>
          </w:tcPr>
          <w:p>
            <w:pPr>
              <w:spacing w:after="0"/>
              <w:rPr>
                <w:sz w:val="17"/>
                <w:szCs w:val="17"/>
                <w:color w:val="auto"/>
              </w:rPr>
            </w:pPr>
          </w:p>
        </w:tc>
        <w:tc>
          <w:tcPr>
            <w:tcW w:w="190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13,514</w:t>
            </w:r>
          </w:p>
        </w:tc>
        <w:tc>
          <w:tcPr>
            <w:tcW w:w="8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13,324</w:t>
            </w:r>
          </w:p>
        </w:tc>
      </w:tr>
      <w:tr>
        <w:trPr>
          <w:trHeight w:val="224"/>
        </w:trPr>
        <w:tc>
          <w:tcPr>
            <w:tcW w:w="36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Total long-term debt</w:t>
            </w:r>
          </w:p>
        </w:tc>
        <w:tc>
          <w:tcPr>
            <w:tcW w:w="2240" w:type="dxa"/>
            <w:vAlign w:val="bottom"/>
            <w:tcBorders>
              <w:bottom w:val="single" w:sz="8" w:color="DBDBDB"/>
            </w:tcBorders>
            <w:shd w:val="clear" w:color="auto" w:fill="DBDBDB"/>
          </w:tcPr>
          <w:p>
            <w:pPr>
              <w:spacing w:after="0"/>
              <w:rPr>
                <w:sz w:val="19"/>
                <w:szCs w:val="19"/>
                <w:color w:val="auto"/>
              </w:rPr>
            </w:pPr>
          </w:p>
        </w:tc>
        <w:tc>
          <w:tcPr>
            <w:tcW w:w="190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2,876,453</w:t>
            </w:r>
          </w:p>
        </w:tc>
        <w:tc>
          <w:tcPr>
            <w:tcW w:w="8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3,063,042</w:t>
            </w:r>
          </w:p>
        </w:tc>
      </w:tr>
      <w:tr>
        <w:trPr>
          <w:trHeight w:val="20"/>
        </w:trPr>
        <w:tc>
          <w:tcPr>
            <w:tcW w:w="3620" w:type="dxa"/>
            <w:vAlign w:val="bottom"/>
            <w:tcBorders>
              <w:top w:val="single" w:sz="8" w:color="DBDBDB"/>
            </w:tcBorders>
          </w:tcPr>
          <w:p>
            <w:pPr>
              <w:spacing w:after="0" w:line="20" w:lineRule="exact"/>
              <w:rPr>
                <w:sz w:val="1"/>
                <w:szCs w:val="1"/>
                <w:color w:val="auto"/>
              </w:rPr>
            </w:pPr>
          </w:p>
        </w:tc>
        <w:tc>
          <w:tcPr>
            <w:tcW w:w="2240" w:type="dxa"/>
            <w:vAlign w:val="bottom"/>
            <w:tcBorders>
              <w:top w:val="single" w:sz="8" w:color="DBDBDB"/>
            </w:tcBorders>
          </w:tcPr>
          <w:p>
            <w:pPr>
              <w:spacing w:after="0" w:line="20" w:lineRule="exact"/>
              <w:rPr>
                <w:sz w:val="1"/>
                <w:szCs w:val="1"/>
                <w:color w:val="auto"/>
              </w:rPr>
            </w:pPr>
          </w:p>
        </w:tc>
        <w:tc>
          <w:tcPr>
            <w:tcW w:w="19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firstLine="3"/>
        <w:spacing w:after="0" w:line="253" w:lineRule="auto"/>
        <w:tabs>
          <w:tab w:leader="none" w:pos="234"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of both March 31, 2023 and December 31, 2022, the Company had no outstanding principal borrowings on the Multicurrency Facility and $2.4 million and $2.5 million, respectively, of related debt issuance costs. No related debt issuance costs were recorded as a direct offset against the principal borrowings on the Multicurrency Facility, and the $2.4 million and $2.5 million in excess of principal was included in other non-current assets on the condensed consolidated balance sheets as of March 31, 2023 and December 31, 2022,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Backed Lending Facility</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July 1, 2020, certain subsidiaries of the Company entered into an asset-based credit agreement (the "ABL Facility") that initially provided for revolving credit facilities in the aggregate principal amount of up to $2.4 billion, consisting of: (i) a senior secured asset-based US dollar revolving credit facility in the aggregate principal amount of $2.0 billion and (ii) a $400.0 million senior secured asset-based multicurrency revolving credit facility available to be drawn in US Dollars, Canadian Dollars, British Pounds Sterling or Euros. The ABL Facility was initially scheduled to mature on July 1, 2025.</w:t>
      </w:r>
    </w:p>
    <w:p>
      <w:pPr>
        <w:spacing w:after="0" w:line="2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June 30, 2022, certain subsidiaries of the Company entered into an amendment to the ABL Facility to, among other things, extend the expiration date until June 30, 2027 and increase the aggregate principal amount of the revolving credit facilities to $3.7 billion, consisting of: (i) a senior secured asset-based US dollar revolving credit facility in the aggregate principal amount of $3.3 billion (the “US Facility”) and (ii) a $400.0 million senior secured asset-based multicurrency revolving credit facility (the "Multicurrency Facility"), available to be drawn in US Dollars, Canadian Dollars, British Pounds Sterling or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5"/>
          <w:szCs w:val="15"/>
          <w:color w:val="auto"/>
        </w:rPr>
        <w:t>Euros. The amendment also converted the interest rate for borrowings denominated in US Dollars from a LIBOR-based rate to a Term-SOFR-based rate with an interest period of one month and adjusted the applicable margins. The applicable margin for Canadian BA rate, Term SOFR, British Pounds Sterling and Euros loans is 1.50%. The facility includes a credit spread adjustment of 0.10% in addition to the applicable margin. The applicable margin for base rate and Canadian Prime Rate loans is 0.50%. The applicable margins are subject to one step down of 0.25% based on excess availability or one step up of 0.25% based on the Company's leverage ratio. The ABL Facility requires the payment of a commitment fee on the unused available borrowings of 0.20% annually. The weighted average interest rate on the balance outstanding as of March 31, 2023, as adjusted for the effects of the interest rate swap agreements, was 6.52%. Refer to Note 12 for a more detailed discussion on interest rate management.</w:t>
      </w:r>
    </w:p>
    <w:p>
      <w:pPr>
        <w:spacing w:after="0" w:line="2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Borrowing availability under the US Facility and the Multicurrency Facility is equal to the lesser of (i) the aggregate Revolver Commitments and (ii) the Borrowing Base ("Line Cap"). At March 31, 2023, the Line Cap was $3.0 billion and the Borrowers had $1.1 billion of available borrowing capacity under the ABL Facility, including $972.5 million under the US Facility and $162.0 million under the Multicurrency Facility. Borrowing capacity under the ABL Facility is made available for up to $205.6 million of letters of credit and up to $200.5 million of swingline loans. At March 31, 2023, letters of credit and bank guarantees carried fees of 1.625%. The Company had issued $14.4 million of standby letters of credit under the ABL Facility at March 31, 2023.</w:t>
      </w:r>
    </w:p>
    <w:p>
      <w:pPr>
        <w:spacing w:after="0" w:line="24"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 had approximately $1.8 billion outstanding principal under the ABL Facility at March 31, 2023. Debt issuance costs of $30.1 million were included in the carrying value of the ABL Facility at March 31, 2023.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Finance Leases</w:t>
      </w:r>
    </w:p>
    <w:p>
      <w:pPr>
        <w:spacing w:after="0" w:line="69" w:lineRule="exact"/>
        <w:rPr>
          <w:sz w:val="20"/>
          <w:szCs w:val="20"/>
          <w:color w:val="auto"/>
        </w:rPr>
      </w:pPr>
    </w:p>
    <w:p>
      <w:pPr>
        <w:jc w:val="both"/>
        <w:ind w:firstLine="619"/>
        <w:spacing w:after="0" w:line="296" w:lineRule="auto"/>
        <w:rPr>
          <w:sz w:val="20"/>
          <w:szCs w:val="20"/>
          <w:color w:val="auto"/>
        </w:rPr>
      </w:pPr>
      <w:r>
        <w:rPr>
          <w:rFonts w:ascii="Arial" w:cs="Arial" w:eastAsia="Arial" w:hAnsi="Arial"/>
          <w:sz w:val="15"/>
          <w:szCs w:val="15"/>
          <w:color w:val="auto"/>
        </w:rPr>
        <w:t>The Company maintains finance leases primarily related to transportation equipment. At March 31, 2023 and December 31, 2022, obligations under finance leases for certain real property and transportation related equipment were $79.9 million and $74.4 million, respectively. Refer to Note 5 for further information.</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was in compliance with all debt covenants and restrictions associated with its debt instruments as of March 31, 2023.</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color w:val="1D2758"/>
        </w:rPr>
        <w:t>NOTE 10 – Equity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69"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In connection with the stock compensation vesting events and stock option exercises described in Note 14, the Company issued 360,725 shares of Common Stock during the three months ended March 31, 2023.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Repurchase Program</w:t>
      </w:r>
    </w:p>
    <w:p>
      <w:pPr>
        <w:spacing w:after="0" w:line="6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In July 2022, the Board of Directors approved an increase to the share repurchase program authorizing the Company to repurchase up to $1.0 billion of its outstanding shares of Common Stock and equivalents. The stock repurchase program does not obligate the Company to purchase any particular number of shares, and the timing and exact amount of any repurchases will depend on various factors, including market pricing, business, legal, accounting, and other considerations.</w:t>
      </w:r>
    </w:p>
    <w:p>
      <w:pPr>
        <w:spacing w:after="0" w:line="17"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In August 2022, the Inflation Reduction Act of 2022 was enacted into law and imposed a nondeductible 1% excise tax on the net value of certain stock repurchases made after December 31, 2022. In the first quarter of 2023, the Company reflected the applicable excise tax in equity as part of the cost basis of the stock repurchased and recorded a corresponding liability for the excise taxes payable in accrued expenses on the consolidated balance sheet.</w:t>
      </w:r>
    </w:p>
    <w:p>
      <w:pPr>
        <w:ind w:left="620"/>
        <w:spacing w:after="0"/>
        <w:rPr>
          <w:sz w:val="20"/>
          <w:szCs w:val="20"/>
          <w:color w:val="auto"/>
        </w:rPr>
      </w:pPr>
      <w:r>
        <w:rPr>
          <w:rFonts w:ascii="Arial" w:cs="Arial" w:eastAsia="Arial" w:hAnsi="Arial"/>
          <w:sz w:val="15"/>
          <w:szCs w:val="15"/>
          <w:color w:val="auto"/>
        </w:rPr>
        <w:t>During the three months ended March 31, 2023, the Company repurchased 4,589,308 shares of Common Stock for $215.7 million, excluding excise tax.</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As of March 31, 2023, $415.1 million of the approved share repurchase pool remained available.</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Accumulated Other Comprehensive Loss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changes in accumulated other comprehensive income (loss) ("AOCI"), net of tax, for the three months ended March 31, 2023 and 2022 were as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4120" w:type="dxa"/>
            <w:vAlign w:val="bottom"/>
            <w:gridSpan w:val="6"/>
            <w:shd w:val="clear" w:color="auto" w:fill="1D2758"/>
          </w:tcPr>
          <w:p>
            <w:pPr>
              <w:jc w:val="center"/>
              <w:ind w:left="1003"/>
              <w:spacing w:after="0"/>
              <w:rPr>
                <w:sz w:val="20"/>
                <w:szCs w:val="20"/>
                <w:color w:val="auto"/>
              </w:rPr>
            </w:pPr>
            <w:r>
              <w:rPr>
                <w:rFonts w:ascii="Arial" w:cs="Arial" w:eastAsia="Arial" w:hAnsi="Arial"/>
                <w:sz w:val="15"/>
                <w:szCs w:val="15"/>
                <w:b w:val="1"/>
                <w:bCs w:val="1"/>
                <w:color w:val="FFFFFF"/>
              </w:rPr>
              <w:t>Three Months Ended March 31, 2023</w:t>
            </w:r>
          </w:p>
        </w:tc>
        <w:tc>
          <w:tcPr>
            <w:tcW w:w="126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6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13"/>
                <w:szCs w:val="13"/>
                <w:color w:val="auto"/>
              </w:rPr>
            </w:pPr>
          </w:p>
        </w:tc>
        <w:tc>
          <w:tcPr>
            <w:tcW w:w="1700" w:type="dxa"/>
            <w:vAlign w:val="bottom"/>
            <w:gridSpan w:val="2"/>
            <w:shd w:val="clear" w:color="auto" w:fill="1D2758"/>
          </w:tcPr>
          <w:p>
            <w:pPr>
              <w:jc w:val="center"/>
              <w:ind w:right="280"/>
              <w:spacing w:after="0" w:line="155" w:lineRule="exact"/>
              <w:rPr>
                <w:sz w:val="20"/>
                <w:szCs w:val="20"/>
                <w:color w:val="auto"/>
              </w:rPr>
            </w:pPr>
            <w:r>
              <w:rPr>
                <w:rFonts w:ascii="Arial" w:cs="Arial" w:eastAsia="Arial" w:hAnsi="Arial"/>
                <w:sz w:val="15"/>
                <w:szCs w:val="15"/>
                <w:b w:val="1"/>
                <w:bCs w:val="1"/>
                <w:color w:val="FFFFFF"/>
              </w:rPr>
              <w:t>Foreign currency</w:t>
            </w:r>
          </w:p>
        </w:tc>
        <w:tc>
          <w:tcPr>
            <w:tcW w:w="120" w:type="dxa"/>
            <w:vAlign w:val="bottom"/>
            <w:shd w:val="clear" w:color="auto" w:fill="1D2758"/>
          </w:tcPr>
          <w:p>
            <w:pPr>
              <w:spacing w:after="0"/>
              <w:rPr>
                <w:sz w:val="13"/>
                <w:szCs w:val="13"/>
                <w:color w:val="auto"/>
              </w:rPr>
            </w:pPr>
          </w:p>
        </w:tc>
        <w:tc>
          <w:tcPr>
            <w:tcW w:w="1780" w:type="dxa"/>
            <w:vAlign w:val="bottom"/>
            <w:gridSpan w:val="2"/>
            <w:shd w:val="clear" w:color="auto" w:fill="1D2758"/>
          </w:tcPr>
          <w:p>
            <w:pPr>
              <w:jc w:val="center"/>
              <w:ind w:right="220"/>
              <w:spacing w:after="0" w:line="155" w:lineRule="exact"/>
              <w:rPr>
                <w:sz w:val="20"/>
                <w:szCs w:val="20"/>
                <w:color w:val="auto"/>
              </w:rPr>
            </w:pPr>
            <w:r>
              <w:rPr>
                <w:rFonts w:ascii="Arial" w:cs="Arial" w:eastAsia="Arial" w:hAnsi="Arial"/>
                <w:sz w:val="15"/>
                <w:szCs w:val="15"/>
                <w:b w:val="1"/>
                <w:bCs w:val="1"/>
                <w:color w:val="FFFFFF"/>
              </w:rPr>
              <w:t>Unrealized losses on</w:t>
            </w:r>
          </w:p>
        </w:tc>
        <w:tc>
          <w:tcPr>
            <w:tcW w:w="520" w:type="dxa"/>
            <w:vAlign w:val="bottom"/>
            <w:shd w:val="clear" w:color="auto" w:fill="1D2758"/>
          </w:tcPr>
          <w:p>
            <w:pPr>
              <w:spacing w:after="0"/>
              <w:rPr>
                <w:sz w:val="13"/>
                <w:szCs w:val="13"/>
                <w:color w:val="auto"/>
              </w:rPr>
            </w:pPr>
          </w:p>
        </w:tc>
        <w:tc>
          <w:tcPr>
            <w:tcW w:w="1260" w:type="dxa"/>
            <w:vAlign w:val="bottom"/>
            <w:vMerge w:val="restart"/>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5680" w:type="dxa"/>
            <w:vAlign w:val="bottom"/>
            <w:vMerge w:val="continue"/>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700" w:type="dxa"/>
            <w:vAlign w:val="bottom"/>
            <w:gridSpan w:val="2"/>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translation</w:t>
            </w:r>
          </w:p>
        </w:tc>
        <w:tc>
          <w:tcPr>
            <w:tcW w:w="120" w:type="dxa"/>
            <w:vAlign w:val="bottom"/>
            <w:shd w:val="clear" w:color="auto" w:fill="1D2758"/>
          </w:tcPr>
          <w:p>
            <w:pPr>
              <w:spacing w:after="0"/>
              <w:rPr>
                <w:sz w:val="17"/>
                <w:szCs w:val="17"/>
                <w:color w:val="auto"/>
              </w:rPr>
            </w:pPr>
          </w:p>
        </w:tc>
        <w:tc>
          <w:tcPr>
            <w:tcW w:w="178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hedging activities</w:t>
            </w:r>
          </w:p>
        </w:tc>
        <w:tc>
          <w:tcPr>
            <w:tcW w:w="520" w:type="dxa"/>
            <w:vAlign w:val="bottom"/>
            <w:shd w:val="clear" w:color="auto" w:fill="1D2758"/>
          </w:tcPr>
          <w:p>
            <w:pPr>
              <w:spacing w:after="0"/>
              <w:rPr>
                <w:sz w:val="17"/>
                <w:szCs w:val="17"/>
                <w:color w:val="auto"/>
              </w:rPr>
            </w:pPr>
          </w:p>
        </w:tc>
        <w:tc>
          <w:tcPr>
            <w:tcW w:w="126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2022</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(70,122)</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52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(70,122)</w:t>
            </w:r>
          </w:p>
        </w:tc>
        <w:tc>
          <w:tcPr>
            <w:tcW w:w="0" w:type="dxa"/>
            <w:vAlign w:val="bottom"/>
          </w:tcPr>
          <w:p>
            <w:pPr>
              <w:spacing w:after="0"/>
              <w:rPr>
                <w:sz w:val="1"/>
                <w:szCs w:val="1"/>
                <w:color w:val="auto"/>
              </w:rPr>
            </w:pPr>
          </w:p>
        </w:tc>
      </w:tr>
      <w:tr>
        <w:trPr>
          <w:trHeight w:val="205"/>
        </w:trPr>
        <w:tc>
          <w:tcPr>
            <w:tcW w:w="5680" w:type="dxa"/>
            <w:vAlign w:val="bottom"/>
          </w:tcPr>
          <w:p>
            <w:pPr>
              <w:ind w:left="220"/>
              <w:spacing w:after="0"/>
              <w:rPr>
                <w:sz w:val="20"/>
                <w:szCs w:val="20"/>
                <w:color w:val="auto"/>
              </w:rPr>
            </w:pPr>
            <w:r>
              <w:rPr>
                <w:rFonts w:ascii="Arial" w:cs="Arial" w:eastAsia="Arial" w:hAnsi="Arial"/>
                <w:sz w:val="15"/>
                <w:szCs w:val="15"/>
                <w:color w:val="auto"/>
              </w:rPr>
              <w:t>Other comprehensive income (loss) before reclassifications</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7,934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859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8,793</w:t>
            </w:r>
          </w:p>
        </w:tc>
        <w:tc>
          <w:tcPr>
            <w:tcW w:w="0" w:type="dxa"/>
            <w:vAlign w:val="bottom"/>
          </w:tcPr>
          <w:p>
            <w:pPr>
              <w:spacing w:after="0"/>
              <w:rPr>
                <w:sz w:val="1"/>
                <w:szCs w:val="1"/>
                <w:color w:val="auto"/>
              </w:rPr>
            </w:pPr>
          </w:p>
        </w:tc>
      </w:tr>
      <w:tr>
        <w:trPr>
          <w:trHeight w:val="207"/>
        </w:trPr>
        <w:tc>
          <w:tcPr>
            <w:tcW w:w="5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shd w:val="clear" w:color="auto" w:fill="DBDBDB"/>
          </w:tcPr>
          <w:p>
            <w:pPr>
              <w:spacing w:after="0"/>
              <w:rPr>
                <w:sz w:val="18"/>
                <w:szCs w:val="18"/>
                <w:color w:val="auto"/>
              </w:rPr>
            </w:pPr>
          </w:p>
        </w:tc>
        <w:tc>
          <w:tcPr>
            <w:tcW w:w="17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(1,526)</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(1,526)</w:t>
            </w:r>
          </w:p>
        </w:tc>
        <w:tc>
          <w:tcPr>
            <w:tcW w:w="0" w:type="dxa"/>
            <w:vAlign w:val="bottom"/>
          </w:tcPr>
          <w:p>
            <w:pPr>
              <w:spacing w:after="0"/>
              <w:rPr>
                <w:sz w:val="1"/>
                <w:szCs w:val="1"/>
                <w:color w:val="auto"/>
              </w:rPr>
            </w:pPr>
          </w:p>
        </w:tc>
      </w:tr>
      <w:tr>
        <w:trPr>
          <w:trHeight w:val="198"/>
        </w:trPr>
        <w:tc>
          <w:tcPr>
            <w:tcW w:w="5680" w:type="dxa"/>
            <w:vAlign w:val="bottom"/>
          </w:tcPr>
          <w:p>
            <w:pPr>
              <w:ind w:left="20"/>
              <w:spacing w:after="0"/>
              <w:rPr>
                <w:sz w:val="20"/>
                <w:szCs w:val="20"/>
                <w:color w:val="auto"/>
              </w:rPr>
            </w:pPr>
            <w:r>
              <w:rPr>
                <w:rFonts w:ascii="Arial" w:cs="Arial" w:eastAsia="Arial" w:hAnsi="Arial"/>
                <w:sz w:val="15"/>
                <w:szCs w:val="15"/>
                <w:color w:val="auto"/>
              </w:rPr>
              <w:t>Balance at March 31, 2023</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(62,188)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(667)</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(62,855)</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6"/>
        </w:trPr>
        <w:tc>
          <w:tcPr>
            <w:tcW w:w="56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4120" w:type="dxa"/>
            <w:vAlign w:val="bottom"/>
            <w:gridSpan w:val="6"/>
            <w:shd w:val="clear" w:color="auto" w:fill="1D2758"/>
          </w:tcPr>
          <w:p>
            <w:pPr>
              <w:jc w:val="center"/>
              <w:ind w:left="1003"/>
              <w:spacing w:after="0"/>
              <w:rPr>
                <w:sz w:val="20"/>
                <w:szCs w:val="20"/>
                <w:color w:val="auto"/>
              </w:rPr>
            </w:pPr>
            <w:r>
              <w:rPr>
                <w:rFonts w:ascii="Arial" w:cs="Arial" w:eastAsia="Arial" w:hAnsi="Arial"/>
                <w:sz w:val="15"/>
                <w:szCs w:val="15"/>
                <w:b w:val="1"/>
                <w:bCs w:val="1"/>
                <w:color w:val="FFFFFF"/>
              </w:rPr>
              <w:t>Three Months Ended March 31, 2022</w:t>
            </w:r>
          </w:p>
        </w:tc>
        <w:tc>
          <w:tcPr>
            <w:tcW w:w="126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6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13"/>
                <w:szCs w:val="13"/>
                <w:color w:val="auto"/>
              </w:rPr>
            </w:pPr>
          </w:p>
        </w:tc>
        <w:tc>
          <w:tcPr>
            <w:tcW w:w="1700" w:type="dxa"/>
            <w:vAlign w:val="bottom"/>
            <w:gridSpan w:val="2"/>
            <w:shd w:val="clear" w:color="auto" w:fill="1D2758"/>
          </w:tcPr>
          <w:p>
            <w:pPr>
              <w:jc w:val="center"/>
              <w:ind w:right="280"/>
              <w:spacing w:after="0" w:line="155" w:lineRule="exact"/>
              <w:rPr>
                <w:sz w:val="20"/>
                <w:szCs w:val="20"/>
                <w:color w:val="auto"/>
              </w:rPr>
            </w:pPr>
            <w:r>
              <w:rPr>
                <w:rFonts w:ascii="Arial" w:cs="Arial" w:eastAsia="Arial" w:hAnsi="Arial"/>
                <w:sz w:val="15"/>
                <w:szCs w:val="15"/>
                <w:b w:val="1"/>
                <w:bCs w:val="1"/>
                <w:color w:val="FFFFFF"/>
              </w:rPr>
              <w:t>Foreign currency</w:t>
            </w:r>
          </w:p>
        </w:tc>
        <w:tc>
          <w:tcPr>
            <w:tcW w:w="120" w:type="dxa"/>
            <w:vAlign w:val="bottom"/>
            <w:shd w:val="clear" w:color="auto" w:fill="1D2758"/>
          </w:tcPr>
          <w:p>
            <w:pPr>
              <w:spacing w:after="0"/>
              <w:rPr>
                <w:sz w:val="13"/>
                <w:szCs w:val="13"/>
                <w:color w:val="auto"/>
              </w:rPr>
            </w:pPr>
          </w:p>
        </w:tc>
        <w:tc>
          <w:tcPr>
            <w:tcW w:w="1780" w:type="dxa"/>
            <w:vAlign w:val="bottom"/>
            <w:gridSpan w:val="2"/>
            <w:shd w:val="clear" w:color="auto" w:fill="1D2758"/>
          </w:tcPr>
          <w:p>
            <w:pPr>
              <w:jc w:val="center"/>
              <w:ind w:right="220"/>
              <w:spacing w:after="0" w:line="155" w:lineRule="exact"/>
              <w:rPr>
                <w:sz w:val="20"/>
                <w:szCs w:val="20"/>
                <w:color w:val="auto"/>
              </w:rPr>
            </w:pPr>
            <w:r>
              <w:rPr>
                <w:rFonts w:ascii="Arial" w:cs="Arial" w:eastAsia="Arial" w:hAnsi="Arial"/>
                <w:sz w:val="15"/>
                <w:szCs w:val="15"/>
                <w:b w:val="1"/>
                <w:bCs w:val="1"/>
                <w:color w:val="FFFFFF"/>
              </w:rPr>
              <w:t>Unrealized losses on</w:t>
            </w:r>
          </w:p>
        </w:tc>
        <w:tc>
          <w:tcPr>
            <w:tcW w:w="520" w:type="dxa"/>
            <w:vAlign w:val="bottom"/>
            <w:shd w:val="clear" w:color="auto" w:fill="1D2758"/>
          </w:tcPr>
          <w:p>
            <w:pPr>
              <w:spacing w:after="0"/>
              <w:rPr>
                <w:sz w:val="13"/>
                <w:szCs w:val="13"/>
                <w:color w:val="auto"/>
              </w:rPr>
            </w:pPr>
          </w:p>
        </w:tc>
        <w:tc>
          <w:tcPr>
            <w:tcW w:w="1260" w:type="dxa"/>
            <w:vAlign w:val="bottom"/>
            <w:vMerge w:val="restart"/>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5680" w:type="dxa"/>
            <w:vAlign w:val="bottom"/>
            <w:vMerge w:val="continue"/>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700" w:type="dxa"/>
            <w:vAlign w:val="bottom"/>
            <w:gridSpan w:val="2"/>
            <w:shd w:val="clear" w:color="auto" w:fill="1D2758"/>
          </w:tcPr>
          <w:p>
            <w:pPr>
              <w:jc w:val="center"/>
              <w:ind w:right="280"/>
              <w:spacing w:after="0"/>
              <w:rPr>
                <w:sz w:val="20"/>
                <w:szCs w:val="20"/>
                <w:color w:val="auto"/>
              </w:rPr>
            </w:pPr>
            <w:r>
              <w:rPr>
                <w:rFonts w:ascii="Arial" w:cs="Arial" w:eastAsia="Arial" w:hAnsi="Arial"/>
                <w:sz w:val="15"/>
                <w:szCs w:val="15"/>
                <w:b w:val="1"/>
                <w:bCs w:val="1"/>
                <w:color w:val="FFFFFF"/>
              </w:rPr>
              <w:t>translation</w:t>
            </w:r>
          </w:p>
        </w:tc>
        <w:tc>
          <w:tcPr>
            <w:tcW w:w="120" w:type="dxa"/>
            <w:vAlign w:val="bottom"/>
            <w:shd w:val="clear" w:color="auto" w:fill="1D2758"/>
          </w:tcPr>
          <w:p>
            <w:pPr>
              <w:spacing w:after="0"/>
              <w:rPr>
                <w:sz w:val="17"/>
                <w:szCs w:val="17"/>
                <w:color w:val="auto"/>
              </w:rPr>
            </w:pPr>
          </w:p>
        </w:tc>
        <w:tc>
          <w:tcPr>
            <w:tcW w:w="178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hedging activities</w:t>
            </w:r>
          </w:p>
        </w:tc>
        <w:tc>
          <w:tcPr>
            <w:tcW w:w="520" w:type="dxa"/>
            <w:vAlign w:val="bottom"/>
            <w:shd w:val="clear" w:color="auto" w:fill="1D2758"/>
          </w:tcPr>
          <w:p>
            <w:pPr>
              <w:spacing w:after="0"/>
              <w:rPr>
                <w:sz w:val="17"/>
                <w:szCs w:val="17"/>
                <w:color w:val="auto"/>
              </w:rPr>
            </w:pPr>
          </w:p>
        </w:tc>
        <w:tc>
          <w:tcPr>
            <w:tcW w:w="126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2021</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(25,574)</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(3,497)</w:t>
            </w:r>
          </w:p>
        </w:tc>
        <w:tc>
          <w:tcPr>
            <w:tcW w:w="100" w:type="dxa"/>
            <w:vAlign w:val="bottom"/>
            <w:shd w:val="clear" w:color="auto" w:fill="DBDBDB"/>
          </w:tcPr>
          <w:p>
            <w:pPr>
              <w:spacing w:after="0"/>
              <w:rPr>
                <w:sz w:val="17"/>
                <w:szCs w:val="17"/>
                <w:color w:val="auto"/>
              </w:rPr>
            </w:pPr>
          </w:p>
        </w:tc>
        <w:tc>
          <w:tcPr>
            <w:tcW w:w="52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(29,071)</w:t>
            </w:r>
          </w:p>
        </w:tc>
        <w:tc>
          <w:tcPr>
            <w:tcW w:w="0" w:type="dxa"/>
            <w:vAlign w:val="bottom"/>
          </w:tcPr>
          <w:p>
            <w:pPr>
              <w:spacing w:after="0"/>
              <w:rPr>
                <w:sz w:val="1"/>
                <w:szCs w:val="1"/>
                <w:color w:val="auto"/>
              </w:rPr>
            </w:pPr>
          </w:p>
        </w:tc>
      </w:tr>
      <w:tr>
        <w:trPr>
          <w:trHeight w:val="205"/>
        </w:trPr>
        <w:tc>
          <w:tcPr>
            <w:tcW w:w="5680" w:type="dxa"/>
            <w:vAlign w:val="bottom"/>
          </w:tcPr>
          <w:p>
            <w:pPr>
              <w:ind w:left="220"/>
              <w:spacing w:after="0"/>
              <w:rPr>
                <w:sz w:val="20"/>
                <w:szCs w:val="20"/>
                <w:color w:val="auto"/>
              </w:rPr>
            </w:pPr>
            <w:r>
              <w:rPr>
                <w:rFonts w:ascii="Arial" w:cs="Arial" w:eastAsia="Arial" w:hAnsi="Arial"/>
                <w:sz w:val="15"/>
                <w:szCs w:val="15"/>
                <w:color w:val="auto"/>
              </w:rPr>
              <w:t>Other comprehensive loss before reclassifications</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(4,074)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(569)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(4,643)</w:t>
            </w:r>
          </w:p>
        </w:tc>
        <w:tc>
          <w:tcPr>
            <w:tcW w:w="0" w:type="dxa"/>
            <w:vAlign w:val="bottom"/>
          </w:tcPr>
          <w:p>
            <w:pPr>
              <w:spacing w:after="0"/>
              <w:rPr>
                <w:sz w:val="1"/>
                <w:szCs w:val="1"/>
                <w:color w:val="auto"/>
              </w:rPr>
            </w:pPr>
          </w:p>
        </w:tc>
      </w:tr>
      <w:tr>
        <w:trPr>
          <w:trHeight w:val="207"/>
        </w:trPr>
        <w:tc>
          <w:tcPr>
            <w:tcW w:w="5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shd w:val="clear" w:color="auto" w:fill="DBDBDB"/>
          </w:tcPr>
          <w:p>
            <w:pPr>
              <w:spacing w:after="0"/>
              <w:rPr>
                <w:sz w:val="18"/>
                <w:szCs w:val="18"/>
                <w:color w:val="auto"/>
              </w:rPr>
            </w:pPr>
          </w:p>
        </w:tc>
        <w:tc>
          <w:tcPr>
            <w:tcW w:w="1700" w:type="dxa"/>
            <w:vAlign w:val="bottom"/>
            <w:gridSpan w:val="2"/>
            <w:shd w:val="clear" w:color="auto" w:fill="DBDBDB"/>
          </w:tcPr>
          <w:p>
            <w:pPr>
              <w:ind w:left="1380"/>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2,890</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2,890</w:t>
            </w:r>
          </w:p>
        </w:tc>
        <w:tc>
          <w:tcPr>
            <w:tcW w:w="0" w:type="dxa"/>
            <w:vAlign w:val="bottom"/>
          </w:tcPr>
          <w:p>
            <w:pPr>
              <w:spacing w:after="0"/>
              <w:rPr>
                <w:sz w:val="1"/>
                <w:szCs w:val="1"/>
                <w:color w:val="auto"/>
              </w:rPr>
            </w:pPr>
          </w:p>
        </w:tc>
      </w:tr>
      <w:tr>
        <w:trPr>
          <w:trHeight w:val="198"/>
        </w:trPr>
        <w:tc>
          <w:tcPr>
            <w:tcW w:w="5680" w:type="dxa"/>
            <w:vAlign w:val="bottom"/>
          </w:tcPr>
          <w:p>
            <w:pPr>
              <w:ind w:left="20"/>
              <w:spacing w:after="0"/>
              <w:rPr>
                <w:sz w:val="20"/>
                <w:szCs w:val="20"/>
                <w:color w:val="auto"/>
              </w:rPr>
            </w:pPr>
            <w:r>
              <w:rPr>
                <w:rFonts w:ascii="Arial" w:cs="Arial" w:eastAsia="Arial" w:hAnsi="Arial"/>
                <w:sz w:val="15"/>
                <w:szCs w:val="15"/>
                <w:color w:val="auto"/>
              </w:rPr>
              <w:t>Balance at March 31, 2022</w:t>
            </w: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(29,648)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(1,176)</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(30,824)</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For the three months ended March 31, 2023 and 2022, a gain of $1.5 million and a loss of $2.9 million, respectively, were reclassified from AOCI into the condensed consolidated statements of operations within interest expense related to the interest rate swaps discussed in Note 12. The Company recorded tax benefit of $0.4 million and tax expense $0.7 million for the three months ended March 31, 2023 and 2022, respectively, associated with these reclassifications.</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1D2758"/>
        </w:rPr>
        <w:t>NOTE 11 – Income Taxes</w:t>
      </w:r>
    </w:p>
    <w:p>
      <w:pPr>
        <w:spacing w:after="0" w:line="127"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15"/>
          <w:szCs w:val="15"/>
          <w:color w:val="auto"/>
        </w:rPr>
        <w:t>The Company recorded $30.5 million and $12.1 million of income tax expense from continuing operations for the three months ended March 31, 2023 and 2022, respectively. The Company’s effective tax rate for the three months ended March 31, 2023 and 2022 was 28.6% and 23.7%, respectively.</w:t>
      </w:r>
    </w:p>
    <w:p>
      <w:pPr>
        <w:jc w:val="both"/>
        <w:ind w:firstLine="619"/>
        <w:spacing w:after="0" w:line="282" w:lineRule="auto"/>
        <w:rPr>
          <w:sz w:val="20"/>
          <w:szCs w:val="20"/>
          <w:color w:val="auto"/>
        </w:rPr>
      </w:pPr>
      <w:r>
        <w:rPr>
          <w:rFonts w:ascii="Arial" w:cs="Arial" w:eastAsia="Arial" w:hAnsi="Arial"/>
          <w:sz w:val="15"/>
          <w:szCs w:val="15"/>
          <w:color w:val="auto"/>
        </w:rPr>
        <w:t>The effective tax rate for the three months ended March 31, 2023 differs from the US federal statutory rate of 21% primarily due to state and provincial taxes and an add-back for non-deductible executive compensation. The effective tax rate for the three months ended March 31, 2022 differs from the US statutory rate of 21% primarily due to state and provincial taxes offset by a discrete tax benefit related to employee stock vesting.</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1D2758"/>
        </w:rPr>
        <w:t>NOTE 12 - Derivatives</w:t>
      </w:r>
    </w:p>
    <w:p>
      <w:pPr>
        <w:spacing w:after="0" w:line="11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2018, the Company entered into an interest rate swap agreement with a financial counterparty that effectively converted $400.0 million in aggregate notional amount of variable-rate debt under the Company’s former asset backed lending facility into fixed-rate debt. Under the terms of the agreement, the Company received a floating rate equal to one-month LIBOR and made payments based on a fixed rate of 3.06% on the notional amount. The swap agreement was designated and qualified as a hedge of the Company’s exposure to changes in interest payment cash flows created by fluctuations in variable interest rates on the former asset backed lending facility and terminated on May 29, 2022.</w:t>
      </w:r>
    </w:p>
    <w:p>
      <w:pPr>
        <w:spacing w:after="0" w:line="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January 2023, the Company entered into two interest rate swap agreements with financial counterparties relating to $750.0 million in aggregate notional amount of variable-rate debt under the Company’s ABL Facility. Under the terms of the agreements, the Company receives a floating rate equal to one-month term SOFR and makes payments based on a weighted average fixed interest rate of 3.44% on the notional amount. The swap agreements were designated and qualified as hedges of the Company’s exposure to changes in interest payment cash flows created by fluctuations in variable interest rates on the ABL Facility. The swap agreements terminate on June 30, 2027. The floating rate that the Company receives under the terms of these swap agreements was 4.79% at March 31, 2023.</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location and the fair value of derivative instruments designated as hedges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7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5120" w:type="dxa"/>
            <w:vAlign w:val="bottom"/>
            <w:shd w:val="clear" w:color="auto" w:fill="1D2758"/>
          </w:tcPr>
          <w:p>
            <w:pPr>
              <w:ind w:left="2660"/>
              <w:spacing w:after="0"/>
              <w:rPr>
                <w:sz w:val="20"/>
                <w:szCs w:val="20"/>
                <w:color w:val="auto"/>
              </w:rPr>
            </w:pPr>
            <w:r>
              <w:rPr>
                <w:rFonts w:ascii="Arial" w:cs="Arial" w:eastAsia="Arial" w:hAnsi="Arial"/>
                <w:sz w:val="15"/>
                <w:szCs w:val="15"/>
                <w:b w:val="1"/>
                <w:bCs w:val="1"/>
                <w:color w:val="FFFFFF"/>
              </w:rPr>
              <w:t>Balance Sheet Location</w:t>
            </w:r>
          </w:p>
        </w:tc>
        <w:tc>
          <w:tcPr>
            <w:tcW w:w="1120" w:type="dxa"/>
            <w:vAlign w:val="bottom"/>
            <w:shd w:val="clear" w:color="auto" w:fill="1D2758"/>
          </w:tcPr>
          <w:p>
            <w:pPr>
              <w:spacing w:after="0"/>
              <w:rPr>
                <w:sz w:val="20"/>
                <w:szCs w:val="20"/>
                <w:color w:val="auto"/>
              </w:rPr>
            </w:pPr>
          </w:p>
        </w:tc>
        <w:tc>
          <w:tcPr>
            <w:tcW w:w="2240" w:type="dxa"/>
            <w:vAlign w:val="bottom"/>
            <w:shd w:val="clear" w:color="auto" w:fill="1D2758"/>
          </w:tcPr>
          <w:p>
            <w:pPr>
              <w:ind w:left="340"/>
              <w:spacing w:after="0"/>
              <w:rPr>
                <w:sz w:val="20"/>
                <w:szCs w:val="20"/>
                <w:color w:val="auto"/>
              </w:rPr>
            </w:pPr>
            <w:r>
              <w:rPr>
                <w:rFonts w:ascii="Arial" w:cs="Arial" w:eastAsia="Arial" w:hAnsi="Arial"/>
                <w:sz w:val="15"/>
                <w:szCs w:val="15"/>
                <w:b w:val="1"/>
                <w:bCs w:val="1"/>
                <w:color w:val="FFFFFF"/>
              </w:rPr>
              <w:t>March 31, 2023</w:t>
            </w:r>
          </w:p>
        </w:tc>
      </w:tr>
      <w:tr>
        <w:trPr>
          <w:trHeight w:val="206"/>
        </w:trPr>
        <w:tc>
          <w:tcPr>
            <w:tcW w:w="2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Flow Hedges:</w:t>
            </w:r>
          </w:p>
        </w:tc>
        <w:tc>
          <w:tcPr>
            <w:tcW w:w="512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2240" w:type="dxa"/>
            <w:vAlign w:val="bottom"/>
            <w:shd w:val="clear" w:color="auto" w:fill="DBDBDB"/>
          </w:tcPr>
          <w:p>
            <w:pPr>
              <w:spacing w:after="0"/>
              <w:rPr>
                <w:sz w:val="17"/>
                <w:szCs w:val="17"/>
                <w:color w:val="auto"/>
              </w:rPr>
            </w:pPr>
          </w:p>
        </w:tc>
      </w:tr>
      <w:tr>
        <w:trPr>
          <w:trHeight w:val="205"/>
        </w:trPr>
        <w:tc>
          <w:tcPr>
            <w:tcW w:w="2760" w:type="dxa"/>
            <w:vAlign w:val="bottom"/>
          </w:tcPr>
          <w:p>
            <w:pPr>
              <w:ind w:left="220"/>
              <w:spacing w:after="0"/>
              <w:rPr>
                <w:sz w:val="20"/>
                <w:szCs w:val="20"/>
                <w:color w:val="auto"/>
              </w:rPr>
            </w:pPr>
            <w:r>
              <w:rPr>
                <w:rFonts w:ascii="Arial" w:cs="Arial" w:eastAsia="Arial" w:hAnsi="Arial"/>
                <w:sz w:val="15"/>
                <w:szCs w:val="15"/>
                <w:color w:val="auto"/>
              </w:rPr>
              <w:t>Interest rate swap</w:t>
            </w:r>
          </w:p>
        </w:tc>
        <w:tc>
          <w:tcPr>
            <w:tcW w:w="5120" w:type="dxa"/>
            <w:vAlign w:val="bottom"/>
          </w:tcPr>
          <w:p>
            <w:pPr>
              <w:ind w:left="1300"/>
              <w:spacing w:after="0"/>
              <w:rPr>
                <w:sz w:val="20"/>
                <w:szCs w:val="20"/>
                <w:color w:val="auto"/>
              </w:rPr>
            </w:pPr>
            <w:r>
              <w:rPr>
                <w:rFonts w:ascii="Arial" w:cs="Arial" w:eastAsia="Arial" w:hAnsi="Arial"/>
                <w:sz w:val="15"/>
                <w:szCs w:val="15"/>
                <w:color w:val="auto"/>
              </w:rPr>
              <w:t>Prepaid expenses and other current assets</w:t>
            </w:r>
          </w:p>
        </w:tc>
        <w:tc>
          <w:tcPr>
            <w:tcW w:w="112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2240" w:type="dxa"/>
            <w:vAlign w:val="bottom"/>
          </w:tcPr>
          <w:p>
            <w:pPr>
              <w:jc w:val="right"/>
              <w:spacing w:after="0"/>
              <w:rPr>
                <w:sz w:val="20"/>
                <w:szCs w:val="20"/>
                <w:color w:val="auto"/>
              </w:rPr>
            </w:pPr>
            <w:r>
              <w:rPr>
                <w:rFonts w:ascii="Arial" w:cs="Arial" w:eastAsia="Arial" w:hAnsi="Arial"/>
                <w:sz w:val="15"/>
                <w:szCs w:val="15"/>
                <w:color w:val="auto"/>
              </w:rPr>
              <w:t>8,646</w:t>
            </w:r>
          </w:p>
        </w:tc>
      </w:tr>
      <w:tr>
        <w:trPr>
          <w:trHeight w:val="207"/>
        </w:trPr>
        <w:tc>
          <w:tcPr>
            <w:tcW w:w="27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rate swap</w:t>
            </w:r>
          </w:p>
        </w:tc>
        <w:tc>
          <w:tcPr>
            <w:tcW w:w="5120" w:type="dxa"/>
            <w:vAlign w:val="bottom"/>
            <w:shd w:val="clear" w:color="auto" w:fill="DBDBDB"/>
          </w:tcPr>
          <w:p>
            <w:pPr>
              <w:ind w:left="1300"/>
              <w:spacing w:after="0"/>
              <w:rPr>
                <w:sz w:val="20"/>
                <w:szCs w:val="20"/>
                <w:color w:val="auto"/>
              </w:rPr>
            </w:pPr>
            <w:r>
              <w:rPr>
                <w:rFonts w:ascii="Arial" w:cs="Arial" w:eastAsia="Arial" w:hAnsi="Arial"/>
                <w:sz w:val="15"/>
                <w:szCs w:val="15"/>
                <w:color w:val="auto"/>
              </w:rPr>
              <w:t>Other non-current liabilities</w:t>
            </w:r>
          </w:p>
        </w:tc>
        <w:tc>
          <w:tcPr>
            <w:tcW w:w="112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2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(9,394)</w:t>
            </w:r>
          </w:p>
        </w:tc>
      </w:tr>
    </w:tbl>
    <w:p>
      <w:pPr>
        <w:spacing w:after="0" w:line="117"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The fair values of the interest rate swaps are based on dealer quotes of market forward rates, Level 2 inputs on the fair value hierarchy, and reflect the amounts that the Company would receive or pay as of March 31, 2023 for contracts involving the same attributes and maturity dates.</w:t>
      </w:r>
    </w:p>
    <w:p>
      <w:pPr>
        <w:spacing w:after="0" w:line="1"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following table discloses the impact of the interest rate swaps, excluding the impact of income taxes, on other comprehensive income (“OCI”), AOCI and the Company’s statements of operations for the three months ended 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120" w:type="dxa"/>
            <w:vAlign w:val="bottom"/>
            <w:shd w:val="clear" w:color="auto" w:fill="1D2758"/>
          </w:tcPr>
          <w:p>
            <w:pPr>
              <w:spacing w:after="0"/>
              <w:rPr>
                <w:sz w:val="17"/>
                <w:szCs w:val="17"/>
                <w:color w:val="auto"/>
              </w:rPr>
            </w:pPr>
          </w:p>
        </w:tc>
        <w:tc>
          <w:tcPr>
            <w:tcW w:w="1900" w:type="dxa"/>
            <w:vAlign w:val="bottom"/>
            <w:shd w:val="clear" w:color="auto" w:fill="1D2758"/>
          </w:tcPr>
          <w:p>
            <w:pPr>
              <w:jc w:val="right"/>
              <w:ind w:right="823"/>
              <w:spacing w:after="0"/>
              <w:rPr>
                <w:sz w:val="20"/>
                <w:szCs w:val="20"/>
                <w:color w:val="auto"/>
              </w:rPr>
            </w:pPr>
            <w:r>
              <w:rPr>
                <w:rFonts w:ascii="Arial" w:cs="Arial" w:eastAsia="Arial" w:hAnsi="Arial"/>
                <w:sz w:val="15"/>
                <w:szCs w:val="15"/>
                <w:b w:val="1"/>
                <w:bCs w:val="1"/>
                <w:color w:val="FFFFFF"/>
              </w:rPr>
              <w:t>2023</w:t>
            </w:r>
          </w:p>
        </w:tc>
        <w:tc>
          <w:tcPr>
            <w:tcW w:w="260" w:type="dxa"/>
            <w:vAlign w:val="bottom"/>
            <w:shd w:val="clear" w:color="auto" w:fill="1D2758"/>
          </w:tcPr>
          <w:p>
            <w:pPr>
              <w:spacing w:after="0"/>
              <w:rPr>
                <w:sz w:val="17"/>
                <w:szCs w:val="17"/>
                <w:color w:val="auto"/>
              </w:rPr>
            </w:pPr>
          </w:p>
        </w:tc>
        <w:tc>
          <w:tcPr>
            <w:tcW w:w="1860" w:type="dxa"/>
            <w:vAlign w:val="bottom"/>
            <w:shd w:val="clear" w:color="auto" w:fill="1D2758"/>
          </w:tcPr>
          <w:p>
            <w:pPr>
              <w:jc w:val="right"/>
              <w:ind w:right="783"/>
              <w:spacing w:after="0"/>
              <w:rPr>
                <w:sz w:val="20"/>
                <w:szCs w:val="20"/>
                <w:color w:val="auto"/>
              </w:rPr>
            </w:pPr>
            <w:r>
              <w:rPr>
                <w:rFonts w:ascii="Arial" w:cs="Arial" w:eastAsia="Arial" w:hAnsi="Arial"/>
                <w:sz w:val="15"/>
                <w:szCs w:val="15"/>
                <w:b w:val="1"/>
                <w:bCs w:val="1"/>
                <w:color w:val="FFFFFF"/>
              </w:rPr>
              <w:t>2022</w:t>
            </w:r>
          </w:p>
        </w:tc>
      </w:tr>
      <w:tr>
        <w:trPr>
          <w:trHeight w:val="206"/>
        </w:trPr>
        <w:tc>
          <w:tcPr>
            <w:tcW w:w="5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(Loss) gain recognized in OCI</w:t>
            </w:r>
          </w:p>
        </w:tc>
        <w:tc>
          <w:tcPr>
            <w:tcW w:w="21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(641)</w:t>
            </w:r>
          </w:p>
        </w:tc>
        <w:tc>
          <w:tcPr>
            <w:tcW w:w="2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3,098</w:t>
            </w:r>
          </w:p>
        </w:tc>
      </w:tr>
      <w:tr>
        <w:trPr>
          <w:trHeight w:val="205"/>
        </w:trPr>
        <w:tc>
          <w:tcPr>
            <w:tcW w:w="5100" w:type="dxa"/>
            <w:vAlign w:val="bottom"/>
          </w:tcPr>
          <w:p>
            <w:pPr>
              <w:ind w:left="20"/>
              <w:spacing w:after="0"/>
              <w:rPr>
                <w:sz w:val="20"/>
                <w:szCs w:val="20"/>
                <w:color w:val="auto"/>
              </w:rPr>
            </w:pPr>
            <w:r>
              <w:rPr>
                <w:rFonts w:ascii="Arial" w:cs="Arial" w:eastAsia="Arial" w:hAnsi="Arial"/>
                <w:sz w:val="15"/>
                <w:szCs w:val="15"/>
                <w:color w:val="auto"/>
              </w:rPr>
              <w:t>Location of gain (loss) recognized in income</w:t>
            </w:r>
          </w:p>
        </w:tc>
        <w:tc>
          <w:tcPr>
            <w:tcW w:w="2120" w:type="dxa"/>
            <w:vAlign w:val="bottom"/>
          </w:tcPr>
          <w:p>
            <w:pPr>
              <w:spacing w:after="0"/>
              <w:rPr>
                <w:sz w:val="17"/>
                <w:szCs w:val="17"/>
                <w:color w:val="auto"/>
              </w:rPr>
            </w:pPr>
          </w:p>
        </w:tc>
        <w:tc>
          <w:tcPr>
            <w:tcW w:w="1900" w:type="dxa"/>
            <w:vAlign w:val="bottom"/>
          </w:tcPr>
          <w:p>
            <w:pPr>
              <w:jc w:val="right"/>
              <w:ind w:right="283"/>
              <w:spacing w:after="0"/>
              <w:rPr>
                <w:sz w:val="20"/>
                <w:szCs w:val="20"/>
                <w:color w:val="auto"/>
              </w:rPr>
            </w:pPr>
            <w:r>
              <w:rPr>
                <w:rFonts w:ascii="Arial" w:cs="Arial" w:eastAsia="Arial" w:hAnsi="Arial"/>
                <w:sz w:val="15"/>
                <w:szCs w:val="15"/>
                <w:color w:val="auto"/>
              </w:rPr>
              <w:t>Interest expense, net</w:t>
            </w:r>
          </w:p>
        </w:tc>
        <w:tc>
          <w:tcPr>
            <w:tcW w:w="260" w:type="dxa"/>
            <w:vAlign w:val="bottom"/>
          </w:tcPr>
          <w:p>
            <w:pPr>
              <w:spacing w:after="0"/>
              <w:rPr>
                <w:sz w:val="17"/>
                <w:szCs w:val="17"/>
                <w:color w:val="auto"/>
              </w:rPr>
            </w:pPr>
          </w:p>
        </w:tc>
        <w:tc>
          <w:tcPr>
            <w:tcW w:w="1860" w:type="dxa"/>
            <w:vAlign w:val="bottom"/>
          </w:tcPr>
          <w:p>
            <w:pPr>
              <w:jc w:val="right"/>
              <w:ind w:right="243"/>
              <w:spacing w:after="0"/>
              <w:rPr>
                <w:sz w:val="20"/>
                <w:szCs w:val="20"/>
                <w:color w:val="auto"/>
              </w:rPr>
            </w:pPr>
            <w:r>
              <w:rPr>
                <w:rFonts w:ascii="Arial" w:cs="Arial" w:eastAsia="Arial" w:hAnsi="Arial"/>
                <w:sz w:val="15"/>
                <w:szCs w:val="15"/>
                <w:color w:val="auto"/>
              </w:rPr>
              <w:t>Interest expense, net</w:t>
            </w:r>
          </w:p>
        </w:tc>
      </w:tr>
      <w:tr>
        <w:trPr>
          <w:trHeight w:val="207"/>
        </w:trPr>
        <w:tc>
          <w:tcPr>
            <w:tcW w:w="5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(Gain) loss reclassified from AOCI into income</w:t>
            </w:r>
          </w:p>
        </w:tc>
        <w:tc>
          <w:tcPr>
            <w:tcW w:w="21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9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(1,526)</w:t>
            </w:r>
          </w:p>
        </w:tc>
        <w:tc>
          <w:tcPr>
            <w:tcW w:w="2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Foreign Currency Contract</w:t>
      </w:r>
    </w:p>
    <w:p>
      <w:pPr>
        <w:spacing w:after="0" w:line="6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In December 2022, the Company executed a contingent forward contract to sell £330.0 million upon the closing of the sale of the former UK Storage Solutions segment at a price ranging from 1.20550 to 1.20440 US Dollars (USD) to British Pounds Sterling. The price was dependent upon the date of the closing of the sale. This contract, which was to expire on September 11, 2023, mitigated the foreign currency risk of the USD relative to the British Pound Sterling prior to the closing of the sale of the former UK Storage Solutions segment. This contract did not qualify for hedge accounting and was revalued at fair value at the reporting period with unrealized gains and losses reflected in the Company's results of operations. Upon the closing of the sale of the former UK Storage Solutions segment on January 31, 2023, the Company settled the contingent foreign currency forward contract and received cash at an exchange rate of 1.205 USD to British Pounds Sterling.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60" w:type="dxa"/>
            <w:vAlign w:val="bottom"/>
          </w:tcPr>
          <w:p>
            <w:pPr>
              <w:ind w:left="620"/>
              <w:spacing w:after="0"/>
              <w:rPr>
                <w:sz w:val="20"/>
                <w:szCs w:val="20"/>
                <w:color w:val="auto"/>
              </w:rPr>
            </w:pPr>
            <w:r>
              <w:rPr>
                <w:rFonts w:ascii="Arial" w:cs="Arial" w:eastAsia="Arial" w:hAnsi="Arial"/>
                <w:sz w:val="15"/>
                <w:szCs w:val="15"/>
                <w:color w:val="auto"/>
              </w:rPr>
              <w:t>The location and the fair value of the foreign currency contract was as follows:</w:t>
            </w:r>
          </w:p>
        </w:tc>
        <w:tc>
          <w:tcPr>
            <w:tcW w:w="2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66"/>
        </w:trPr>
        <w:tc>
          <w:tcPr>
            <w:tcW w:w="61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920" w:type="dxa"/>
            <w:vAlign w:val="bottom"/>
          </w:tcPr>
          <w:p>
            <w:pPr>
              <w:spacing w:after="0"/>
              <w:rPr>
                <w:sz w:val="5"/>
                <w:szCs w:val="5"/>
                <w:color w:val="auto"/>
              </w:rPr>
            </w:pPr>
          </w:p>
        </w:tc>
      </w:tr>
      <w:tr>
        <w:trPr>
          <w:trHeight w:val="206"/>
        </w:trPr>
        <w:tc>
          <w:tcPr>
            <w:tcW w:w="61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680" w:type="dxa"/>
            <w:vAlign w:val="bottom"/>
            <w:shd w:val="clear" w:color="auto" w:fill="1D2758"/>
          </w:tcPr>
          <w:p>
            <w:pPr>
              <w:ind w:left="680"/>
              <w:spacing w:after="0"/>
              <w:rPr>
                <w:sz w:val="20"/>
                <w:szCs w:val="20"/>
                <w:color w:val="auto"/>
              </w:rPr>
            </w:pPr>
            <w:r>
              <w:rPr>
                <w:rFonts w:ascii="Arial" w:cs="Arial" w:eastAsia="Arial" w:hAnsi="Arial"/>
                <w:sz w:val="15"/>
                <w:szCs w:val="15"/>
                <w:b w:val="1"/>
                <w:bCs w:val="1"/>
                <w:color w:val="FFFFFF"/>
              </w:rPr>
              <w:t>Balance Sheet Location</w:t>
            </w:r>
          </w:p>
        </w:tc>
        <w:tc>
          <w:tcPr>
            <w:tcW w:w="480" w:type="dxa"/>
            <w:vAlign w:val="bottom"/>
            <w:shd w:val="clear" w:color="auto" w:fill="1D2758"/>
          </w:tcPr>
          <w:p>
            <w:pPr>
              <w:spacing w:after="0"/>
              <w:rPr>
                <w:sz w:val="17"/>
                <w:szCs w:val="17"/>
                <w:color w:val="auto"/>
              </w:rPr>
            </w:pPr>
          </w:p>
        </w:tc>
        <w:tc>
          <w:tcPr>
            <w:tcW w:w="1920" w:type="dxa"/>
            <w:vAlign w:val="bottom"/>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December 31, 2022</w:t>
            </w:r>
          </w:p>
        </w:tc>
      </w:tr>
      <w:tr>
        <w:trPr>
          <w:trHeight w:val="206"/>
        </w:trPr>
        <w:tc>
          <w:tcPr>
            <w:tcW w:w="6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Foreign currency contract</w:t>
            </w:r>
          </w:p>
        </w:tc>
        <w:tc>
          <w:tcPr>
            <w:tcW w:w="2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Accrued liabilities</w:t>
            </w:r>
          </w:p>
        </w:tc>
        <w:tc>
          <w:tcPr>
            <w:tcW w:w="48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930</w:t>
            </w:r>
          </w:p>
        </w:tc>
      </w:tr>
    </w:tbl>
    <w:p>
      <w:pPr>
        <w:spacing w:after="0" w:line="117" w:lineRule="exact"/>
        <w:rPr>
          <w:sz w:val="20"/>
          <w:szCs w:val="20"/>
          <w:color w:val="auto"/>
        </w:rPr>
      </w:pPr>
    </w:p>
    <w:p>
      <w:pPr>
        <w:jc w:val="both"/>
        <w:ind w:firstLine="619"/>
        <w:spacing w:after="0" w:line="278" w:lineRule="auto"/>
        <w:rPr>
          <w:sz w:val="20"/>
          <w:szCs w:val="20"/>
          <w:color w:val="auto"/>
        </w:rPr>
      </w:pPr>
      <w:r>
        <w:rPr>
          <w:rFonts w:ascii="Arial" w:cs="Arial" w:eastAsia="Arial" w:hAnsi="Arial"/>
          <w:sz w:val="15"/>
          <w:szCs w:val="15"/>
          <w:color w:val="auto"/>
        </w:rPr>
        <w:t>The fair value of the foreign currency contract was based on dealer quotes of market forward rates, a Level 2 input on the fair value hierarchy, and reflected the amount that the Company would receive or pay for contracts involving the same attributes and maturity dates.</w:t>
      </w:r>
    </w:p>
    <w:p>
      <w:pPr>
        <w:jc w:val="both"/>
        <w:ind w:firstLine="619"/>
        <w:spacing w:after="0" w:line="294" w:lineRule="auto"/>
        <w:rPr>
          <w:sz w:val="20"/>
          <w:szCs w:val="20"/>
          <w:color w:val="auto"/>
        </w:rPr>
      </w:pPr>
      <w:r>
        <w:rPr>
          <w:rFonts w:ascii="Arial" w:cs="Arial" w:eastAsia="Arial" w:hAnsi="Arial"/>
          <w:sz w:val="15"/>
          <w:szCs w:val="15"/>
          <w:color w:val="auto"/>
        </w:rPr>
        <w:t>The location and the impact of the foreign currency contract, excluding the impact of income taxes, on the Company’s statement of operations for the three months ended March 31, 2023 was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2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800" w:type="dxa"/>
            <w:vAlign w:val="bottom"/>
            <w:vMerge w:val="restart"/>
            <w:shd w:val="clear" w:color="auto" w:fill="1D2758"/>
          </w:tcPr>
          <w:p>
            <w:pPr>
              <w:ind w:left="2580"/>
              <w:spacing w:after="0"/>
              <w:rPr>
                <w:sz w:val="20"/>
                <w:szCs w:val="20"/>
                <w:color w:val="auto"/>
              </w:rPr>
            </w:pPr>
            <w:r>
              <w:rPr>
                <w:rFonts w:ascii="Arial" w:cs="Arial" w:eastAsia="Arial" w:hAnsi="Arial"/>
                <w:sz w:val="15"/>
                <w:szCs w:val="15"/>
                <w:b w:val="1"/>
                <w:bCs w:val="1"/>
                <w:color w:val="FFFFFF"/>
              </w:rPr>
              <w:t>Income Statement Location</w:t>
            </w:r>
          </w:p>
        </w:tc>
        <w:tc>
          <w:tcPr>
            <w:tcW w:w="232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 March</w:t>
            </w:r>
          </w:p>
        </w:tc>
        <w:tc>
          <w:tcPr>
            <w:tcW w:w="0" w:type="dxa"/>
            <w:vAlign w:val="bottom"/>
          </w:tcPr>
          <w:p>
            <w:pPr>
              <w:spacing w:after="0"/>
              <w:rPr>
                <w:sz w:val="1"/>
                <w:szCs w:val="1"/>
                <w:color w:val="auto"/>
              </w:rPr>
            </w:pPr>
          </w:p>
        </w:tc>
      </w:tr>
      <w:tr>
        <w:trPr>
          <w:trHeight w:val="206"/>
        </w:trPr>
        <w:tc>
          <w:tcPr>
            <w:tcW w:w="4120" w:type="dxa"/>
            <w:vAlign w:val="bottom"/>
            <w:vMerge w:val="continue"/>
            <w:shd w:val="clear" w:color="auto" w:fill="1D2758"/>
          </w:tcPr>
          <w:p>
            <w:pPr>
              <w:spacing w:after="0"/>
              <w:rPr>
                <w:sz w:val="17"/>
                <w:szCs w:val="17"/>
                <w:color w:val="auto"/>
              </w:rPr>
            </w:pPr>
          </w:p>
        </w:tc>
        <w:tc>
          <w:tcPr>
            <w:tcW w:w="4800" w:type="dxa"/>
            <w:vAlign w:val="bottom"/>
            <w:vMerge w:val="continue"/>
            <w:shd w:val="clear" w:color="auto" w:fill="1D2758"/>
          </w:tcPr>
          <w:p>
            <w:pPr>
              <w:spacing w:after="0"/>
              <w:rPr>
                <w:sz w:val="17"/>
                <w:szCs w:val="17"/>
                <w:color w:val="auto"/>
              </w:rPr>
            </w:pPr>
          </w:p>
        </w:tc>
        <w:tc>
          <w:tcPr>
            <w:tcW w:w="600" w:type="dxa"/>
            <w:vAlign w:val="bottom"/>
            <w:shd w:val="clear" w:color="auto" w:fill="1D2758"/>
          </w:tcPr>
          <w:p>
            <w:pPr>
              <w:spacing w:after="0"/>
              <w:rPr>
                <w:sz w:val="17"/>
                <w:szCs w:val="17"/>
                <w:color w:val="auto"/>
              </w:rPr>
            </w:pPr>
          </w:p>
        </w:tc>
        <w:tc>
          <w:tcPr>
            <w:tcW w:w="1720" w:type="dxa"/>
            <w:vAlign w:val="bottom"/>
            <w:shd w:val="clear" w:color="auto" w:fill="1D2758"/>
          </w:tcPr>
          <w:p>
            <w:pPr>
              <w:jc w:val="right"/>
              <w:ind w:right="703"/>
              <w:spacing w:after="0"/>
              <w:rPr>
                <w:sz w:val="20"/>
                <w:szCs w:val="20"/>
                <w:color w:val="auto"/>
              </w:rPr>
            </w:pPr>
            <w:r>
              <w:rPr>
                <w:rFonts w:ascii="Arial" w:cs="Arial" w:eastAsia="Arial" w:hAnsi="Arial"/>
                <w:sz w:val="15"/>
                <w:szCs w:val="15"/>
                <w:b w:val="1"/>
                <w:bCs w:val="1"/>
                <w:color w:val="FFFFFF"/>
              </w:rPr>
              <w:t>31, 2023</w:t>
            </w:r>
          </w:p>
        </w:tc>
        <w:tc>
          <w:tcPr>
            <w:tcW w:w="0" w:type="dxa"/>
            <w:vAlign w:val="bottom"/>
          </w:tcPr>
          <w:p>
            <w:pPr>
              <w:spacing w:after="0"/>
              <w:rPr>
                <w:sz w:val="1"/>
                <w:szCs w:val="1"/>
                <w:color w:val="auto"/>
              </w:rPr>
            </w:pPr>
          </w:p>
        </w:tc>
      </w:tr>
      <w:tr>
        <w:trPr>
          <w:trHeight w:val="206"/>
        </w:trPr>
        <w:tc>
          <w:tcPr>
            <w:tcW w:w="4120" w:type="dxa"/>
            <w:vAlign w:val="bottom"/>
            <w:shd w:val="clear" w:color="auto" w:fill="DBDBDB"/>
          </w:tcPr>
          <w:p>
            <w:pPr>
              <w:ind w:left="20"/>
              <w:spacing w:after="0"/>
              <w:rPr>
                <w:sz w:val="20"/>
                <w:szCs w:val="20"/>
                <w:color w:val="auto"/>
              </w:rPr>
            </w:pPr>
            <w:r>
              <w:rPr>
                <w:rFonts w:ascii="Arial" w:cs="Arial" w:eastAsia="Arial" w:hAnsi="Arial"/>
                <w:sz w:val="15"/>
                <w:szCs w:val="15"/>
                <w:color w:val="auto"/>
              </w:rPr>
              <w:t>Loss recognized in income</w:t>
            </w:r>
          </w:p>
        </w:tc>
        <w:tc>
          <w:tcPr>
            <w:tcW w:w="4800" w:type="dxa"/>
            <w:vAlign w:val="bottom"/>
            <w:shd w:val="clear" w:color="auto" w:fill="DBDBDB"/>
          </w:tcPr>
          <w:p>
            <w:pPr>
              <w:ind w:left="2260"/>
              <w:spacing w:after="0"/>
              <w:rPr>
                <w:sz w:val="20"/>
                <w:szCs w:val="20"/>
                <w:color w:val="auto"/>
              </w:rPr>
            </w:pPr>
            <w:r>
              <w:rPr>
                <w:rFonts w:ascii="Arial" w:cs="Arial" w:eastAsia="Arial" w:hAnsi="Arial"/>
                <w:sz w:val="15"/>
                <w:szCs w:val="15"/>
                <w:color w:val="auto"/>
              </w:rPr>
              <w:t>Currency losses, net</w:t>
            </w:r>
          </w:p>
        </w:tc>
        <w:tc>
          <w:tcPr>
            <w:tcW w:w="60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7,715</w:t>
            </w: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rPr>
          <w:sz w:val="20"/>
          <w:szCs w:val="20"/>
          <w:color w:val="auto"/>
        </w:rPr>
      </w:pPr>
      <w:r>
        <w:rPr>
          <w:rFonts w:ascii="Arial" w:cs="Arial" w:eastAsia="Arial" w:hAnsi="Arial"/>
          <w:sz w:val="22"/>
          <w:szCs w:val="22"/>
          <w:color w:val="1D2758"/>
        </w:rPr>
        <w:t>NOTE 13 - Fair Value Measures</w:t>
      </w:r>
    </w:p>
    <w:p>
      <w:pPr>
        <w:spacing w:after="0" w:line="114"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The fair value of financial assets and liabilities are included at the amount at which the instrument could be exchanged in a current transaction between willing parties, other than in a forced or liquidation sale.</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utilizes the suggested accounting guidance for the three levels of inputs that may be used to measure fair value:</w:t>
      </w:r>
    </w:p>
    <w:p>
      <w:pPr>
        <w:spacing w:after="0" w:line="111"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5"/>
          <w:szCs w:val="15"/>
          <w:color w:val="auto"/>
        </w:rPr>
        <w:t>Level 1 -</w:t>
      </w:r>
      <w:r>
        <w:rPr>
          <w:sz w:val="20"/>
          <w:szCs w:val="20"/>
          <w:color w:val="auto"/>
        </w:rPr>
        <w:tab/>
      </w:r>
      <w:r>
        <w:rPr>
          <w:rFonts w:ascii="Arial" w:cs="Arial" w:eastAsia="Arial" w:hAnsi="Arial"/>
          <w:sz w:val="15"/>
          <w:szCs w:val="15"/>
          <w:color w:val="auto"/>
        </w:rPr>
        <w:t>Observable inputs such as quoted prices in active markets for identical assets or liabilities;</w:t>
      </w:r>
    </w:p>
    <w:p>
      <w:pPr>
        <w:spacing w:after="0" w:line="34"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5"/>
          <w:szCs w:val="15"/>
          <w:color w:val="auto"/>
        </w:rPr>
        <w:t>Level 2 -</w:t>
      </w:r>
      <w:r>
        <w:rPr>
          <w:sz w:val="20"/>
          <w:szCs w:val="20"/>
          <w:color w:val="auto"/>
        </w:rPr>
        <w:tab/>
      </w:r>
      <w:r>
        <w:rPr>
          <w:rFonts w:ascii="Arial" w:cs="Arial" w:eastAsia="Arial" w:hAnsi="Arial"/>
          <w:sz w:val="15"/>
          <w:szCs w:val="15"/>
          <w:color w:val="auto"/>
        </w:rPr>
        <w:t>Observable inputs, other than Level 1 inputs in active markets, that are observable either directly or indirectly; and</w:t>
      </w:r>
    </w:p>
    <w:p>
      <w:pPr>
        <w:spacing w:after="0" w:line="34"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5"/>
          <w:szCs w:val="15"/>
          <w:color w:val="auto"/>
        </w:rPr>
        <w:t>Level 3 -</w:t>
      </w:r>
      <w:r>
        <w:rPr>
          <w:sz w:val="20"/>
          <w:szCs w:val="20"/>
          <w:color w:val="auto"/>
        </w:rPr>
        <w:tab/>
      </w:r>
      <w:r>
        <w:rPr>
          <w:rFonts w:ascii="Arial" w:cs="Arial" w:eastAsia="Arial" w:hAnsi="Arial"/>
          <w:sz w:val="15"/>
          <w:szCs w:val="15"/>
          <w:color w:val="auto"/>
        </w:rPr>
        <w:t>Unobservable inputs for which there is little or no market data, which require the reporting entity to develop its own assumptions</w:t>
      </w:r>
    </w:p>
    <w:p>
      <w:pPr>
        <w:spacing w:after="0" w:line="150"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The Company has assessed that the fair value of cash and cash equivalents, trade receivables, trade payables, and other current liabilities approximate their carrying amounts. Based on the borrowing rates currently available for bank loans with similar terms and average maturities, the fair value of finance leases at March 31, 2023 approximate their respective book values.</w:t>
      </w:r>
    </w:p>
    <w:p>
      <w:pPr>
        <w:jc w:val="both"/>
        <w:ind w:firstLine="619"/>
        <w:spacing w:after="0" w:line="312" w:lineRule="auto"/>
        <w:rPr>
          <w:sz w:val="20"/>
          <w:szCs w:val="20"/>
          <w:color w:val="auto"/>
        </w:rPr>
      </w:pPr>
      <w:r>
        <w:rPr>
          <w:rFonts w:ascii="Arial" w:cs="Arial" w:eastAsia="Arial" w:hAnsi="Arial"/>
          <w:sz w:val="15"/>
          <w:szCs w:val="15"/>
          <w:color w:val="auto"/>
        </w:rPr>
        <w:t>The following table shows the carrying amounts and fair values of financial liabilities which are disclosed, but not measured, at fair value, including their levels in the fair value hierarchy: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92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96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2060" w:type="dxa"/>
            <w:vAlign w:val="bottom"/>
            <w:gridSpan w:val="2"/>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March 31, 2023</w:t>
            </w:r>
          </w:p>
        </w:tc>
        <w:tc>
          <w:tcPr>
            <w:tcW w:w="240" w:type="dxa"/>
            <w:vAlign w:val="bottom"/>
            <w:shd w:val="clear" w:color="auto" w:fill="1D2758"/>
          </w:tcPr>
          <w:p>
            <w:pPr>
              <w:spacing w:after="0"/>
              <w:rPr>
                <w:sz w:val="17"/>
                <w:szCs w:val="17"/>
                <w:color w:val="auto"/>
              </w:rPr>
            </w:pPr>
          </w:p>
        </w:tc>
        <w:tc>
          <w:tcPr>
            <w:tcW w:w="1120" w:type="dxa"/>
            <w:vAlign w:val="bottom"/>
            <w:shd w:val="clear" w:color="auto" w:fill="1D2758"/>
          </w:tcPr>
          <w:p>
            <w:pPr>
              <w:spacing w:after="0"/>
              <w:rPr>
                <w:sz w:val="17"/>
                <w:szCs w:val="17"/>
                <w:color w:val="auto"/>
              </w:rPr>
            </w:pPr>
          </w:p>
        </w:tc>
        <w:tc>
          <w:tcPr>
            <w:tcW w:w="96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2080" w:type="dxa"/>
            <w:vAlign w:val="bottom"/>
            <w:gridSpan w:val="2"/>
            <w:shd w:val="clear" w:color="auto" w:fill="1D2758"/>
          </w:tcPr>
          <w:p>
            <w:pPr>
              <w:jc w:val="right"/>
              <w:ind w:right="363"/>
              <w:spacing w:after="0"/>
              <w:rPr>
                <w:sz w:val="20"/>
                <w:szCs w:val="20"/>
                <w:color w:val="auto"/>
              </w:rPr>
            </w:pPr>
            <w:r>
              <w:rPr>
                <w:rFonts w:ascii="Arial" w:cs="Arial" w:eastAsia="Arial" w:hAnsi="Arial"/>
                <w:sz w:val="15"/>
                <w:szCs w:val="15"/>
                <w:b w:val="1"/>
                <w:bCs w:val="1"/>
                <w:color w:val="FFFFFF"/>
              </w:rPr>
              <w:t>December 31, 2022</w:t>
            </w:r>
          </w:p>
        </w:tc>
        <w:tc>
          <w:tcPr>
            <w:tcW w:w="240" w:type="dxa"/>
            <w:vAlign w:val="bottom"/>
            <w:shd w:val="clear" w:color="auto" w:fill="1D2758"/>
          </w:tcPr>
          <w:p>
            <w:pPr>
              <w:spacing w:after="0"/>
              <w:rPr>
                <w:sz w:val="17"/>
                <w:szCs w:val="17"/>
                <w:color w:val="auto"/>
              </w:rPr>
            </w:pPr>
          </w:p>
        </w:tc>
        <w:tc>
          <w:tcPr>
            <w:tcW w:w="96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92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960" w:type="dxa"/>
            <w:vAlign w:val="bottom"/>
            <w:vMerge w:val="restart"/>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Carrying</w:t>
            </w:r>
          </w:p>
        </w:tc>
        <w:tc>
          <w:tcPr>
            <w:tcW w:w="240" w:type="dxa"/>
            <w:vAlign w:val="bottom"/>
            <w:shd w:val="clear" w:color="auto" w:fill="1D2758"/>
          </w:tcPr>
          <w:p>
            <w:pPr>
              <w:spacing w:after="0"/>
              <w:rPr>
                <w:sz w:val="18"/>
                <w:szCs w:val="18"/>
                <w:color w:val="auto"/>
              </w:rPr>
            </w:pPr>
          </w:p>
        </w:tc>
        <w:tc>
          <w:tcPr>
            <w:tcW w:w="1100" w:type="dxa"/>
            <w:vAlign w:val="bottom"/>
            <w:shd w:val="clear" w:color="auto" w:fill="1D2758"/>
          </w:tcPr>
          <w:p>
            <w:pPr>
              <w:spacing w:after="0"/>
              <w:rPr>
                <w:sz w:val="18"/>
                <w:szCs w:val="18"/>
                <w:color w:val="auto"/>
              </w:rPr>
            </w:pPr>
          </w:p>
        </w:tc>
        <w:tc>
          <w:tcPr>
            <w:tcW w:w="96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Fair Value</w:t>
            </w:r>
          </w:p>
        </w:tc>
        <w:tc>
          <w:tcPr>
            <w:tcW w:w="240" w:type="dxa"/>
            <w:vAlign w:val="bottom"/>
            <w:shd w:val="clear" w:color="auto" w:fill="1D2758"/>
          </w:tcPr>
          <w:p>
            <w:pPr>
              <w:spacing w:after="0"/>
              <w:rPr>
                <w:sz w:val="18"/>
                <w:szCs w:val="18"/>
                <w:color w:val="auto"/>
              </w:rPr>
            </w:pPr>
          </w:p>
        </w:tc>
        <w:tc>
          <w:tcPr>
            <w:tcW w:w="1120" w:type="dxa"/>
            <w:vAlign w:val="bottom"/>
            <w:shd w:val="clear" w:color="auto" w:fill="1D2758"/>
          </w:tcPr>
          <w:p>
            <w:pPr>
              <w:spacing w:after="0"/>
              <w:rPr>
                <w:sz w:val="18"/>
                <w:szCs w:val="18"/>
                <w:color w:val="auto"/>
              </w:rPr>
            </w:pPr>
          </w:p>
        </w:tc>
        <w:tc>
          <w:tcPr>
            <w:tcW w:w="960" w:type="dxa"/>
            <w:vAlign w:val="bottom"/>
            <w:vMerge w:val="restart"/>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Carrying</w:t>
            </w:r>
          </w:p>
        </w:tc>
        <w:tc>
          <w:tcPr>
            <w:tcW w:w="240" w:type="dxa"/>
            <w:vAlign w:val="bottom"/>
            <w:shd w:val="clear" w:color="auto" w:fill="1D2758"/>
          </w:tcPr>
          <w:p>
            <w:pPr>
              <w:spacing w:after="0"/>
              <w:rPr>
                <w:sz w:val="18"/>
                <w:szCs w:val="18"/>
                <w:color w:val="auto"/>
              </w:rPr>
            </w:pPr>
          </w:p>
        </w:tc>
        <w:tc>
          <w:tcPr>
            <w:tcW w:w="1100" w:type="dxa"/>
            <w:vAlign w:val="bottom"/>
            <w:shd w:val="clear" w:color="auto" w:fill="1D2758"/>
          </w:tcPr>
          <w:p>
            <w:pPr>
              <w:spacing w:after="0"/>
              <w:rPr>
                <w:sz w:val="18"/>
                <w:szCs w:val="18"/>
                <w:color w:val="auto"/>
              </w:rPr>
            </w:pPr>
          </w:p>
        </w:tc>
        <w:tc>
          <w:tcPr>
            <w:tcW w:w="98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Fair Value</w:t>
            </w:r>
          </w:p>
        </w:tc>
        <w:tc>
          <w:tcPr>
            <w:tcW w:w="240" w:type="dxa"/>
            <w:vAlign w:val="bottom"/>
            <w:shd w:val="clear" w:color="auto" w:fill="1D2758"/>
          </w:tcPr>
          <w:p>
            <w:pPr>
              <w:spacing w:after="0"/>
              <w:rPr>
                <w:sz w:val="18"/>
                <w:szCs w:val="18"/>
                <w:color w:val="auto"/>
              </w:rPr>
            </w:pPr>
          </w:p>
        </w:tc>
        <w:tc>
          <w:tcPr>
            <w:tcW w:w="96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192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7"/>
                <w:szCs w:val="7"/>
                <w:color w:val="auto"/>
              </w:rPr>
            </w:pPr>
          </w:p>
        </w:tc>
        <w:tc>
          <w:tcPr>
            <w:tcW w:w="960" w:type="dxa"/>
            <w:vAlign w:val="bottom"/>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0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1</w:t>
            </w:r>
          </w:p>
        </w:tc>
        <w:tc>
          <w:tcPr>
            <w:tcW w:w="960" w:type="dxa"/>
            <w:vAlign w:val="bottom"/>
            <w:vMerge w:val="restart"/>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Level 2</w:t>
            </w:r>
          </w:p>
        </w:tc>
        <w:tc>
          <w:tcPr>
            <w:tcW w:w="240" w:type="dxa"/>
            <w:vAlign w:val="bottom"/>
            <w:shd w:val="clear" w:color="auto" w:fill="1D2758"/>
          </w:tcPr>
          <w:p>
            <w:pPr>
              <w:spacing w:after="0"/>
              <w:rPr>
                <w:sz w:val="7"/>
                <w:szCs w:val="7"/>
                <w:color w:val="auto"/>
              </w:rPr>
            </w:pPr>
          </w:p>
        </w:tc>
        <w:tc>
          <w:tcPr>
            <w:tcW w:w="112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3</w:t>
            </w:r>
          </w:p>
        </w:tc>
        <w:tc>
          <w:tcPr>
            <w:tcW w:w="960" w:type="dxa"/>
            <w:vAlign w:val="bottom"/>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0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1</w:t>
            </w:r>
          </w:p>
        </w:tc>
        <w:tc>
          <w:tcPr>
            <w:tcW w:w="980" w:type="dxa"/>
            <w:vAlign w:val="bottom"/>
            <w:vMerge w:val="restart"/>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Level 2</w:t>
            </w:r>
          </w:p>
        </w:tc>
        <w:tc>
          <w:tcPr>
            <w:tcW w:w="240" w:type="dxa"/>
            <w:vAlign w:val="bottom"/>
            <w:shd w:val="clear" w:color="auto" w:fill="1D2758"/>
          </w:tcPr>
          <w:p>
            <w:pPr>
              <w:spacing w:after="0"/>
              <w:rPr>
                <w:sz w:val="7"/>
                <w:szCs w:val="7"/>
                <w:color w:val="auto"/>
              </w:rPr>
            </w:pPr>
          </w:p>
        </w:tc>
        <w:tc>
          <w:tcPr>
            <w:tcW w:w="96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3</w:t>
            </w:r>
          </w:p>
        </w:tc>
        <w:tc>
          <w:tcPr>
            <w:tcW w:w="0" w:type="dxa"/>
            <w:vAlign w:val="bottom"/>
          </w:tcPr>
          <w:p>
            <w:pPr>
              <w:spacing w:after="0"/>
              <w:rPr>
                <w:sz w:val="1"/>
                <w:szCs w:val="1"/>
                <w:color w:val="auto"/>
              </w:rPr>
            </w:pPr>
          </w:p>
        </w:tc>
      </w:tr>
      <w:tr>
        <w:trPr>
          <w:trHeight w:val="214"/>
        </w:trPr>
        <w:tc>
          <w:tcPr>
            <w:tcW w:w="1920" w:type="dxa"/>
            <w:vAlign w:val="bottom"/>
            <w:vMerge w:val="continue"/>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960" w:type="dxa"/>
            <w:vAlign w:val="bottom"/>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Amount</w:t>
            </w:r>
          </w:p>
        </w:tc>
        <w:tc>
          <w:tcPr>
            <w:tcW w:w="240" w:type="dxa"/>
            <w:vAlign w:val="bottom"/>
            <w:shd w:val="clear" w:color="auto" w:fill="1D2758"/>
          </w:tcPr>
          <w:p>
            <w:pPr>
              <w:spacing w:after="0"/>
              <w:rPr>
                <w:sz w:val="18"/>
                <w:szCs w:val="18"/>
                <w:color w:val="auto"/>
              </w:rPr>
            </w:pPr>
          </w:p>
        </w:tc>
        <w:tc>
          <w:tcPr>
            <w:tcW w:w="1100" w:type="dxa"/>
            <w:vAlign w:val="bottom"/>
            <w:vMerge w:val="continue"/>
            <w:shd w:val="clear" w:color="auto" w:fill="1D2758"/>
          </w:tcPr>
          <w:p>
            <w:pPr>
              <w:spacing w:after="0"/>
              <w:rPr>
                <w:sz w:val="18"/>
                <w:szCs w:val="18"/>
                <w:color w:val="auto"/>
              </w:rPr>
            </w:pPr>
          </w:p>
        </w:tc>
        <w:tc>
          <w:tcPr>
            <w:tcW w:w="960" w:type="dxa"/>
            <w:vAlign w:val="bottom"/>
            <w:vMerge w:val="continue"/>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1120" w:type="dxa"/>
            <w:vAlign w:val="bottom"/>
            <w:vMerge w:val="continue"/>
            <w:shd w:val="clear" w:color="auto" w:fill="1D2758"/>
          </w:tcPr>
          <w:p>
            <w:pPr>
              <w:spacing w:after="0"/>
              <w:rPr>
                <w:sz w:val="18"/>
                <w:szCs w:val="18"/>
                <w:color w:val="auto"/>
              </w:rPr>
            </w:pPr>
          </w:p>
        </w:tc>
        <w:tc>
          <w:tcPr>
            <w:tcW w:w="960" w:type="dxa"/>
            <w:vAlign w:val="bottom"/>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Amount</w:t>
            </w:r>
          </w:p>
        </w:tc>
        <w:tc>
          <w:tcPr>
            <w:tcW w:w="240" w:type="dxa"/>
            <w:vAlign w:val="bottom"/>
            <w:shd w:val="clear" w:color="auto" w:fill="1D2758"/>
          </w:tcPr>
          <w:p>
            <w:pPr>
              <w:spacing w:after="0"/>
              <w:rPr>
                <w:sz w:val="18"/>
                <w:szCs w:val="18"/>
                <w:color w:val="auto"/>
              </w:rPr>
            </w:pPr>
          </w:p>
        </w:tc>
        <w:tc>
          <w:tcPr>
            <w:tcW w:w="1100" w:type="dxa"/>
            <w:vAlign w:val="bottom"/>
            <w:vMerge w:val="continue"/>
            <w:shd w:val="clear" w:color="auto" w:fill="1D2758"/>
          </w:tcPr>
          <w:p>
            <w:pPr>
              <w:spacing w:after="0"/>
              <w:rPr>
                <w:sz w:val="18"/>
                <w:szCs w:val="18"/>
                <w:color w:val="auto"/>
              </w:rPr>
            </w:pPr>
          </w:p>
        </w:tc>
        <w:tc>
          <w:tcPr>
            <w:tcW w:w="980" w:type="dxa"/>
            <w:vAlign w:val="bottom"/>
            <w:vMerge w:val="continue"/>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96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1920" w:type="dxa"/>
            <w:vAlign w:val="bottom"/>
            <w:shd w:val="clear" w:color="auto" w:fill="1D2758"/>
          </w:tcPr>
          <w:p>
            <w:pPr>
              <w:spacing w:after="0"/>
              <w:rPr>
                <w:sz w:val="7"/>
                <w:szCs w:val="7"/>
                <w:color w:val="auto"/>
              </w:rPr>
            </w:pPr>
          </w:p>
        </w:tc>
        <w:tc>
          <w:tcPr>
            <w:tcW w:w="180" w:type="dxa"/>
            <w:vAlign w:val="bottom"/>
            <w:shd w:val="clear" w:color="auto" w:fill="1D2758"/>
          </w:tcPr>
          <w:p>
            <w:pPr>
              <w:spacing w:after="0"/>
              <w:rPr>
                <w:sz w:val="7"/>
                <w:szCs w:val="7"/>
                <w:color w:val="auto"/>
              </w:rPr>
            </w:pPr>
          </w:p>
        </w:tc>
        <w:tc>
          <w:tcPr>
            <w:tcW w:w="960" w:type="dxa"/>
            <w:vAlign w:val="bottom"/>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00" w:type="dxa"/>
            <w:vAlign w:val="bottom"/>
            <w:shd w:val="clear" w:color="auto" w:fill="1D2758"/>
          </w:tcPr>
          <w:p>
            <w:pPr>
              <w:spacing w:after="0"/>
              <w:rPr>
                <w:sz w:val="7"/>
                <w:szCs w:val="7"/>
                <w:color w:val="auto"/>
              </w:rPr>
            </w:pPr>
          </w:p>
        </w:tc>
        <w:tc>
          <w:tcPr>
            <w:tcW w:w="960" w:type="dxa"/>
            <w:vAlign w:val="bottom"/>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20" w:type="dxa"/>
            <w:vAlign w:val="bottom"/>
            <w:shd w:val="clear" w:color="auto" w:fill="1D2758"/>
          </w:tcPr>
          <w:p>
            <w:pPr>
              <w:spacing w:after="0"/>
              <w:rPr>
                <w:sz w:val="7"/>
                <w:szCs w:val="7"/>
                <w:color w:val="auto"/>
              </w:rPr>
            </w:pPr>
          </w:p>
        </w:tc>
        <w:tc>
          <w:tcPr>
            <w:tcW w:w="960" w:type="dxa"/>
            <w:vAlign w:val="bottom"/>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00" w:type="dxa"/>
            <w:vAlign w:val="bottom"/>
            <w:shd w:val="clear" w:color="auto" w:fill="1D2758"/>
          </w:tcPr>
          <w:p>
            <w:pPr>
              <w:spacing w:after="0"/>
              <w:rPr>
                <w:sz w:val="7"/>
                <w:szCs w:val="7"/>
                <w:color w:val="auto"/>
              </w:rPr>
            </w:pPr>
          </w:p>
        </w:tc>
        <w:tc>
          <w:tcPr>
            <w:tcW w:w="980" w:type="dxa"/>
            <w:vAlign w:val="bottom"/>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960" w:type="dxa"/>
            <w:vAlign w:val="bottom"/>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1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ABL Facility</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1,795,448</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ind w:left="700"/>
              <w:spacing w:after="0"/>
              <w:rPr>
                <w:sz w:val="20"/>
                <w:szCs w:val="20"/>
                <w:color w:val="auto"/>
              </w:rPr>
            </w:pPr>
            <w:r>
              <w:rPr>
                <w:rFonts w:ascii="Arial" w:cs="Arial" w:eastAsia="Arial" w:hAnsi="Arial"/>
                <w:sz w:val="15"/>
                <w:szCs w:val="15"/>
                <w:color w:val="auto"/>
              </w:rPr>
              <w:t>— $</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1,825,500</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ind w:left="720"/>
              <w:spacing w:after="0"/>
              <w:rPr>
                <w:sz w:val="20"/>
                <w:szCs w:val="20"/>
                <w:color w:val="auto"/>
              </w:rPr>
            </w:pPr>
            <w:r>
              <w:rPr>
                <w:rFonts w:ascii="Arial" w:cs="Arial" w:eastAsia="Arial" w:hAnsi="Arial"/>
                <w:sz w:val="15"/>
                <w:szCs w:val="15"/>
                <w:color w:val="auto"/>
              </w:rPr>
              <w:t>— $</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1,988,176</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ind w:left="720"/>
              <w:spacing w:after="0"/>
              <w:rPr>
                <w:sz w:val="20"/>
                <w:szCs w:val="20"/>
                <w:color w:val="auto"/>
              </w:rPr>
            </w:pPr>
            <w:r>
              <w:rPr>
                <w:rFonts w:ascii="Arial" w:cs="Arial" w:eastAsia="Arial" w:hAnsi="Arial"/>
                <w:sz w:val="15"/>
                <w:szCs w:val="15"/>
                <w:color w:val="auto"/>
              </w:rPr>
              <w:t>— $</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2,020,000</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960" w:type="dxa"/>
            <w:vAlign w:val="bottom"/>
            <w:shd w:val="clear" w:color="auto" w:fill="DBDBDB"/>
          </w:tcPr>
          <w:p>
            <w:pPr>
              <w:ind w:left="7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1920" w:type="dxa"/>
            <w:vAlign w:val="bottom"/>
          </w:tcPr>
          <w:p>
            <w:pPr>
              <w:ind w:left="20"/>
              <w:spacing w:after="0"/>
              <w:rPr>
                <w:sz w:val="20"/>
                <w:szCs w:val="20"/>
                <w:color w:val="auto"/>
              </w:rPr>
            </w:pPr>
            <w:r>
              <w:rPr>
                <w:rFonts w:ascii="Arial" w:cs="Arial" w:eastAsia="Arial" w:hAnsi="Arial"/>
                <w:sz w:val="15"/>
                <w:szCs w:val="15"/>
                <w:color w:val="auto"/>
              </w:rPr>
              <w:t>2025 Secured Notes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520,931</w:t>
            </w:r>
          </w:p>
        </w:tc>
        <w:tc>
          <w:tcPr>
            <w:tcW w:w="240" w:type="dxa"/>
            <w:vAlign w:val="bottom"/>
          </w:tcPr>
          <w:p>
            <w:pPr>
              <w:spacing w:after="0"/>
              <w:rPr>
                <w:sz w:val="17"/>
                <w:szCs w:val="17"/>
                <w:color w:val="auto"/>
              </w:rPr>
            </w:pPr>
          </w:p>
        </w:tc>
        <w:tc>
          <w:tcPr>
            <w:tcW w:w="1100" w:type="dxa"/>
            <w:vAlign w:val="bottom"/>
          </w:tcPr>
          <w:p>
            <w:pPr>
              <w:ind w:left="70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526,300</w:t>
            </w:r>
          </w:p>
        </w:tc>
        <w:tc>
          <w:tcPr>
            <w:tcW w:w="240" w:type="dxa"/>
            <w:vAlign w:val="bottom"/>
          </w:tcPr>
          <w:p>
            <w:pPr>
              <w:spacing w:after="0"/>
              <w:rPr>
                <w:sz w:val="17"/>
                <w:szCs w:val="17"/>
                <w:color w:val="auto"/>
              </w:rPr>
            </w:pPr>
          </w:p>
        </w:tc>
        <w:tc>
          <w:tcPr>
            <w:tcW w:w="1120" w:type="dxa"/>
            <w:vAlign w:val="bottom"/>
          </w:tcPr>
          <w:p>
            <w:pPr>
              <w:ind w:left="72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520,350</w:t>
            </w:r>
          </w:p>
        </w:tc>
        <w:tc>
          <w:tcPr>
            <w:tcW w:w="240" w:type="dxa"/>
            <w:vAlign w:val="bottom"/>
          </w:tcPr>
          <w:p>
            <w:pPr>
              <w:spacing w:after="0"/>
              <w:rPr>
                <w:sz w:val="17"/>
                <w:szCs w:val="17"/>
                <w:color w:val="auto"/>
              </w:rPr>
            </w:pPr>
          </w:p>
        </w:tc>
        <w:tc>
          <w:tcPr>
            <w:tcW w:w="1100" w:type="dxa"/>
            <w:vAlign w:val="bottom"/>
          </w:tcPr>
          <w:p>
            <w:pPr>
              <w:ind w:left="72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526,800</w:t>
            </w:r>
          </w:p>
        </w:tc>
        <w:tc>
          <w:tcPr>
            <w:tcW w:w="240" w:type="dxa"/>
            <w:vAlign w:val="bottom"/>
          </w:tcPr>
          <w:p>
            <w:pPr>
              <w:spacing w:after="0"/>
              <w:rPr>
                <w:sz w:val="17"/>
                <w:szCs w:val="17"/>
                <w:color w:val="auto"/>
              </w:rPr>
            </w:pPr>
          </w:p>
        </w:tc>
        <w:tc>
          <w:tcPr>
            <w:tcW w:w="960" w:type="dxa"/>
            <w:vAlign w:val="bottom"/>
          </w:tcPr>
          <w:p>
            <w:pPr>
              <w:ind w:left="7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1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2028 Secured Notes</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493,723</w:t>
            </w:r>
          </w:p>
        </w:tc>
        <w:tc>
          <w:tcPr>
            <w:tcW w:w="24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ind w:left="70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458,205</w:t>
            </w:r>
          </w:p>
        </w:tc>
        <w:tc>
          <w:tcPr>
            <w:tcW w:w="24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ind w:left="72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493,470</w:t>
            </w:r>
          </w:p>
        </w:tc>
        <w:tc>
          <w:tcPr>
            <w:tcW w:w="24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ind w:left="72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450,135</w:t>
            </w:r>
          </w:p>
        </w:tc>
        <w:tc>
          <w:tcPr>
            <w:tcW w:w="24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ind w:left="7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920" w:type="dxa"/>
            <w:vAlign w:val="bottom"/>
          </w:tcPr>
          <w:p>
            <w:pPr>
              <w:ind w:left="220"/>
              <w:spacing w:after="0"/>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2,810,102</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5"/>
                <w:szCs w:val="15"/>
                <w:color w:val="auto"/>
              </w:rPr>
              <w:t>—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2,810,005</w:t>
            </w:r>
          </w:p>
        </w:tc>
        <w:tc>
          <w:tcPr>
            <w:tcW w:w="2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3,001,996</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2,996,935</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As of March 31, 2023, the carrying values of the ABL Facility, the 2025 Secured Notes, and the 2028 Secured Notes included $30.1 million, $5.6 million, and $6.3 million, respectively, of unamortized debt issuance costs, which were presented as a direct reduction of the corresponding liability. As of December 31, 2022, the carrying value of the ABL Facility, the 2025 Secured Notes, and the 2028 Secured Notes included $31.8 million, $6.2 million, and $6.5 million, respectively, of unamortized debt issuance costs, which were presented as a direct reduction of the corresponding liability.</w:t>
      </w:r>
    </w:p>
    <w:p>
      <w:pPr>
        <w:spacing w:after="0" w:line="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carrying value of the ABL Facility, excluding debt issuance costs, approximates fair value as the interest rates are variable and reflective of current market rates. The fair value of the 2025 Secured Notes and the 2028 Secured Notes is based on their last trading price at the end of each period obtained from a third party. The classification and the fair value of derivative assets and liabilities are disclosed in Note 12.</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0" w:name="page21"/>
    <w:bookmarkEnd w:id="20"/>
    <w:p>
      <w:pPr>
        <w:spacing w:after="0"/>
        <w:rPr>
          <w:sz w:val="20"/>
          <w:szCs w:val="20"/>
          <w:color w:val="auto"/>
        </w:rPr>
      </w:pPr>
      <w:r>
        <w:rPr>
          <w:rFonts w:ascii="Arial" w:cs="Arial" w:eastAsia="Arial" w:hAnsi="Arial"/>
          <w:sz w:val="22"/>
          <w:szCs w:val="22"/>
          <w:color w:val="1D2758"/>
        </w:rPr>
        <w:t>NOTE 14 - Stock-Based Compensation</w:t>
      </w:r>
    </w:p>
    <w:p>
      <w:pPr>
        <w:spacing w:after="0" w:line="12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Stock-based compensation expense includes grants of stock options, time-based restricted stock units ("Time-Based RSUs") and performance-based restricted stock units ("Performance-Based RSUs," together with Time-Based RSUs, the "RSUs"). In addition, stock-based payments to non-executive directors includes grants of restricted stock awards ("RSAs"). Time-Based RSUs and RSAs are valued based on the intrinsic value of the difference between the exercise price, if any, of the award and the fair market value of WillScot Mobile Mini's Common Stock on the grant date. Performance-Based RSUs are valued based on a Monte Carlo simulation model to reflect the impact of the Performance-Based RSU's market condition. The probability of satisfying a market condition is considered in the estimation of the grant-date fair value for Performance-Based RSUs and the compensation cost is not reversed if the market condition is not achieved, provided the requisite service has been provided.</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 Awards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RSA activity for the three months ended March 31, 2023 and 2022:</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20" w:type="dxa"/>
            <w:vAlign w:val="bottom"/>
            <w:shd w:val="clear" w:color="auto" w:fill="1D2758"/>
          </w:tcPr>
          <w:p>
            <w:pPr>
              <w:spacing w:after="0"/>
              <w:rPr>
                <w:sz w:val="17"/>
                <w:szCs w:val="17"/>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2023</w:t>
            </w:r>
          </w:p>
        </w:tc>
        <w:tc>
          <w:tcPr>
            <w:tcW w:w="164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Weighted-Average</w:t>
            </w: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15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760" w:type="dxa"/>
            <w:vAlign w:val="bottom"/>
            <w:gridSpan w:val="2"/>
            <w:vMerge w:val="restart"/>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60" w:type="dxa"/>
            <w:vAlign w:val="bottom"/>
            <w:shd w:val="clear" w:color="auto" w:fill="1D2758"/>
          </w:tcPr>
          <w:p>
            <w:pPr>
              <w:spacing w:after="0"/>
              <w:rPr>
                <w:sz w:val="13"/>
                <w:szCs w:val="13"/>
                <w:color w:val="auto"/>
              </w:rPr>
            </w:pPr>
          </w:p>
        </w:tc>
        <w:tc>
          <w:tcPr>
            <w:tcW w:w="1640" w:type="dxa"/>
            <w:vAlign w:val="bottom"/>
            <w:gridSpan w:val="2"/>
            <w:vMerge w:val="continue"/>
            <w:shd w:val="clear" w:color="auto" w:fill="1D2758"/>
          </w:tcPr>
          <w:p>
            <w:pPr>
              <w:spacing w:after="0"/>
              <w:rPr>
                <w:sz w:val="13"/>
                <w:szCs w:val="13"/>
                <w:color w:val="auto"/>
              </w:rPr>
            </w:pPr>
          </w:p>
        </w:tc>
        <w:tc>
          <w:tcPr>
            <w:tcW w:w="1760" w:type="dxa"/>
            <w:vAlign w:val="bottom"/>
            <w:gridSpan w:val="2"/>
            <w:vMerge w:val="restart"/>
            <w:shd w:val="clear" w:color="auto" w:fill="1D2758"/>
          </w:tcPr>
          <w:p>
            <w:pPr>
              <w:ind w:left="160"/>
              <w:spacing w:after="0"/>
              <w:rPr>
                <w:sz w:val="20"/>
                <w:szCs w:val="20"/>
                <w:color w:val="auto"/>
              </w:rPr>
            </w:pPr>
            <w:r>
              <w:rPr>
                <w:rFonts w:ascii="Arial" w:cs="Arial" w:eastAsia="Arial" w:hAnsi="Arial"/>
                <w:sz w:val="15"/>
                <w:szCs w:val="15"/>
                <w:b w:val="1"/>
                <w:bCs w:val="1"/>
                <w:color w:val="FFFFFF"/>
              </w:rPr>
              <w:t>Number of Shares</w:t>
            </w:r>
          </w:p>
        </w:tc>
        <w:tc>
          <w:tcPr>
            <w:tcW w:w="160" w:type="dxa"/>
            <w:vAlign w:val="bottom"/>
            <w:shd w:val="clear" w:color="auto" w:fill="1D2758"/>
          </w:tcPr>
          <w:p>
            <w:pPr>
              <w:spacing w:after="0"/>
              <w:rPr>
                <w:sz w:val="13"/>
                <w:szCs w:val="13"/>
                <w:color w:val="auto"/>
              </w:rPr>
            </w:pPr>
          </w:p>
        </w:tc>
        <w:tc>
          <w:tcPr>
            <w:tcW w:w="154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760" w:type="dxa"/>
            <w:vAlign w:val="bottom"/>
            <w:gridSpan w:val="2"/>
            <w:vMerge w:val="continue"/>
            <w:shd w:val="clear" w:color="auto" w:fill="1D2758"/>
          </w:tcPr>
          <w:p>
            <w:pPr>
              <w:spacing w:after="0"/>
              <w:rPr>
                <w:sz w:val="17"/>
                <w:szCs w:val="17"/>
                <w:color w:val="auto"/>
              </w:rPr>
            </w:pPr>
          </w:p>
        </w:tc>
        <w:tc>
          <w:tcPr>
            <w:tcW w:w="1800" w:type="dxa"/>
            <w:vAlign w:val="bottom"/>
            <w:gridSpan w:val="3"/>
            <w:shd w:val="clear" w:color="auto" w:fill="1D2758"/>
          </w:tcPr>
          <w:p>
            <w:pPr>
              <w:jc w:val="right"/>
              <w:ind w:right="160"/>
              <w:spacing w:after="0"/>
              <w:rPr>
                <w:sz w:val="20"/>
                <w:szCs w:val="20"/>
                <w:color w:val="auto"/>
              </w:rPr>
            </w:pPr>
            <w:r>
              <w:rPr>
                <w:rFonts w:ascii="Arial" w:cs="Arial" w:eastAsia="Arial" w:hAnsi="Arial"/>
                <w:sz w:val="15"/>
                <w:szCs w:val="15"/>
                <w:b w:val="1"/>
                <w:bCs w:val="1"/>
                <w:color w:val="FFFFFF"/>
              </w:rPr>
              <w:t>Grant Date Fair Value</w:t>
            </w:r>
          </w:p>
        </w:tc>
        <w:tc>
          <w:tcPr>
            <w:tcW w:w="1760" w:type="dxa"/>
            <w:vAlign w:val="bottom"/>
            <w:gridSpan w:val="2"/>
            <w:vMerge w:val="continue"/>
            <w:shd w:val="clear" w:color="auto" w:fill="1D2758"/>
          </w:tcPr>
          <w:p>
            <w:pPr>
              <w:spacing w:after="0"/>
              <w:rPr>
                <w:sz w:val="17"/>
                <w:szCs w:val="17"/>
                <w:color w:val="auto"/>
              </w:rPr>
            </w:pPr>
          </w:p>
        </w:tc>
        <w:tc>
          <w:tcPr>
            <w:tcW w:w="170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0" w:type="dxa"/>
            <w:vAlign w:val="bottom"/>
          </w:tcPr>
          <w:p>
            <w:pPr>
              <w:spacing w:after="0"/>
              <w:rPr>
                <w:sz w:val="1"/>
                <w:szCs w:val="1"/>
                <w:color w:val="auto"/>
              </w:rPr>
            </w:pPr>
          </w:p>
        </w:tc>
      </w:tr>
      <w:tr>
        <w:trPr>
          <w:trHeight w:val="206"/>
        </w:trPr>
        <w:tc>
          <w:tcPr>
            <w:tcW w:w="4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35,244</w:t>
            </w:r>
          </w:p>
        </w:tc>
        <w:tc>
          <w:tcPr>
            <w:tcW w:w="8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37.17</w:t>
            </w:r>
          </w:p>
        </w:tc>
        <w:tc>
          <w:tcPr>
            <w:tcW w:w="100" w:type="dxa"/>
            <w:vAlign w:val="bottom"/>
            <w:shd w:val="clear" w:color="auto" w:fill="DBDBDB"/>
          </w:tcPr>
          <w:p>
            <w:pPr>
              <w:spacing w:after="0"/>
              <w:rPr>
                <w:sz w:val="17"/>
                <w:szCs w:val="17"/>
                <w:color w:val="auto"/>
              </w:rPr>
            </w:pPr>
          </w:p>
        </w:tc>
        <w:tc>
          <w:tcPr>
            <w:tcW w:w="16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36,176</w:t>
            </w:r>
          </w:p>
        </w:tc>
        <w:tc>
          <w:tcPr>
            <w:tcW w:w="8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29.30</w:t>
            </w:r>
          </w:p>
        </w:tc>
        <w:tc>
          <w:tcPr>
            <w:tcW w:w="0" w:type="dxa"/>
            <w:vAlign w:val="bottom"/>
          </w:tcPr>
          <w:p>
            <w:pPr>
              <w:spacing w:after="0"/>
              <w:rPr>
                <w:sz w:val="1"/>
                <w:szCs w:val="1"/>
                <w:color w:val="auto"/>
              </w:rPr>
            </w:pPr>
          </w:p>
        </w:tc>
      </w:tr>
      <w:tr>
        <w:trPr>
          <w:trHeight w:val="198"/>
        </w:trPr>
        <w:tc>
          <w:tcPr>
            <w:tcW w:w="4220" w:type="dxa"/>
            <w:vAlign w:val="bottom"/>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35,244</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37.17</w:t>
            </w: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36,176</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Compensation expense for RSAs recognized in SG&amp;A on the condensed consolidated statements of operations was $0.3 million for each of the three months ended March 31, 2023 and 2022. At March 31, 2023, there was $0.2 million of unrecognized compensation cost related to RSAs that is expected to be recognized over the remaining weighted average vesting period of 0.2 years.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Time-Based RSUs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Time-Based RSU activity for the three months ended March 31, 2023 and 2022:</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20" w:type="dxa"/>
            <w:vAlign w:val="bottom"/>
            <w:shd w:val="clear" w:color="auto" w:fill="1D2758"/>
          </w:tcPr>
          <w:p>
            <w:pPr>
              <w:spacing w:after="0"/>
              <w:rPr>
                <w:sz w:val="17"/>
                <w:szCs w:val="17"/>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2023</w:t>
            </w:r>
          </w:p>
        </w:tc>
        <w:tc>
          <w:tcPr>
            <w:tcW w:w="164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Weighted-Average</w:t>
            </w: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15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760" w:type="dxa"/>
            <w:vAlign w:val="bottom"/>
            <w:gridSpan w:val="2"/>
            <w:vMerge w:val="restart"/>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60" w:type="dxa"/>
            <w:vAlign w:val="bottom"/>
            <w:shd w:val="clear" w:color="auto" w:fill="1D2758"/>
          </w:tcPr>
          <w:p>
            <w:pPr>
              <w:spacing w:after="0"/>
              <w:rPr>
                <w:sz w:val="13"/>
                <w:szCs w:val="13"/>
                <w:color w:val="auto"/>
              </w:rPr>
            </w:pPr>
          </w:p>
        </w:tc>
        <w:tc>
          <w:tcPr>
            <w:tcW w:w="1640" w:type="dxa"/>
            <w:vAlign w:val="bottom"/>
            <w:gridSpan w:val="2"/>
            <w:vMerge w:val="continue"/>
            <w:shd w:val="clear" w:color="auto" w:fill="1D2758"/>
          </w:tcPr>
          <w:p>
            <w:pPr>
              <w:spacing w:after="0"/>
              <w:rPr>
                <w:sz w:val="13"/>
                <w:szCs w:val="13"/>
                <w:color w:val="auto"/>
              </w:rPr>
            </w:pPr>
          </w:p>
        </w:tc>
        <w:tc>
          <w:tcPr>
            <w:tcW w:w="1760" w:type="dxa"/>
            <w:vAlign w:val="bottom"/>
            <w:gridSpan w:val="2"/>
            <w:vMerge w:val="restart"/>
            <w:shd w:val="clear" w:color="auto" w:fill="1D2758"/>
          </w:tcPr>
          <w:p>
            <w:pPr>
              <w:ind w:left="160"/>
              <w:spacing w:after="0"/>
              <w:rPr>
                <w:sz w:val="20"/>
                <w:szCs w:val="20"/>
                <w:color w:val="auto"/>
              </w:rPr>
            </w:pPr>
            <w:r>
              <w:rPr>
                <w:rFonts w:ascii="Arial" w:cs="Arial" w:eastAsia="Arial" w:hAnsi="Arial"/>
                <w:sz w:val="15"/>
                <w:szCs w:val="15"/>
                <w:b w:val="1"/>
                <w:bCs w:val="1"/>
                <w:color w:val="FFFFFF"/>
              </w:rPr>
              <w:t>Number of Shares</w:t>
            </w:r>
          </w:p>
        </w:tc>
        <w:tc>
          <w:tcPr>
            <w:tcW w:w="160" w:type="dxa"/>
            <w:vAlign w:val="bottom"/>
            <w:shd w:val="clear" w:color="auto" w:fill="1D2758"/>
          </w:tcPr>
          <w:p>
            <w:pPr>
              <w:spacing w:after="0"/>
              <w:rPr>
                <w:sz w:val="13"/>
                <w:szCs w:val="13"/>
                <w:color w:val="auto"/>
              </w:rPr>
            </w:pPr>
          </w:p>
        </w:tc>
        <w:tc>
          <w:tcPr>
            <w:tcW w:w="154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760" w:type="dxa"/>
            <w:vAlign w:val="bottom"/>
            <w:gridSpan w:val="2"/>
            <w:vMerge w:val="continue"/>
            <w:shd w:val="clear" w:color="auto" w:fill="1D2758"/>
          </w:tcPr>
          <w:p>
            <w:pPr>
              <w:spacing w:after="0"/>
              <w:rPr>
                <w:sz w:val="17"/>
                <w:szCs w:val="17"/>
                <w:color w:val="auto"/>
              </w:rPr>
            </w:pPr>
          </w:p>
        </w:tc>
        <w:tc>
          <w:tcPr>
            <w:tcW w:w="1800" w:type="dxa"/>
            <w:vAlign w:val="bottom"/>
            <w:gridSpan w:val="3"/>
            <w:shd w:val="clear" w:color="auto" w:fill="1D2758"/>
          </w:tcPr>
          <w:p>
            <w:pPr>
              <w:jc w:val="right"/>
              <w:ind w:right="160"/>
              <w:spacing w:after="0"/>
              <w:rPr>
                <w:sz w:val="20"/>
                <w:szCs w:val="20"/>
                <w:color w:val="auto"/>
              </w:rPr>
            </w:pPr>
            <w:r>
              <w:rPr>
                <w:rFonts w:ascii="Arial" w:cs="Arial" w:eastAsia="Arial" w:hAnsi="Arial"/>
                <w:sz w:val="15"/>
                <w:szCs w:val="15"/>
                <w:b w:val="1"/>
                <w:bCs w:val="1"/>
                <w:color w:val="FFFFFF"/>
              </w:rPr>
              <w:t>Grant Date Fair Value</w:t>
            </w:r>
          </w:p>
        </w:tc>
        <w:tc>
          <w:tcPr>
            <w:tcW w:w="1760" w:type="dxa"/>
            <w:vAlign w:val="bottom"/>
            <w:gridSpan w:val="2"/>
            <w:vMerge w:val="continue"/>
            <w:shd w:val="clear" w:color="auto" w:fill="1D2758"/>
          </w:tcPr>
          <w:p>
            <w:pPr>
              <w:spacing w:after="0"/>
              <w:rPr>
                <w:sz w:val="17"/>
                <w:szCs w:val="17"/>
                <w:color w:val="auto"/>
              </w:rPr>
            </w:pPr>
          </w:p>
        </w:tc>
        <w:tc>
          <w:tcPr>
            <w:tcW w:w="170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0" w:type="dxa"/>
            <w:vAlign w:val="bottom"/>
          </w:tcPr>
          <w:p>
            <w:pPr>
              <w:spacing w:after="0"/>
              <w:rPr>
                <w:sz w:val="1"/>
                <w:szCs w:val="1"/>
                <w:color w:val="auto"/>
              </w:rPr>
            </w:pPr>
          </w:p>
        </w:tc>
      </w:tr>
      <w:tr>
        <w:trPr>
          <w:trHeight w:val="20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789,779</w:t>
            </w:r>
          </w:p>
        </w:tc>
        <w:tc>
          <w:tcPr>
            <w:tcW w:w="80" w:type="dxa"/>
            <w:vAlign w:val="bottom"/>
            <w:shd w:val="clear" w:color="auto" w:fill="DDDDDD"/>
          </w:tcPr>
          <w:p>
            <w:pPr>
              <w:spacing w:after="0"/>
              <w:rPr>
                <w:sz w:val="17"/>
                <w:szCs w:val="17"/>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26.16</w:t>
            </w:r>
          </w:p>
        </w:tc>
        <w:tc>
          <w:tcPr>
            <w:tcW w:w="100" w:type="dxa"/>
            <w:vAlign w:val="bottom"/>
            <w:shd w:val="clear" w:color="auto" w:fill="DDDDDD"/>
          </w:tcPr>
          <w:p>
            <w:pPr>
              <w:spacing w:after="0"/>
              <w:rPr>
                <w:sz w:val="17"/>
                <w:szCs w:val="17"/>
                <w:color w:val="auto"/>
              </w:rPr>
            </w:pP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997,451</w:t>
            </w:r>
          </w:p>
        </w:tc>
        <w:tc>
          <w:tcPr>
            <w:tcW w:w="80" w:type="dxa"/>
            <w:vAlign w:val="bottom"/>
            <w:shd w:val="clear" w:color="auto" w:fill="DDDDDD"/>
          </w:tcPr>
          <w:p>
            <w:pPr>
              <w:spacing w:after="0"/>
              <w:rPr>
                <w:sz w:val="17"/>
                <w:szCs w:val="17"/>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18.54</w:t>
            </w:r>
          </w:p>
        </w:tc>
        <w:tc>
          <w:tcPr>
            <w:tcW w:w="0" w:type="dxa"/>
            <w:vAlign w:val="bottom"/>
          </w:tcPr>
          <w:p>
            <w:pPr>
              <w:spacing w:after="0"/>
              <w:rPr>
                <w:sz w:val="1"/>
                <w:szCs w:val="1"/>
                <w:color w:val="auto"/>
              </w:rPr>
            </w:pPr>
          </w:p>
        </w:tc>
      </w:tr>
      <w:tr>
        <w:trPr>
          <w:trHeight w:val="205"/>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213,388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50.74</w:t>
            </w:r>
          </w:p>
        </w:tc>
        <w:tc>
          <w:tcPr>
            <w:tcW w:w="100" w:type="dxa"/>
            <w:vAlign w:val="bottom"/>
          </w:tcPr>
          <w:p>
            <w:pPr>
              <w:spacing w:after="0"/>
              <w:rPr>
                <w:sz w:val="17"/>
                <w:szCs w:val="17"/>
                <w:color w:val="auto"/>
              </w:rPr>
            </w:pP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357,639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35.53</w:t>
            </w:r>
          </w:p>
        </w:tc>
        <w:tc>
          <w:tcPr>
            <w:tcW w:w="0" w:type="dxa"/>
            <w:vAlign w:val="bottom"/>
          </w:tcPr>
          <w:p>
            <w:pPr>
              <w:spacing w:after="0"/>
              <w:rPr>
                <w:sz w:val="1"/>
                <w:szCs w:val="1"/>
                <w:color w:val="auto"/>
              </w:rPr>
            </w:pPr>
          </w:p>
        </w:tc>
      </w:tr>
      <w:tr>
        <w:trPr>
          <w:trHeight w:val="207"/>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(31,681)</w:t>
            </w:r>
          </w:p>
        </w:tc>
        <w:tc>
          <w:tcPr>
            <w:tcW w:w="80" w:type="dxa"/>
            <w:vAlign w:val="bottom"/>
            <w:shd w:val="clear" w:color="auto" w:fill="DDDDDD"/>
          </w:tcPr>
          <w:p>
            <w:pPr>
              <w:spacing w:after="0"/>
              <w:rPr>
                <w:sz w:val="18"/>
                <w:szCs w:val="18"/>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33.67</w:t>
            </w:r>
          </w:p>
        </w:tc>
        <w:tc>
          <w:tcPr>
            <w:tcW w:w="100" w:type="dxa"/>
            <w:vAlign w:val="bottom"/>
            <w:shd w:val="clear" w:color="auto" w:fill="DDDDDD"/>
          </w:tcPr>
          <w:p>
            <w:pPr>
              <w:spacing w:after="0"/>
              <w:rPr>
                <w:sz w:val="18"/>
                <w:szCs w:val="18"/>
                <w:color w:val="auto"/>
              </w:rPr>
            </w:pP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(9,299)</w:t>
            </w:r>
          </w:p>
        </w:tc>
        <w:tc>
          <w:tcPr>
            <w:tcW w:w="80" w:type="dxa"/>
            <w:vAlign w:val="bottom"/>
            <w:shd w:val="clear" w:color="auto" w:fill="DDDDDD"/>
          </w:tcPr>
          <w:p>
            <w:pPr>
              <w:spacing w:after="0"/>
              <w:rPr>
                <w:sz w:val="18"/>
                <w:szCs w:val="18"/>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27.20</w:t>
            </w:r>
          </w:p>
        </w:tc>
        <w:tc>
          <w:tcPr>
            <w:tcW w:w="0" w:type="dxa"/>
            <w:vAlign w:val="bottom"/>
          </w:tcPr>
          <w:p>
            <w:pPr>
              <w:spacing w:after="0"/>
              <w:rPr>
                <w:sz w:val="1"/>
                <w:szCs w:val="1"/>
                <w:color w:val="auto"/>
              </w:rPr>
            </w:pPr>
          </w:p>
        </w:tc>
      </w:tr>
      <w:tr>
        <w:trPr>
          <w:trHeight w:val="205"/>
        </w:trPr>
        <w:tc>
          <w:tcPr>
            <w:tcW w:w="422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(281,153)</w:t>
            </w:r>
          </w:p>
        </w:tc>
        <w:tc>
          <w:tcPr>
            <w:tcW w:w="80" w:type="dxa"/>
            <w:vAlign w:val="bottom"/>
            <w:tcBorders>
              <w:bottom w:val="single" w:sz="8" w:color="DDDDDD"/>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22.40</w:t>
            </w:r>
          </w:p>
        </w:tc>
        <w:tc>
          <w:tcPr>
            <w:tcW w:w="100" w:type="dxa"/>
            <w:vAlign w:val="bottom"/>
            <w:tcBorders>
              <w:bottom w:val="single" w:sz="8" w:color="DDDDDD"/>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(420,184)</w:t>
            </w:r>
          </w:p>
        </w:tc>
        <w:tc>
          <w:tcPr>
            <w:tcW w:w="80" w:type="dxa"/>
            <w:vAlign w:val="bottom"/>
            <w:tcBorders>
              <w:bottom w:val="single" w:sz="8" w:color="DDDDDD"/>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16.21</w:t>
            </w:r>
          </w:p>
        </w:tc>
        <w:tc>
          <w:tcPr>
            <w:tcW w:w="0" w:type="dxa"/>
            <w:vAlign w:val="bottom"/>
          </w:tcPr>
          <w:p>
            <w:pPr>
              <w:spacing w:after="0"/>
              <w:rPr>
                <w:sz w:val="1"/>
                <w:szCs w:val="1"/>
                <w:color w:val="auto"/>
              </w:rPr>
            </w:pPr>
          </w:p>
        </w:tc>
      </w:tr>
      <w:tr>
        <w:trPr>
          <w:trHeight w:val="224"/>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690,333</w:t>
            </w:r>
          </w:p>
        </w:tc>
        <w:tc>
          <w:tcPr>
            <w:tcW w:w="80" w:type="dxa"/>
            <w:vAlign w:val="bottom"/>
            <w:tcBorders>
              <w:bottom w:val="single" w:sz="8" w:color="DDDDDD"/>
            </w:tcBorders>
            <w:shd w:val="clear" w:color="auto" w:fill="DDDDDD"/>
          </w:tcPr>
          <w:p>
            <w:pPr>
              <w:spacing w:after="0"/>
              <w:rPr>
                <w:sz w:val="19"/>
                <w:szCs w:val="19"/>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34.95</w:t>
            </w:r>
          </w:p>
        </w:tc>
        <w:tc>
          <w:tcPr>
            <w:tcW w:w="100" w:type="dxa"/>
            <w:vAlign w:val="bottom"/>
            <w:tcBorders>
              <w:bottom w:val="single" w:sz="8" w:color="DDDDDD"/>
            </w:tcBorders>
            <w:shd w:val="clear" w:color="auto" w:fill="DDDDDD"/>
          </w:tcPr>
          <w:p>
            <w:pPr>
              <w:spacing w:after="0"/>
              <w:rPr>
                <w:sz w:val="19"/>
                <w:szCs w:val="19"/>
                <w:color w:val="auto"/>
              </w:rPr>
            </w:pP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925,607</w:t>
            </w:r>
          </w:p>
        </w:tc>
        <w:tc>
          <w:tcPr>
            <w:tcW w:w="80" w:type="dxa"/>
            <w:vAlign w:val="bottom"/>
            <w:tcBorders>
              <w:bottom w:val="single" w:sz="8" w:color="DDDDDD"/>
            </w:tcBorders>
            <w:shd w:val="clear" w:color="auto" w:fill="DDDDDD"/>
          </w:tcPr>
          <w:p>
            <w:pPr>
              <w:spacing w:after="0"/>
              <w:rPr>
                <w:sz w:val="19"/>
                <w:szCs w:val="19"/>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26.08</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Compensation expense for Time-Based RSUs recognized in SG&amp;A on the condensed consolidated statements of operations was $1.8 million and $2.2 million for the three months ended March 31, 2023 and 2022, respectively. At March 31, 2023, unrecognized compensation cost related to Time-Based RSUs</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totaled $21.6 million and is expected to be recognized over the remaining weighted average vesting period of 2.7 years.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Performance-Based RSUs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Performance-Based RSU award activity for the three months ended March 31, 2023 and 2022:</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20" w:type="dxa"/>
            <w:vAlign w:val="bottom"/>
            <w:shd w:val="clear" w:color="auto" w:fill="1D2758"/>
          </w:tcPr>
          <w:p>
            <w:pPr>
              <w:spacing w:after="0"/>
              <w:rPr>
                <w:sz w:val="17"/>
                <w:szCs w:val="17"/>
                <w:color w:val="auto"/>
              </w:rPr>
            </w:pPr>
          </w:p>
        </w:tc>
        <w:tc>
          <w:tcPr>
            <w:tcW w:w="19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2023</w:t>
            </w:r>
          </w:p>
        </w:tc>
        <w:tc>
          <w:tcPr>
            <w:tcW w:w="1620" w:type="dxa"/>
            <w:vAlign w:val="bottom"/>
            <w:gridSpan w:val="2"/>
            <w:vMerge w:val="restart"/>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Weighted-Average</w:t>
            </w:r>
          </w:p>
        </w:tc>
        <w:tc>
          <w:tcPr>
            <w:tcW w:w="194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15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760" w:type="dxa"/>
            <w:vAlign w:val="bottom"/>
            <w:gridSpan w:val="2"/>
            <w:vMerge w:val="restart"/>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60" w:type="dxa"/>
            <w:vAlign w:val="bottom"/>
            <w:shd w:val="clear" w:color="auto" w:fill="1D2758"/>
          </w:tcPr>
          <w:p>
            <w:pPr>
              <w:spacing w:after="0"/>
              <w:rPr>
                <w:sz w:val="13"/>
                <w:szCs w:val="13"/>
                <w:color w:val="auto"/>
              </w:rPr>
            </w:pPr>
          </w:p>
        </w:tc>
        <w:tc>
          <w:tcPr>
            <w:tcW w:w="1620" w:type="dxa"/>
            <w:vAlign w:val="bottom"/>
            <w:gridSpan w:val="2"/>
            <w:vMerge w:val="continue"/>
            <w:shd w:val="clear" w:color="auto" w:fill="1D2758"/>
          </w:tcPr>
          <w:p>
            <w:pPr>
              <w:spacing w:after="0"/>
              <w:rPr>
                <w:sz w:val="13"/>
                <w:szCs w:val="13"/>
                <w:color w:val="auto"/>
              </w:rPr>
            </w:pPr>
          </w:p>
        </w:tc>
        <w:tc>
          <w:tcPr>
            <w:tcW w:w="1780" w:type="dxa"/>
            <w:vAlign w:val="bottom"/>
            <w:gridSpan w:val="2"/>
            <w:vMerge w:val="restart"/>
            <w:shd w:val="clear" w:color="auto" w:fill="1D2758"/>
          </w:tcPr>
          <w:p>
            <w:pPr>
              <w:ind w:left="180"/>
              <w:spacing w:after="0"/>
              <w:rPr>
                <w:sz w:val="20"/>
                <w:szCs w:val="20"/>
                <w:color w:val="auto"/>
              </w:rPr>
            </w:pPr>
            <w:r>
              <w:rPr>
                <w:rFonts w:ascii="Arial" w:cs="Arial" w:eastAsia="Arial" w:hAnsi="Arial"/>
                <w:sz w:val="15"/>
                <w:szCs w:val="15"/>
                <w:b w:val="1"/>
                <w:bCs w:val="1"/>
                <w:color w:val="FFFFFF"/>
              </w:rPr>
              <w:t>Number of Shares</w:t>
            </w:r>
          </w:p>
        </w:tc>
        <w:tc>
          <w:tcPr>
            <w:tcW w:w="160" w:type="dxa"/>
            <w:vAlign w:val="bottom"/>
            <w:shd w:val="clear" w:color="auto" w:fill="1D2758"/>
          </w:tcPr>
          <w:p>
            <w:pPr>
              <w:spacing w:after="0"/>
              <w:rPr>
                <w:sz w:val="13"/>
                <w:szCs w:val="13"/>
                <w:color w:val="auto"/>
              </w:rPr>
            </w:pPr>
          </w:p>
        </w:tc>
        <w:tc>
          <w:tcPr>
            <w:tcW w:w="154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760" w:type="dxa"/>
            <w:vAlign w:val="bottom"/>
            <w:gridSpan w:val="2"/>
            <w:vMerge w:val="continue"/>
            <w:shd w:val="clear" w:color="auto" w:fill="1D2758"/>
          </w:tcPr>
          <w:p>
            <w:pPr>
              <w:spacing w:after="0"/>
              <w:rPr>
                <w:sz w:val="17"/>
                <w:szCs w:val="17"/>
                <w:color w:val="auto"/>
              </w:rPr>
            </w:pPr>
          </w:p>
        </w:tc>
        <w:tc>
          <w:tcPr>
            <w:tcW w:w="1780" w:type="dxa"/>
            <w:vAlign w:val="bottom"/>
            <w:gridSpan w:val="3"/>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Grant Date Fair Value</w:t>
            </w:r>
          </w:p>
        </w:tc>
        <w:tc>
          <w:tcPr>
            <w:tcW w:w="1780" w:type="dxa"/>
            <w:vAlign w:val="bottom"/>
            <w:gridSpan w:val="2"/>
            <w:vMerge w:val="continue"/>
            <w:shd w:val="clear" w:color="auto" w:fill="1D2758"/>
          </w:tcPr>
          <w:p>
            <w:pPr>
              <w:spacing w:after="0"/>
              <w:rPr>
                <w:sz w:val="17"/>
                <w:szCs w:val="17"/>
                <w:color w:val="auto"/>
              </w:rPr>
            </w:pPr>
          </w:p>
        </w:tc>
        <w:tc>
          <w:tcPr>
            <w:tcW w:w="170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0" w:type="dxa"/>
            <w:vAlign w:val="bottom"/>
          </w:tcPr>
          <w:p>
            <w:pPr>
              <w:spacing w:after="0"/>
              <w:rPr>
                <w:sz w:val="1"/>
                <w:szCs w:val="1"/>
                <w:color w:val="auto"/>
              </w:rPr>
            </w:pPr>
          </w:p>
        </w:tc>
      </w:tr>
      <w:tr>
        <w:trPr>
          <w:trHeight w:val="20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1,894,250</w:t>
            </w:r>
          </w:p>
        </w:tc>
        <w:tc>
          <w:tcPr>
            <w:tcW w:w="80" w:type="dxa"/>
            <w:vAlign w:val="bottom"/>
            <w:shd w:val="clear" w:color="auto" w:fill="DDDDDD"/>
          </w:tcPr>
          <w:p>
            <w:pPr>
              <w:spacing w:after="0"/>
              <w:rPr>
                <w:sz w:val="17"/>
                <w:szCs w:val="17"/>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33.67</w:t>
            </w:r>
          </w:p>
        </w:tc>
        <w:tc>
          <w:tcPr>
            <w:tcW w:w="80" w:type="dxa"/>
            <w:vAlign w:val="bottom"/>
            <w:shd w:val="clear" w:color="auto" w:fill="DDDDDD"/>
          </w:tcPr>
          <w:p>
            <w:pPr>
              <w:spacing w:after="0"/>
              <w:rPr>
                <w:sz w:val="17"/>
                <w:szCs w:val="17"/>
                <w:color w:val="auto"/>
              </w:rPr>
            </w:pP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1,536,394</w:t>
            </w:r>
          </w:p>
        </w:tc>
        <w:tc>
          <w:tcPr>
            <w:tcW w:w="80" w:type="dxa"/>
            <w:vAlign w:val="bottom"/>
            <w:shd w:val="clear" w:color="auto" w:fill="DDDDDD"/>
          </w:tcPr>
          <w:p>
            <w:pPr>
              <w:spacing w:after="0"/>
              <w:rPr>
                <w:sz w:val="17"/>
                <w:szCs w:val="17"/>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26.34</w:t>
            </w:r>
          </w:p>
        </w:tc>
        <w:tc>
          <w:tcPr>
            <w:tcW w:w="0" w:type="dxa"/>
            <w:vAlign w:val="bottom"/>
          </w:tcPr>
          <w:p>
            <w:pPr>
              <w:spacing w:after="0"/>
              <w:rPr>
                <w:sz w:val="1"/>
                <w:szCs w:val="1"/>
                <w:color w:val="auto"/>
              </w:rPr>
            </w:pPr>
          </w:p>
        </w:tc>
      </w:tr>
      <w:tr>
        <w:trPr>
          <w:trHeight w:val="205"/>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376,826</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69.32</w:t>
            </w:r>
          </w:p>
        </w:tc>
        <w:tc>
          <w:tcPr>
            <w:tcW w:w="80" w:type="dxa"/>
            <w:vAlign w:val="bottom"/>
          </w:tcPr>
          <w:p>
            <w:pPr>
              <w:spacing w:after="0"/>
              <w:rPr>
                <w:sz w:val="17"/>
                <w:szCs w:val="17"/>
                <w:color w:val="auto"/>
              </w:rPr>
            </w:pP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745,079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42.34</w:t>
            </w:r>
          </w:p>
        </w:tc>
        <w:tc>
          <w:tcPr>
            <w:tcW w:w="0" w:type="dxa"/>
            <w:vAlign w:val="bottom"/>
          </w:tcPr>
          <w:p>
            <w:pPr>
              <w:spacing w:after="0"/>
              <w:rPr>
                <w:sz w:val="1"/>
                <w:szCs w:val="1"/>
                <w:color w:val="auto"/>
              </w:rPr>
            </w:pPr>
          </w:p>
        </w:tc>
      </w:tr>
      <w:tr>
        <w:trPr>
          <w:trHeight w:val="207"/>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760" w:type="dxa"/>
            <w:vAlign w:val="bottom"/>
            <w:gridSpan w:val="2"/>
            <w:shd w:val="clear" w:color="auto" w:fill="DDDDDD"/>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620" w:type="dxa"/>
            <w:vAlign w:val="bottom"/>
            <w:gridSpan w:val="2"/>
            <w:shd w:val="clear" w:color="auto" w:fill="DDDDDD"/>
          </w:tcPr>
          <w:p>
            <w:pPr>
              <w:jc w:val="right"/>
              <w:ind w:right="160"/>
              <w:spacing w:after="0"/>
              <w:rPr>
                <w:sz w:val="20"/>
                <w:szCs w:val="20"/>
                <w:color w:val="auto"/>
              </w:rPr>
            </w:pPr>
            <w:r>
              <w:rPr>
                <w:rFonts w:ascii="Arial" w:cs="Arial" w:eastAsia="Arial" w:hAnsi="Arial"/>
                <w:sz w:val="15"/>
                <w:szCs w:val="15"/>
                <w:color w:val="auto"/>
              </w:rPr>
              <w:t>—</w:t>
            </w:r>
          </w:p>
        </w:tc>
        <w:tc>
          <w:tcPr>
            <w:tcW w:w="1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(5,046)</w:t>
            </w:r>
          </w:p>
        </w:tc>
        <w:tc>
          <w:tcPr>
            <w:tcW w:w="80" w:type="dxa"/>
            <w:vAlign w:val="bottom"/>
            <w:shd w:val="clear" w:color="auto" w:fill="DDDDDD"/>
          </w:tcPr>
          <w:p>
            <w:pPr>
              <w:spacing w:after="0"/>
              <w:rPr>
                <w:sz w:val="18"/>
                <w:szCs w:val="18"/>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39.10</w:t>
            </w:r>
          </w:p>
        </w:tc>
        <w:tc>
          <w:tcPr>
            <w:tcW w:w="0" w:type="dxa"/>
            <w:vAlign w:val="bottom"/>
          </w:tcPr>
          <w:p>
            <w:pPr>
              <w:spacing w:after="0"/>
              <w:rPr>
                <w:sz w:val="1"/>
                <w:szCs w:val="1"/>
                <w:color w:val="auto"/>
              </w:rPr>
            </w:pPr>
          </w:p>
        </w:tc>
      </w:tr>
      <w:tr>
        <w:trPr>
          <w:trHeight w:val="205"/>
        </w:trPr>
        <w:tc>
          <w:tcPr>
            <w:tcW w:w="422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(181,319)</w:t>
            </w:r>
          </w:p>
        </w:tc>
        <w:tc>
          <w:tcPr>
            <w:tcW w:w="80" w:type="dxa"/>
            <w:vAlign w:val="bottom"/>
            <w:tcBorders>
              <w:bottom w:val="single" w:sz="8" w:color="DDDDDD"/>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16.82</w:t>
            </w:r>
          </w:p>
        </w:tc>
        <w:tc>
          <w:tcPr>
            <w:tcW w:w="80" w:type="dxa"/>
            <w:vAlign w:val="bottom"/>
            <w:tcBorders>
              <w:bottom w:val="single" w:sz="8" w:color="DDDDDD"/>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(267,964)</w:t>
            </w:r>
          </w:p>
        </w:tc>
        <w:tc>
          <w:tcPr>
            <w:tcW w:w="80" w:type="dxa"/>
            <w:vAlign w:val="bottom"/>
            <w:tcBorders>
              <w:bottom w:val="single" w:sz="8" w:color="DDDDDD"/>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13.22</w:t>
            </w:r>
          </w:p>
        </w:tc>
        <w:tc>
          <w:tcPr>
            <w:tcW w:w="0" w:type="dxa"/>
            <w:vAlign w:val="bottom"/>
          </w:tcPr>
          <w:p>
            <w:pPr>
              <w:spacing w:after="0"/>
              <w:rPr>
                <w:sz w:val="1"/>
                <w:szCs w:val="1"/>
                <w:color w:val="auto"/>
              </w:rPr>
            </w:pPr>
          </w:p>
        </w:tc>
      </w:tr>
      <w:tr>
        <w:trPr>
          <w:trHeight w:val="224"/>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2,089,757</w:t>
            </w:r>
          </w:p>
        </w:tc>
        <w:tc>
          <w:tcPr>
            <w:tcW w:w="80" w:type="dxa"/>
            <w:vAlign w:val="bottom"/>
            <w:tcBorders>
              <w:bottom w:val="single" w:sz="8" w:color="DDDDDD"/>
            </w:tcBorders>
            <w:shd w:val="clear" w:color="auto" w:fill="DDDDDD"/>
          </w:tcPr>
          <w:p>
            <w:pPr>
              <w:spacing w:after="0"/>
              <w:rPr>
                <w:sz w:val="19"/>
                <w:szCs w:val="19"/>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41.56</w:t>
            </w:r>
          </w:p>
        </w:tc>
        <w:tc>
          <w:tcPr>
            <w:tcW w:w="80" w:type="dxa"/>
            <w:vAlign w:val="bottom"/>
            <w:tcBorders>
              <w:bottom w:val="single" w:sz="8" w:color="DDDDDD"/>
            </w:tcBorders>
            <w:shd w:val="clear" w:color="auto" w:fill="DDDDDD"/>
          </w:tcPr>
          <w:p>
            <w:pPr>
              <w:spacing w:after="0"/>
              <w:rPr>
                <w:sz w:val="19"/>
                <w:szCs w:val="19"/>
                <w:color w:val="auto"/>
              </w:rPr>
            </w:pP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2,008,463</w:t>
            </w:r>
          </w:p>
        </w:tc>
        <w:tc>
          <w:tcPr>
            <w:tcW w:w="80" w:type="dxa"/>
            <w:vAlign w:val="bottom"/>
            <w:tcBorders>
              <w:bottom w:val="single" w:sz="8" w:color="DDDDDD"/>
            </w:tcBorders>
            <w:shd w:val="clear" w:color="auto" w:fill="DDDDDD"/>
          </w:tcPr>
          <w:p>
            <w:pPr>
              <w:spacing w:after="0"/>
              <w:rPr>
                <w:sz w:val="19"/>
                <w:szCs w:val="19"/>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33.99</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54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1" w:name="page22"/>
    <w:bookmarkEnd w:id="21"/>
    <w:p>
      <w:pPr>
        <w:jc w:val="both"/>
        <w:ind w:firstLine="619"/>
        <w:spacing w:after="0" w:line="281" w:lineRule="auto"/>
        <w:rPr>
          <w:sz w:val="20"/>
          <w:szCs w:val="20"/>
          <w:color w:val="auto"/>
        </w:rPr>
      </w:pPr>
      <w:r>
        <w:rPr>
          <w:rFonts w:ascii="Arial" w:cs="Arial" w:eastAsia="Arial" w:hAnsi="Arial"/>
          <w:sz w:val="15"/>
          <w:szCs w:val="15"/>
          <w:color w:val="auto"/>
        </w:rPr>
        <w:t>Compensation expense for Performance-Based RSUs recognized in SG&amp;A on the condensed consolidated statements of operations was $5.8 million and $3.8 million for the three months ended March 31, 2023 and 2022, respectively. At March 31, 2023, unrecognized compensation cost related to Performance-Based RSUs totaled $56.2 million and is expected to be recognized over the remaining vesting period of 2.1 years.</w:t>
      </w:r>
    </w:p>
    <w:p>
      <w:pPr>
        <w:jc w:val="both"/>
        <w:ind w:firstLine="619"/>
        <w:spacing w:after="0" w:line="270" w:lineRule="auto"/>
        <w:rPr>
          <w:sz w:val="20"/>
          <w:szCs w:val="20"/>
          <w:color w:val="auto"/>
        </w:rPr>
      </w:pPr>
      <w:r>
        <w:rPr>
          <w:rFonts w:ascii="Arial" w:cs="Arial" w:eastAsia="Arial" w:hAnsi="Arial"/>
          <w:sz w:val="15"/>
          <w:szCs w:val="15"/>
          <w:color w:val="auto"/>
        </w:rPr>
        <w:t>Certain Performance-Based RSUs cliff vest based on achievement of the relative total stockholder return ("TSR") of the Company's Common Stock as compared to the TSR of the constituents in an index at the grant date over the performance period of three years. For 2023 grants, the TSR of the Company's Common Stock is compared to the TSR of the constituents in the S&amp;P 400 Index. The target number of RSUs may be adjusted from 0% to 200% based on the TSR attainment levels defined by the Company's Compensation Committee. The 100% target payout is tied to performance at the 50% percentile, with a payout curve ranging from 0% (for performance less than the 25% percentile) to 200% (for performance above the 85% percentile).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stock option activity for the three months ended March 31, 2023:</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shd w:val="clear" w:color="auto" w:fill="1D2758"/>
          </w:tcPr>
          <w:p>
            <w:pPr>
              <w:spacing w:after="0"/>
              <w:rPr>
                <w:sz w:val="14"/>
                <w:szCs w:val="14"/>
                <w:color w:val="auto"/>
              </w:rPr>
            </w:pPr>
          </w:p>
        </w:tc>
        <w:tc>
          <w:tcPr>
            <w:tcW w:w="168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Weighted-Average</w:t>
            </w:r>
          </w:p>
        </w:tc>
        <w:tc>
          <w:tcPr>
            <w:tcW w:w="1780" w:type="dxa"/>
            <w:vAlign w:val="bottom"/>
            <w:gridSpan w:val="2"/>
            <w:vMerge w:val="restart"/>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Converted</w:t>
            </w:r>
          </w:p>
        </w:tc>
        <w:tc>
          <w:tcPr>
            <w:tcW w:w="140" w:type="dxa"/>
            <w:vAlign w:val="bottom"/>
            <w:shd w:val="clear" w:color="auto" w:fill="1D2758"/>
          </w:tcPr>
          <w:p>
            <w:pPr>
              <w:spacing w:after="0"/>
              <w:rPr>
                <w:sz w:val="14"/>
                <w:szCs w:val="14"/>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760" w:type="dxa"/>
            <w:vAlign w:val="bottom"/>
            <w:gridSpan w:val="2"/>
            <w:vMerge w:val="restart"/>
            <w:shd w:val="clear" w:color="auto" w:fill="1D2758"/>
          </w:tcPr>
          <w:p>
            <w:pPr>
              <w:ind w:left="220"/>
              <w:spacing w:after="0"/>
              <w:rPr>
                <w:sz w:val="20"/>
                <w:szCs w:val="20"/>
                <w:color w:val="auto"/>
              </w:rPr>
            </w:pPr>
            <w:r>
              <w:rPr>
                <w:rFonts w:ascii="Arial" w:cs="Arial" w:eastAsia="Arial" w:hAnsi="Arial"/>
                <w:sz w:val="15"/>
                <w:szCs w:val="15"/>
                <w:b w:val="1"/>
                <w:bCs w:val="1"/>
                <w:color w:val="FFFFFF"/>
              </w:rPr>
              <w:t>WillScot Options</w:t>
            </w:r>
          </w:p>
        </w:tc>
        <w:tc>
          <w:tcPr>
            <w:tcW w:w="140" w:type="dxa"/>
            <w:vAlign w:val="bottom"/>
            <w:shd w:val="clear" w:color="auto" w:fill="1D2758"/>
          </w:tcPr>
          <w:p>
            <w:pPr>
              <w:spacing w:after="0"/>
              <w:rPr>
                <w:sz w:val="13"/>
                <w:szCs w:val="13"/>
                <w:color w:val="auto"/>
              </w:rPr>
            </w:pPr>
          </w:p>
        </w:tc>
        <w:tc>
          <w:tcPr>
            <w:tcW w:w="1640" w:type="dxa"/>
            <w:vAlign w:val="bottom"/>
            <w:gridSpan w:val="2"/>
            <w:shd w:val="clear" w:color="auto" w:fill="1D2758"/>
          </w:tcPr>
          <w:p>
            <w:pPr>
              <w:jc w:val="center"/>
              <w:ind w:right="220"/>
              <w:spacing w:after="0" w:line="155" w:lineRule="exact"/>
              <w:rPr>
                <w:sz w:val="20"/>
                <w:szCs w:val="20"/>
                <w:color w:val="auto"/>
              </w:rPr>
            </w:pPr>
            <w:r>
              <w:rPr>
                <w:rFonts w:ascii="Arial" w:cs="Arial" w:eastAsia="Arial" w:hAnsi="Arial"/>
                <w:sz w:val="15"/>
                <w:szCs w:val="15"/>
                <w:b w:val="1"/>
                <w:bCs w:val="1"/>
                <w:color w:val="FFFFFF"/>
              </w:rPr>
              <w:t>Exercise Price per</w:t>
            </w:r>
          </w:p>
        </w:tc>
        <w:tc>
          <w:tcPr>
            <w:tcW w:w="1780" w:type="dxa"/>
            <w:vAlign w:val="bottom"/>
            <w:gridSpan w:val="2"/>
            <w:vMerge w:val="continue"/>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56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Exercise Price per</w:t>
            </w: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760" w:type="dxa"/>
            <w:vAlign w:val="bottom"/>
            <w:gridSpan w:val="2"/>
            <w:vMerge w:val="continue"/>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Share</w:t>
            </w:r>
          </w:p>
        </w:tc>
        <w:tc>
          <w:tcPr>
            <w:tcW w:w="1780" w:type="dxa"/>
            <w:vAlign w:val="bottom"/>
            <w:gridSpan w:val="2"/>
            <w:shd w:val="clear" w:color="auto" w:fill="1D2758"/>
          </w:tcPr>
          <w:p>
            <w:pPr>
              <w:jc w:val="center"/>
              <w:ind w:right="80"/>
              <w:spacing w:after="0"/>
              <w:rPr>
                <w:sz w:val="20"/>
                <w:szCs w:val="20"/>
                <w:color w:val="auto"/>
              </w:rPr>
            </w:pPr>
            <w:r>
              <w:rPr>
                <w:rFonts w:ascii="Arial" w:cs="Arial" w:eastAsia="Arial" w:hAnsi="Arial"/>
                <w:sz w:val="15"/>
                <w:szCs w:val="15"/>
                <w:b w:val="1"/>
                <w:bCs w:val="1"/>
                <w:color w:val="FFFFFF"/>
              </w:rPr>
              <w:t>Mobile Mini Options</w:t>
            </w:r>
          </w:p>
        </w:tc>
        <w:tc>
          <w:tcPr>
            <w:tcW w:w="140" w:type="dxa"/>
            <w:vAlign w:val="bottom"/>
            <w:shd w:val="clear" w:color="auto" w:fill="1D2758"/>
          </w:tcPr>
          <w:p>
            <w:pPr>
              <w:spacing w:after="0"/>
              <w:rPr>
                <w:sz w:val="17"/>
                <w:szCs w:val="17"/>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Share</w:t>
            </w:r>
          </w:p>
        </w:tc>
        <w:tc>
          <w:tcPr>
            <w:tcW w:w="0" w:type="dxa"/>
            <w:vAlign w:val="bottom"/>
          </w:tcPr>
          <w:p>
            <w:pPr>
              <w:spacing w:after="0"/>
              <w:rPr>
                <w:sz w:val="1"/>
                <w:szCs w:val="1"/>
                <w:color w:val="auto"/>
              </w:rPr>
            </w:pPr>
          </w:p>
        </w:tc>
      </w:tr>
      <w:tr>
        <w:trPr>
          <w:trHeight w:val="20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shd w:val="clear" w:color="auto" w:fill="DDDDDD"/>
          </w:tcPr>
          <w:p>
            <w:pPr>
              <w:spacing w:after="0"/>
              <w:rPr>
                <w:sz w:val="17"/>
                <w:szCs w:val="17"/>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shd w:val="clear" w:color="auto" w:fill="DDDDDD"/>
          </w:tcPr>
          <w:p>
            <w:pPr>
              <w:spacing w:after="0"/>
              <w:rPr>
                <w:sz w:val="17"/>
                <w:szCs w:val="17"/>
                <w:color w:val="auto"/>
              </w:rPr>
            </w:pP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864,276</w:t>
            </w:r>
          </w:p>
        </w:tc>
        <w:tc>
          <w:tcPr>
            <w:tcW w:w="80" w:type="dxa"/>
            <w:vAlign w:val="bottom"/>
            <w:shd w:val="clear" w:color="auto" w:fill="DDDDDD"/>
          </w:tcPr>
          <w:p>
            <w:pPr>
              <w:spacing w:after="0"/>
              <w:rPr>
                <w:sz w:val="17"/>
                <w:szCs w:val="17"/>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12.91</w:t>
            </w:r>
          </w:p>
        </w:tc>
        <w:tc>
          <w:tcPr>
            <w:tcW w:w="0" w:type="dxa"/>
            <w:vAlign w:val="bottom"/>
          </w:tcPr>
          <w:p>
            <w:pPr>
              <w:spacing w:after="0"/>
              <w:rPr>
                <w:sz w:val="1"/>
                <w:szCs w:val="1"/>
                <w:color w:val="auto"/>
              </w:rPr>
            </w:pPr>
          </w:p>
        </w:tc>
      </w:tr>
      <w:tr>
        <w:trPr>
          <w:trHeight w:val="205"/>
        </w:trPr>
        <w:tc>
          <w:tcPr>
            <w:tcW w:w="4220" w:type="dxa"/>
            <w:vAlign w:val="bottom"/>
          </w:tcPr>
          <w:p>
            <w:pPr>
              <w:ind w:left="220"/>
              <w:spacing w:after="0"/>
              <w:rPr>
                <w:sz w:val="20"/>
                <w:szCs w:val="20"/>
                <w:color w:val="auto"/>
              </w:rPr>
            </w:pPr>
            <w:r>
              <w:rPr>
                <w:rFonts w:ascii="Arial" w:cs="Arial" w:eastAsia="Arial" w:hAnsi="Arial"/>
                <w:sz w:val="15"/>
                <w:szCs w:val="15"/>
                <w:color w:val="auto"/>
              </w:rPr>
              <w:t>Exercised</w:t>
            </w:r>
          </w:p>
        </w:tc>
        <w:tc>
          <w:tcPr>
            <w:tcW w:w="1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(5,774)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11.79</w:t>
            </w:r>
          </w:p>
        </w:tc>
        <w:tc>
          <w:tcPr>
            <w:tcW w:w="0" w:type="dxa"/>
            <w:vAlign w:val="bottom"/>
          </w:tcPr>
          <w:p>
            <w:pPr>
              <w:spacing w:after="0"/>
              <w:rPr>
                <w:sz w:val="1"/>
                <w:szCs w:val="1"/>
                <w:color w:val="auto"/>
              </w:rPr>
            </w:pPr>
          </w:p>
        </w:tc>
      </w:tr>
      <w:tr>
        <w:trPr>
          <w:trHeight w:val="224"/>
        </w:trPr>
        <w:tc>
          <w:tcPr>
            <w:tcW w:w="422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tcBorders>
              <w:top w:val="single" w:sz="8" w:color="auto"/>
              <w:bottom w:val="single" w:sz="8" w:color="DDDDDD"/>
            </w:tcBorders>
            <w:shd w:val="clear" w:color="auto" w:fill="DDDDDD"/>
          </w:tcPr>
          <w:p>
            <w:pPr>
              <w:spacing w:after="0"/>
              <w:rPr>
                <w:sz w:val="19"/>
                <w:szCs w:val="19"/>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Borders>
              <w:top w:val="single" w:sz="8" w:color="DDDDDD"/>
              <w:bottom w:val="single" w:sz="8" w:color="DDDDDD"/>
            </w:tcBorders>
            <w:shd w:val="clear" w:color="auto" w:fill="DDDDDD"/>
          </w:tcPr>
          <w:p>
            <w:pPr>
              <w:spacing w:after="0"/>
              <w:rPr>
                <w:sz w:val="19"/>
                <w:szCs w:val="19"/>
                <w:color w:val="auto"/>
              </w:rPr>
            </w:pPr>
          </w:p>
        </w:tc>
        <w:tc>
          <w:tcPr>
            <w:tcW w:w="1700" w:type="dxa"/>
            <w:vAlign w:val="bottom"/>
            <w:tcBorders>
              <w:top w:val="single" w:sz="8" w:color="auto"/>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858,502</w:t>
            </w:r>
          </w:p>
        </w:tc>
        <w:tc>
          <w:tcPr>
            <w:tcW w:w="80" w:type="dxa"/>
            <w:vAlign w:val="bottom"/>
            <w:tcBorders>
              <w:top w:val="single" w:sz="8" w:color="auto"/>
              <w:bottom w:val="single" w:sz="8" w:color="DDDDDD"/>
            </w:tcBorders>
            <w:shd w:val="clear" w:color="auto" w:fill="DDDDDD"/>
          </w:tcPr>
          <w:p>
            <w:pPr>
              <w:spacing w:after="0"/>
              <w:rPr>
                <w:sz w:val="19"/>
                <w:szCs w:val="19"/>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12.92</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220" w:type="dxa"/>
            <w:vAlign w:val="bottom"/>
            <w:tcBorders>
              <w:bottom w:val="single" w:sz="8" w:color="DDDDDD"/>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Fully vested and exercisable options, March 31, 2023</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Borders>
              <w:bottom w:val="single" w:sz="8" w:color="DDDDDD"/>
            </w:tcBorders>
            <w:shd w:val="clear" w:color="auto" w:fill="DDDDDD"/>
          </w:tcPr>
          <w:p>
            <w:pPr>
              <w:spacing w:after="0"/>
              <w:rPr>
                <w:sz w:val="18"/>
                <w:szCs w:val="18"/>
                <w:color w:val="auto"/>
              </w:rPr>
            </w:pP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858,502</w:t>
            </w:r>
          </w:p>
        </w:tc>
        <w:tc>
          <w:tcPr>
            <w:tcW w:w="8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12.92</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stock option activity for the three months ended March 31, 2022:</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shd w:val="clear" w:color="auto" w:fill="1D2758"/>
          </w:tcPr>
          <w:p>
            <w:pPr>
              <w:spacing w:after="0"/>
              <w:rPr>
                <w:sz w:val="14"/>
                <w:szCs w:val="14"/>
                <w:color w:val="auto"/>
              </w:rPr>
            </w:pPr>
          </w:p>
        </w:tc>
        <w:tc>
          <w:tcPr>
            <w:tcW w:w="168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Weighted-Average</w:t>
            </w:r>
          </w:p>
        </w:tc>
        <w:tc>
          <w:tcPr>
            <w:tcW w:w="1780" w:type="dxa"/>
            <w:vAlign w:val="bottom"/>
            <w:gridSpan w:val="2"/>
            <w:vMerge w:val="restart"/>
            <w:shd w:val="clear" w:color="auto" w:fill="1D2758"/>
          </w:tcPr>
          <w:p>
            <w:pPr>
              <w:jc w:val="right"/>
              <w:ind w:right="100"/>
              <w:spacing w:after="0"/>
              <w:rPr>
                <w:sz w:val="20"/>
                <w:szCs w:val="20"/>
                <w:color w:val="auto"/>
              </w:rPr>
            </w:pPr>
            <w:r>
              <w:rPr>
                <w:rFonts w:ascii="Arial" w:cs="Arial" w:eastAsia="Arial" w:hAnsi="Arial"/>
                <w:sz w:val="15"/>
                <w:szCs w:val="15"/>
                <w:b w:val="1"/>
                <w:bCs w:val="1"/>
                <w:color w:val="FFFFFF"/>
              </w:rPr>
              <w:t>Converted Mobile Mini</w:t>
            </w:r>
          </w:p>
        </w:tc>
        <w:tc>
          <w:tcPr>
            <w:tcW w:w="140" w:type="dxa"/>
            <w:vAlign w:val="bottom"/>
            <w:shd w:val="clear" w:color="auto" w:fill="1D2758"/>
          </w:tcPr>
          <w:p>
            <w:pPr>
              <w:spacing w:after="0"/>
              <w:rPr>
                <w:sz w:val="14"/>
                <w:szCs w:val="14"/>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760" w:type="dxa"/>
            <w:vAlign w:val="bottom"/>
            <w:gridSpan w:val="2"/>
            <w:vMerge w:val="restart"/>
            <w:shd w:val="clear" w:color="auto" w:fill="1D2758"/>
          </w:tcPr>
          <w:p>
            <w:pPr>
              <w:ind w:left="220"/>
              <w:spacing w:after="0"/>
              <w:rPr>
                <w:sz w:val="20"/>
                <w:szCs w:val="20"/>
                <w:color w:val="auto"/>
              </w:rPr>
            </w:pPr>
            <w:r>
              <w:rPr>
                <w:rFonts w:ascii="Arial" w:cs="Arial" w:eastAsia="Arial" w:hAnsi="Arial"/>
                <w:sz w:val="15"/>
                <w:szCs w:val="15"/>
                <w:b w:val="1"/>
                <w:bCs w:val="1"/>
                <w:color w:val="FFFFFF"/>
              </w:rPr>
              <w:t>WillScot Options</w:t>
            </w:r>
          </w:p>
        </w:tc>
        <w:tc>
          <w:tcPr>
            <w:tcW w:w="140" w:type="dxa"/>
            <w:vAlign w:val="bottom"/>
            <w:shd w:val="clear" w:color="auto" w:fill="1D2758"/>
          </w:tcPr>
          <w:p>
            <w:pPr>
              <w:spacing w:after="0"/>
              <w:rPr>
                <w:sz w:val="13"/>
                <w:szCs w:val="13"/>
                <w:color w:val="auto"/>
              </w:rPr>
            </w:pPr>
          </w:p>
        </w:tc>
        <w:tc>
          <w:tcPr>
            <w:tcW w:w="1640" w:type="dxa"/>
            <w:vAlign w:val="bottom"/>
            <w:gridSpan w:val="2"/>
            <w:shd w:val="clear" w:color="auto" w:fill="1D2758"/>
          </w:tcPr>
          <w:p>
            <w:pPr>
              <w:jc w:val="center"/>
              <w:ind w:right="220"/>
              <w:spacing w:after="0" w:line="155" w:lineRule="exact"/>
              <w:rPr>
                <w:sz w:val="20"/>
                <w:szCs w:val="20"/>
                <w:color w:val="auto"/>
              </w:rPr>
            </w:pPr>
            <w:r>
              <w:rPr>
                <w:rFonts w:ascii="Arial" w:cs="Arial" w:eastAsia="Arial" w:hAnsi="Arial"/>
                <w:sz w:val="15"/>
                <w:szCs w:val="15"/>
                <w:b w:val="1"/>
                <w:bCs w:val="1"/>
                <w:color w:val="FFFFFF"/>
              </w:rPr>
              <w:t>Exercise Price per</w:t>
            </w:r>
          </w:p>
        </w:tc>
        <w:tc>
          <w:tcPr>
            <w:tcW w:w="1780" w:type="dxa"/>
            <w:vAlign w:val="bottom"/>
            <w:gridSpan w:val="2"/>
            <w:vMerge w:val="continue"/>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56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Exercise Price per</w:t>
            </w: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760" w:type="dxa"/>
            <w:vAlign w:val="bottom"/>
            <w:gridSpan w:val="2"/>
            <w:vMerge w:val="continue"/>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640" w:type="dxa"/>
            <w:vAlign w:val="bottom"/>
            <w:gridSpan w:val="2"/>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Share</w:t>
            </w:r>
          </w:p>
        </w:tc>
        <w:tc>
          <w:tcPr>
            <w:tcW w:w="1780" w:type="dxa"/>
            <w:vAlign w:val="bottom"/>
            <w:gridSpan w:val="2"/>
            <w:shd w:val="clear" w:color="auto" w:fill="1D2758"/>
          </w:tcPr>
          <w:p>
            <w:pPr>
              <w:ind w:left="560"/>
              <w:spacing w:after="0"/>
              <w:rPr>
                <w:sz w:val="20"/>
                <w:szCs w:val="20"/>
                <w:color w:val="auto"/>
              </w:rPr>
            </w:pPr>
            <w:r>
              <w:rPr>
                <w:rFonts w:ascii="Arial" w:cs="Arial" w:eastAsia="Arial" w:hAnsi="Arial"/>
                <w:sz w:val="15"/>
                <w:szCs w:val="15"/>
                <w:b w:val="1"/>
                <w:bCs w:val="1"/>
                <w:color w:val="FFFFFF"/>
              </w:rPr>
              <w:t>Options</w:t>
            </w:r>
          </w:p>
        </w:tc>
        <w:tc>
          <w:tcPr>
            <w:tcW w:w="140" w:type="dxa"/>
            <w:vAlign w:val="bottom"/>
            <w:shd w:val="clear" w:color="auto" w:fill="1D2758"/>
          </w:tcPr>
          <w:p>
            <w:pPr>
              <w:spacing w:after="0"/>
              <w:rPr>
                <w:sz w:val="17"/>
                <w:szCs w:val="17"/>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Share</w:t>
            </w:r>
          </w:p>
        </w:tc>
        <w:tc>
          <w:tcPr>
            <w:tcW w:w="0" w:type="dxa"/>
            <w:vAlign w:val="bottom"/>
          </w:tcPr>
          <w:p>
            <w:pPr>
              <w:spacing w:after="0"/>
              <w:rPr>
                <w:sz w:val="1"/>
                <w:szCs w:val="1"/>
                <w:color w:val="auto"/>
              </w:rPr>
            </w:pPr>
          </w:p>
        </w:tc>
      </w:tr>
      <w:tr>
        <w:trPr>
          <w:trHeight w:val="20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Outstanding at beginning of period</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shd w:val="clear" w:color="auto" w:fill="DDDDDD"/>
          </w:tcPr>
          <w:p>
            <w:pPr>
              <w:spacing w:after="0"/>
              <w:rPr>
                <w:sz w:val="17"/>
                <w:szCs w:val="17"/>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shd w:val="clear" w:color="auto" w:fill="DDDDDD"/>
          </w:tcPr>
          <w:p>
            <w:pPr>
              <w:spacing w:after="0"/>
              <w:rPr>
                <w:sz w:val="17"/>
                <w:szCs w:val="17"/>
                <w:color w:val="auto"/>
              </w:rPr>
            </w:pP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1,527,643</w:t>
            </w:r>
          </w:p>
        </w:tc>
        <w:tc>
          <w:tcPr>
            <w:tcW w:w="80" w:type="dxa"/>
            <w:vAlign w:val="bottom"/>
            <w:shd w:val="clear" w:color="auto" w:fill="DDDDDD"/>
          </w:tcPr>
          <w:p>
            <w:pPr>
              <w:spacing w:after="0"/>
              <w:rPr>
                <w:sz w:val="17"/>
                <w:szCs w:val="17"/>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14.66</w:t>
            </w:r>
          </w:p>
        </w:tc>
        <w:tc>
          <w:tcPr>
            <w:tcW w:w="0" w:type="dxa"/>
            <w:vAlign w:val="bottom"/>
          </w:tcPr>
          <w:p>
            <w:pPr>
              <w:spacing w:after="0"/>
              <w:rPr>
                <w:sz w:val="1"/>
                <w:szCs w:val="1"/>
                <w:color w:val="auto"/>
              </w:rPr>
            </w:pPr>
          </w:p>
        </w:tc>
      </w:tr>
      <w:tr>
        <w:trPr>
          <w:trHeight w:val="205"/>
        </w:trPr>
        <w:tc>
          <w:tcPr>
            <w:tcW w:w="4220" w:type="dxa"/>
            <w:vAlign w:val="bottom"/>
          </w:tcPr>
          <w:p>
            <w:pPr>
              <w:ind w:left="220"/>
              <w:spacing w:after="0"/>
              <w:rPr>
                <w:sz w:val="20"/>
                <w:szCs w:val="20"/>
                <w:color w:val="auto"/>
              </w:rPr>
            </w:pPr>
            <w:r>
              <w:rPr>
                <w:rFonts w:ascii="Arial" w:cs="Arial" w:eastAsia="Arial" w:hAnsi="Arial"/>
                <w:sz w:val="15"/>
                <w:szCs w:val="15"/>
                <w:color w:val="auto"/>
              </w:rPr>
              <w:t>Exercised</w:t>
            </w:r>
          </w:p>
        </w:tc>
        <w:tc>
          <w:tcPr>
            <w:tcW w:w="1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(227,258)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14.58</w:t>
            </w:r>
          </w:p>
        </w:tc>
        <w:tc>
          <w:tcPr>
            <w:tcW w:w="0" w:type="dxa"/>
            <w:vAlign w:val="bottom"/>
          </w:tcPr>
          <w:p>
            <w:pPr>
              <w:spacing w:after="0"/>
              <w:rPr>
                <w:sz w:val="1"/>
                <w:szCs w:val="1"/>
                <w:color w:val="auto"/>
              </w:rPr>
            </w:pPr>
          </w:p>
        </w:tc>
      </w:tr>
      <w:tr>
        <w:trPr>
          <w:trHeight w:val="200"/>
        </w:trPr>
        <w:tc>
          <w:tcPr>
            <w:tcW w:w="422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Outstanding at end of period</w:t>
            </w:r>
          </w:p>
        </w:tc>
        <w:tc>
          <w:tcPr>
            <w:tcW w:w="1680" w:type="dxa"/>
            <w:vAlign w:val="bottom"/>
            <w:tcBorders>
              <w:top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tcBorders>
              <w:top w:val="single" w:sz="8" w:color="DDDDDD"/>
            </w:tcBorders>
            <w:shd w:val="clear" w:color="auto" w:fill="DDDDDD"/>
          </w:tcPr>
          <w:p>
            <w:pPr>
              <w:spacing w:after="0"/>
              <w:rPr>
                <w:sz w:val="17"/>
                <w:szCs w:val="17"/>
                <w:color w:val="auto"/>
              </w:rPr>
            </w:pPr>
          </w:p>
        </w:tc>
        <w:tc>
          <w:tcPr>
            <w:tcW w:w="1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Borders>
              <w:top w:val="single" w:sz="8" w:color="DDDDDD"/>
            </w:tcBorders>
            <w:shd w:val="clear" w:color="auto" w:fill="DDDDDD"/>
          </w:tcPr>
          <w:p>
            <w:pPr>
              <w:spacing w:after="0"/>
              <w:rPr>
                <w:sz w:val="17"/>
                <w:szCs w:val="17"/>
                <w:color w:val="auto"/>
              </w:rPr>
            </w:pPr>
          </w:p>
        </w:tc>
        <w:tc>
          <w:tcPr>
            <w:tcW w:w="1700" w:type="dxa"/>
            <w:vAlign w:val="bottom"/>
            <w:tcBorders>
              <w:top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1,300,385</w:t>
            </w:r>
          </w:p>
        </w:tc>
        <w:tc>
          <w:tcPr>
            <w:tcW w:w="80" w:type="dxa"/>
            <w:vAlign w:val="bottom"/>
            <w:tcBorders>
              <w:top w:val="single" w:sz="8" w:color="DDDDDD"/>
            </w:tcBorders>
            <w:shd w:val="clear" w:color="auto" w:fill="DDDDDD"/>
          </w:tcPr>
          <w:p>
            <w:pPr>
              <w:spacing w:after="0"/>
              <w:rPr>
                <w:sz w:val="17"/>
                <w:szCs w:val="17"/>
                <w:color w:val="auto"/>
              </w:rPr>
            </w:pPr>
          </w:p>
        </w:tc>
        <w:tc>
          <w:tcPr>
            <w:tcW w:w="1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14.67</w:t>
            </w:r>
          </w:p>
        </w:tc>
        <w:tc>
          <w:tcPr>
            <w:tcW w:w="0" w:type="dxa"/>
            <w:vAlign w:val="bottom"/>
          </w:tcPr>
          <w:p>
            <w:pPr>
              <w:spacing w:after="0"/>
              <w:rPr>
                <w:sz w:val="1"/>
                <w:szCs w:val="1"/>
                <w:color w:val="auto"/>
              </w:rPr>
            </w:pPr>
          </w:p>
        </w:tc>
      </w:tr>
      <w:tr>
        <w:trPr>
          <w:trHeight w:val="245"/>
        </w:trPr>
        <w:tc>
          <w:tcPr>
            <w:tcW w:w="4220" w:type="dxa"/>
            <w:vAlign w:val="bottom"/>
            <w:tcBorders>
              <w:bottom w:val="single" w:sz="8" w:color="DDDDDD"/>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80" w:type="dxa"/>
            <w:vAlign w:val="bottom"/>
            <w:tcBorders>
              <w:bottom w:val="single" w:sz="8" w:color="DDDDDD"/>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80" w:type="dxa"/>
            <w:vAlign w:val="bottom"/>
            <w:tcBorders>
              <w:bottom w:val="single" w:sz="8" w:color="DDDDDD"/>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80" w:type="dxa"/>
            <w:vAlign w:val="bottom"/>
            <w:tcBorders>
              <w:bottom w:val="single" w:sz="8" w:color="DDDDDD"/>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Fully vested and exercisable options, March 31, 2022</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8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13.60</w:t>
            </w:r>
          </w:p>
        </w:tc>
        <w:tc>
          <w:tcPr>
            <w:tcW w:w="80" w:type="dxa"/>
            <w:vAlign w:val="bottom"/>
            <w:tcBorders>
              <w:bottom w:val="single" w:sz="8" w:color="DDDDDD"/>
            </w:tcBorders>
            <w:shd w:val="clear" w:color="auto" w:fill="DDDDDD"/>
          </w:tcPr>
          <w:p>
            <w:pPr>
              <w:spacing w:after="0"/>
              <w:rPr>
                <w:sz w:val="18"/>
                <w:szCs w:val="18"/>
                <w:color w:val="auto"/>
              </w:rPr>
            </w:pP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1,300,385</w:t>
            </w:r>
          </w:p>
        </w:tc>
        <w:tc>
          <w:tcPr>
            <w:tcW w:w="8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14.67</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WillScot Options</w:t>
      </w:r>
    </w:p>
    <w:p>
      <w:pPr>
        <w:spacing w:after="0" w:line="72"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Compensation expense for stock option awards, recognized in SG&amp;A on the condensed consolidated statements of operations, was $0.2 million for the three months ended March 31, 2022.</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1D2758"/>
        </w:rPr>
        <w:t>NOTE 15 - Commitments and Contingencies</w:t>
      </w:r>
    </w:p>
    <w:p>
      <w:pPr>
        <w:spacing w:after="0" w:line="12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March 31, 2023, with respect to these outstanding matters, the Company believes that the amount or range of reasonably possible loss will not, either individually or in the aggregate, have a material adverse effect on the consolidated financial position, results of operations, or cash flows. However, the outcome of such matters is inherently unpredictable and subject to significant uncertainties.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1D2758"/>
        </w:rPr>
        <w:t>NOTE 16 - Segment Reporting</w:t>
      </w:r>
    </w:p>
    <w:p>
      <w:pPr>
        <w:spacing w:after="0" w:line="127"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Company operates in two reportable segments as follows: Modular Solutions ("Modular") and Storage Solutions ("Storage"). Total assets for each reportable segment are not available because the Company utilizes a centralized approach to working capital management. Transactions between reportable segments are not significant. During the first quarter of 2023, the ground level office business within the Modular segment was transferred to the Storage segment, and associated revenues, expenses, and operating metrics were transferred to the Storage segment. All periods presented have been retrospectively revised to reflect this change within the Modular and Storage segments. For the three months ended March 31, 2022, this resulted in approximately $11.1 million of revenue and $6.3 million of gross profit being transferred from the Modular segment to the Storage segment.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22" w:name="page23"/>
    <w:bookmarkEnd w:id="22"/>
    <w:p>
      <w:pPr>
        <w:jc w:val="both"/>
        <w:ind w:firstLine="619"/>
        <w:spacing w:after="0" w:line="264" w:lineRule="auto"/>
        <w:rPr>
          <w:sz w:val="20"/>
          <w:szCs w:val="20"/>
          <w:color w:val="auto"/>
        </w:rPr>
      </w:pPr>
      <w:r>
        <w:rPr>
          <w:rFonts w:ascii="Arial" w:cs="Arial" w:eastAsia="Arial" w:hAnsi="Arial"/>
          <w:sz w:val="15"/>
          <w:szCs w:val="15"/>
          <w:color w:val="auto"/>
        </w:rPr>
        <w:t>The Company defines EBITDA as net income (loss) plus interest (income) expense, income tax (benefit) expense, depreciation and amortization. The Company reflects further adjustments to EBITDA (“Adjusted EBITDA”) to exclude certain non-cash items and the effect of what the Company considers transactions or events not related to its core and ongoing business operations. In addition, the Chief Operating Decision Maker ("CODM") evaluates business segment performance utilizing Adjusted EBITDA as shown in the reconciliation of the Company’s consolidated income from continuing operations to Adjusted EBITDA below. Management believes that evaluating segment performance excluding such items is meaningful because it provides insight with respect to the intrinsic and ongoing operating results of the Company. The Company considers Adjusted EBITDA to be an important metric because it reflects the business performance of the segments, inclusive of indirect costs. The Company also regularly evaluates gross profit by segment to assist in the assessment of its operational performance.</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Reportable Segments</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following tables set forth certain information regarding each of the Company’s reportable segments for the three months ended March 31, 2023 and 2022, respectively.</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58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2880" w:type="dxa"/>
            <w:vAlign w:val="bottom"/>
            <w:gridSpan w:val="4"/>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Three Months Ended March 31, 2023</w:t>
            </w:r>
          </w:p>
        </w:tc>
        <w:tc>
          <w:tcPr>
            <w:tcW w:w="300" w:type="dxa"/>
            <w:vAlign w:val="bottom"/>
            <w:shd w:val="clear" w:color="auto" w:fill="1D2758"/>
          </w:tcPr>
          <w:p>
            <w:pPr>
              <w:spacing w:after="0"/>
              <w:rPr>
                <w:sz w:val="17"/>
                <w:szCs w:val="17"/>
                <w:color w:val="auto"/>
              </w:rPr>
            </w:pPr>
          </w:p>
        </w:tc>
        <w:tc>
          <w:tcPr>
            <w:tcW w:w="10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5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40" w:type="dxa"/>
            <w:vAlign w:val="bottom"/>
            <w:shd w:val="clear" w:color="auto" w:fill="1D2758"/>
          </w:tcPr>
          <w:p>
            <w:pPr>
              <w:spacing w:after="0"/>
              <w:rPr>
                <w:sz w:val="13"/>
                <w:szCs w:val="13"/>
                <w:color w:val="auto"/>
              </w:rPr>
            </w:pPr>
          </w:p>
        </w:tc>
        <w:tc>
          <w:tcPr>
            <w:tcW w:w="1200" w:type="dxa"/>
            <w:vAlign w:val="bottom"/>
            <w:gridSpan w:val="2"/>
            <w:vMerge w:val="restart"/>
            <w:shd w:val="clear" w:color="auto" w:fill="1D2758"/>
          </w:tcPr>
          <w:p>
            <w:pPr>
              <w:ind w:left="140"/>
              <w:spacing w:after="0"/>
              <w:rPr>
                <w:sz w:val="20"/>
                <w:szCs w:val="20"/>
                <w:color w:val="auto"/>
              </w:rPr>
            </w:pPr>
            <w:r>
              <w:rPr>
                <w:rFonts w:ascii="Arial" w:cs="Arial" w:eastAsia="Arial" w:hAnsi="Arial"/>
                <w:sz w:val="15"/>
                <w:szCs w:val="15"/>
                <w:b w:val="1"/>
                <w:bCs w:val="1"/>
                <w:color w:val="FFFFFF"/>
              </w:rPr>
              <w:t>Modular</w:t>
            </w:r>
          </w:p>
        </w:tc>
        <w:tc>
          <w:tcPr>
            <w:tcW w:w="240" w:type="dxa"/>
            <w:vAlign w:val="bottom"/>
            <w:shd w:val="clear" w:color="auto" w:fill="1D2758"/>
          </w:tcPr>
          <w:p>
            <w:pPr>
              <w:spacing w:after="0"/>
              <w:rPr>
                <w:sz w:val="13"/>
                <w:szCs w:val="13"/>
                <w:color w:val="auto"/>
              </w:rPr>
            </w:pPr>
          </w:p>
        </w:tc>
        <w:tc>
          <w:tcPr>
            <w:tcW w:w="1100" w:type="dxa"/>
            <w:vAlign w:val="bottom"/>
            <w:vMerge w:val="restart"/>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Storage</w:t>
            </w:r>
          </w:p>
        </w:tc>
        <w:tc>
          <w:tcPr>
            <w:tcW w:w="260" w:type="dxa"/>
            <w:vAlign w:val="bottom"/>
            <w:shd w:val="clear" w:color="auto" w:fill="1D2758"/>
          </w:tcPr>
          <w:p>
            <w:pPr>
              <w:spacing w:after="0"/>
              <w:rPr>
                <w:sz w:val="13"/>
                <w:szCs w:val="13"/>
                <w:color w:val="auto"/>
              </w:rPr>
            </w:pPr>
          </w:p>
        </w:tc>
        <w:tc>
          <w:tcPr>
            <w:tcW w:w="1280" w:type="dxa"/>
            <w:vAlign w:val="bottom"/>
            <w:shd w:val="clear" w:color="auto" w:fill="1D2758"/>
          </w:tcPr>
          <w:p>
            <w:pPr>
              <w:jc w:val="right"/>
              <w:ind w:right="263"/>
              <w:spacing w:after="0" w:line="155" w:lineRule="exact"/>
              <w:rPr>
                <w:sz w:val="20"/>
                <w:szCs w:val="20"/>
                <w:color w:val="auto"/>
              </w:rPr>
            </w:pPr>
            <w:r>
              <w:rPr>
                <w:rFonts w:ascii="Arial" w:cs="Arial" w:eastAsia="Arial" w:hAnsi="Arial"/>
                <w:sz w:val="15"/>
                <w:szCs w:val="15"/>
                <w:b w:val="1"/>
                <w:bCs w:val="1"/>
                <w:color w:val="FFFFFF"/>
              </w:rPr>
              <w:t>Unallocated</w:t>
            </w:r>
          </w:p>
        </w:tc>
        <w:tc>
          <w:tcPr>
            <w:tcW w:w="30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5580" w:type="dxa"/>
            <w:vAlign w:val="bottom"/>
            <w:vMerge w:val="continue"/>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1200" w:type="dxa"/>
            <w:vAlign w:val="bottom"/>
            <w:gridSpan w:val="2"/>
            <w:vMerge w:val="continue"/>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Costs</w:t>
            </w:r>
          </w:p>
        </w:tc>
        <w:tc>
          <w:tcPr>
            <w:tcW w:w="300" w:type="dxa"/>
            <w:vAlign w:val="bottom"/>
            <w:shd w:val="clear" w:color="auto" w:fill="1D2758"/>
          </w:tcPr>
          <w:p>
            <w:pPr>
              <w:spacing w:after="0"/>
              <w:rPr>
                <w:sz w:val="17"/>
                <w:szCs w:val="17"/>
                <w:color w:val="auto"/>
              </w:rPr>
            </w:pPr>
          </w:p>
        </w:tc>
        <w:tc>
          <w:tcPr>
            <w:tcW w:w="104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2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Leasing</w:t>
            </w: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269,271</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170,680</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439,951</w:t>
            </w: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64,821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41,809</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106,630</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8,921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1,736</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10,657</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2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6,657</w:t>
            </w:r>
          </w:p>
        </w:tc>
        <w:tc>
          <w:tcPr>
            <w:tcW w:w="10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1,573</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8,230</w:t>
            </w:r>
          </w:p>
        </w:tc>
        <w:tc>
          <w:tcPr>
            <w:tcW w:w="0" w:type="dxa"/>
            <w:vAlign w:val="bottom"/>
          </w:tcPr>
          <w:p>
            <w:pPr>
              <w:spacing w:after="0"/>
              <w:rPr>
                <w:sz w:val="1"/>
                <w:szCs w:val="1"/>
                <w:color w:val="auto"/>
              </w:rPr>
            </w:pPr>
          </w:p>
        </w:tc>
      </w:tr>
      <w:tr>
        <w:trPr>
          <w:trHeight w:val="198"/>
        </w:trPr>
        <w:tc>
          <w:tcPr>
            <w:tcW w:w="5580" w:type="dxa"/>
            <w:vAlign w:val="bottom"/>
          </w:tcPr>
          <w:p>
            <w:pPr>
              <w:ind w:left="440"/>
              <w:spacing w:after="0"/>
              <w:rPr>
                <w:sz w:val="20"/>
                <w:szCs w:val="20"/>
                <w:color w:val="auto"/>
              </w:rPr>
            </w:pPr>
            <w:r>
              <w:rPr>
                <w:rFonts w:ascii="Arial" w:cs="Arial" w:eastAsia="Arial" w:hAnsi="Arial"/>
                <w:sz w:val="15"/>
                <w:szCs w:val="15"/>
                <w:color w:val="auto"/>
              </w:rPr>
              <w:t>Total revenues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349,670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215,798</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565,468</w:t>
            </w:r>
          </w:p>
        </w:tc>
        <w:tc>
          <w:tcPr>
            <w:tcW w:w="0" w:type="dxa"/>
            <w:vAlign w:val="bottom"/>
          </w:tcPr>
          <w:p>
            <w:pPr>
              <w:spacing w:after="0"/>
              <w:rPr>
                <w:sz w:val="1"/>
                <w:szCs w:val="1"/>
                <w:color w:val="auto"/>
              </w:rPr>
            </w:pPr>
          </w:p>
        </w:tc>
      </w:tr>
      <w:tr>
        <w:trPr>
          <w:trHeight w:val="246"/>
        </w:trPr>
        <w:tc>
          <w:tcPr>
            <w:tcW w:w="558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0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20"/>
              <w:spacing w:after="0"/>
              <w:rPr>
                <w:sz w:val="20"/>
                <w:szCs w:val="20"/>
                <w:color w:val="auto"/>
              </w:rPr>
            </w:pPr>
            <w:r>
              <w:rPr>
                <w:rFonts w:ascii="Arial" w:cs="Arial" w:eastAsia="Arial" w:hAnsi="Arial"/>
                <w:sz w:val="15"/>
                <w:szCs w:val="15"/>
                <w:color w:val="auto"/>
              </w:rPr>
              <w:t>Costs: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 of leasing and services:</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Leasing</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73,582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23,933</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97,515</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and installation</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51,503</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23,504</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75,007</w:t>
            </w:r>
          </w:p>
        </w:tc>
        <w:tc>
          <w:tcPr>
            <w:tcW w:w="0" w:type="dxa"/>
            <w:vAlign w:val="bottom"/>
          </w:tcPr>
          <w:p>
            <w:pPr>
              <w:spacing w:after="0"/>
              <w:rPr>
                <w:sz w:val="1"/>
                <w:szCs w:val="1"/>
                <w:color w:val="auto"/>
              </w:rPr>
            </w:pPr>
          </w:p>
        </w:tc>
      </w:tr>
      <w:tr>
        <w:trPr>
          <w:trHeight w:val="205"/>
        </w:trPr>
        <w:tc>
          <w:tcPr>
            <w:tcW w:w="558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5,665</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543</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6,208</w:t>
            </w: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3,370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1,084</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4,454</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Depreciation of rental equipment</w:t>
            </w:r>
          </w:p>
        </w:tc>
        <w:tc>
          <w:tcPr>
            <w:tcW w:w="2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50,215</w:t>
            </w:r>
          </w:p>
        </w:tc>
        <w:tc>
          <w:tcPr>
            <w:tcW w:w="10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8,941</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59,156</w:t>
            </w:r>
          </w:p>
        </w:tc>
        <w:tc>
          <w:tcPr>
            <w:tcW w:w="0" w:type="dxa"/>
            <w:vAlign w:val="bottom"/>
          </w:tcPr>
          <w:p>
            <w:pPr>
              <w:spacing w:after="0"/>
              <w:rPr>
                <w:sz w:val="1"/>
                <w:szCs w:val="1"/>
                <w:color w:val="auto"/>
              </w:rPr>
            </w:pPr>
          </w:p>
        </w:tc>
      </w:tr>
      <w:tr>
        <w:trPr>
          <w:trHeight w:val="198"/>
        </w:trPr>
        <w:tc>
          <w:tcPr>
            <w:tcW w:w="5580" w:type="dxa"/>
            <w:vAlign w:val="bottom"/>
          </w:tcPr>
          <w:p>
            <w:pPr>
              <w:ind w:left="440"/>
              <w:spacing w:after="0"/>
              <w:rPr>
                <w:sz w:val="20"/>
                <w:szCs w:val="20"/>
                <w:color w:val="auto"/>
              </w:rPr>
            </w:pPr>
            <w:r>
              <w:rPr>
                <w:rFonts w:ascii="Arial" w:cs="Arial" w:eastAsia="Arial" w:hAnsi="Arial"/>
                <w:sz w:val="15"/>
                <w:szCs w:val="15"/>
                <w:color w:val="auto"/>
              </w:rPr>
              <w:t>Gross profit</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165,335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157,793</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323,128</w:t>
            </w:r>
          </w:p>
        </w:tc>
        <w:tc>
          <w:tcPr>
            <w:tcW w:w="0" w:type="dxa"/>
            <w:vAlign w:val="bottom"/>
          </w:tcPr>
          <w:p>
            <w:pPr>
              <w:spacing w:after="0"/>
              <w:rPr>
                <w:sz w:val="1"/>
                <w:szCs w:val="1"/>
                <w:color w:val="auto"/>
              </w:rPr>
            </w:pPr>
          </w:p>
        </w:tc>
      </w:tr>
      <w:tr>
        <w:trPr>
          <w:trHeight w:val="20"/>
        </w:trPr>
        <w:tc>
          <w:tcPr>
            <w:tcW w:w="558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128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selected data:</w:t>
            </w:r>
          </w:p>
        </w:tc>
        <w:tc>
          <w:tcPr>
            <w:tcW w:w="2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Adjusted EBITDA</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136,964</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109,878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246,842</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 expense</w:t>
            </w: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81,816</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57,675</w:t>
            </w: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11,401</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150,892</w:t>
            </w: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39,412</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7,345</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46,757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6"/>
        </w:trPr>
        <w:tc>
          <w:tcPr>
            <w:tcW w:w="558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2880" w:type="dxa"/>
            <w:vAlign w:val="bottom"/>
            <w:gridSpan w:val="4"/>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Three Months Ended March 31, 2022</w:t>
            </w:r>
          </w:p>
        </w:tc>
        <w:tc>
          <w:tcPr>
            <w:tcW w:w="300" w:type="dxa"/>
            <w:vAlign w:val="bottom"/>
            <w:shd w:val="clear" w:color="auto" w:fill="1D2758"/>
          </w:tcPr>
          <w:p>
            <w:pPr>
              <w:spacing w:after="0"/>
              <w:rPr>
                <w:sz w:val="17"/>
                <w:szCs w:val="17"/>
                <w:color w:val="auto"/>
              </w:rPr>
            </w:pPr>
          </w:p>
        </w:tc>
        <w:tc>
          <w:tcPr>
            <w:tcW w:w="10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5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40" w:type="dxa"/>
            <w:vAlign w:val="bottom"/>
            <w:shd w:val="clear" w:color="auto" w:fill="1D2758"/>
          </w:tcPr>
          <w:p>
            <w:pPr>
              <w:spacing w:after="0"/>
              <w:rPr>
                <w:sz w:val="13"/>
                <w:szCs w:val="13"/>
                <w:color w:val="auto"/>
              </w:rPr>
            </w:pPr>
          </w:p>
        </w:tc>
        <w:tc>
          <w:tcPr>
            <w:tcW w:w="1200" w:type="dxa"/>
            <w:vAlign w:val="bottom"/>
            <w:gridSpan w:val="2"/>
            <w:vMerge w:val="restart"/>
            <w:shd w:val="clear" w:color="auto" w:fill="1D2758"/>
          </w:tcPr>
          <w:p>
            <w:pPr>
              <w:ind w:left="140"/>
              <w:spacing w:after="0"/>
              <w:rPr>
                <w:sz w:val="20"/>
                <w:szCs w:val="20"/>
                <w:color w:val="auto"/>
              </w:rPr>
            </w:pPr>
            <w:r>
              <w:rPr>
                <w:rFonts w:ascii="Arial" w:cs="Arial" w:eastAsia="Arial" w:hAnsi="Arial"/>
                <w:sz w:val="15"/>
                <w:szCs w:val="15"/>
                <w:b w:val="1"/>
                <w:bCs w:val="1"/>
                <w:color w:val="FFFFFF"/>
              </w:rPr>
              <w:t>Modular</w:t>
            </w:r>
          </w:p>
        </w:tc>
        <w:tc>
          <w:tcPr>
            <w:tcW w:w="240" w:type="dxa"/>
            <w:vAlign w:val="bottom"/>
            <w:shd w:val="clear" w:color="auto" w:fill="1D2758"/>
          </w:tcPr>
          <w:p>
            <w:pPr>
              <w:spacing w:after="0"/>
              <w:rPr>
                <w:sz w:val="13"/>
                <w:szCs w:val="13"/>
                <w:color w:val="auto"/>
              </w:rPr>
            </w:pPr>
          </w:p>
        </w:tc>
        <w:tc>
          <w:tcPr>
            <w:tcW w:w="1100" w:type="dxa"/>
            <w:vAlign w:val="bottom"/>
            <w:vMerge w:val="restart"/>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Storage</w:t>
            </w:r>
          </w:p>
        </w:tc>
        <w:tc>
          <w:tcPr>
            <w:tcW w:w="260" w:type="dxa"/>
            <w:vAlign w:val="bottom"/>
            <w:shd w:val="clear" w:color="auto" w:fill="1D2758"/>
          </w:tcPr>
          <w:p>
            <w:pPr>
              <w:spacing w:after="0"/>
              <w:rPr>
                <w:sz w:val="13"/>
                <w:szCs w:val="13"/>
                <w:color w:val="auto"/>
              </w:rPr>
            </w:pPr>
          </w:p>
        </w:tc>
        <w:tc>
          <w:tcPr>
            <w:tcW w:w="1280" w:type="dxa"/>
            <w:vAlign w:val="bottom"/>
            <w:shd w:val="clear" w:color="auto" w:fill="1D2758"/>
          </w:tcPr>
          <w:p>
            <w:pPr>
              <w:jc w:val="right"/>
              <w:ind w:right="263"/>
              <w:spacing w:after="0" w:line="155" w:lineRule="exact"/>
              <w:rPr>
                <w:sz w:val="20"/>
                <w:szCs w:val="20"/>
                <w:color w:val="auto"/>
              </w:rPr>
            </w:pPr>
            <w:r>
              <w:rPr>
                <w:rFonts w:ascii="Arial" w:cs="Arial" w:eastAsia="Arial" w:hAnsi="Arial"/>
                <w:sz w:val="15"/>
                <w:szCs w:val="15"/>
                <w:b w:val="1"/>
                <w:bCs w:val="1"/>
                <w:color w:val="FFFFFF"/>
              </w:rPr>
              <w:t>Unallocated</w:t>
            </w:r>
          </w:p>
        </w:tc>
        <w:tc>
          <w:tcPr>
            <w:tcW w:w="300" w:type="dxa"/>
            <w:vAlign w:val="bottom"/>
            <w:shd w:val="clear" w:color="auto" w:fill="1D2758"/>
          </w:tcPr>
          <w:p>
            <w:pPr>
              <w:spacing w:after="0"/>
              <w:rPr>
                <w:sz w:val="13"/>
                <w:szCs w:val="13"/>
                <w:color w:val="auto"/>
              </w:rPr>
            </w:pPr>
          </w:p>
        </w:tc>
        <w:tc>
          <w:tcPr>
            <w:tcW w:w="1040" w:type="dxa"/>
            <w:vAlign w:val="bottom"/>
            <w:vMerge w:val="restart"/>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5580" w:type="dxa"/>
            <w:vAlign w:val="bottom"/>
            <w:vMerge w:val="continue"/>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1200" w:type="dxa"/>
            <w:vAlign w:val="bottom"/>
            <w:gridSpan w:val="2"/>
            <w:vMerge w:val="continue"/>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1100" w:type="dxa"/>
            <w:vAlign w:val="bottom"/>
            <w:vMerge w:val="continue"/>
            <w:shd w:val="clear" w:color="auto" w:fill="1D2758"/>
          </w:tcPr>
          <w:p>
            <w:pPr>
              <w:spacing w:after="0"/>
              <w:rPr>
                <w:sz w:val="17"/>
                <w:szCs w:val="17"/>
                <w:color w:val="auto"/>
              </w:rPr>
            </w:pPr>
          </w:p>
        </w:tc>
        <w:tc>
          <w:tcPr>
            <w:tcW w:w="26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Costs</w:t>
            </w:r>
          </w:p>
        </w:tc>
        <w:tc>
          <w:tcPr>
            <w:tcW w:w="300" w:type="dxa"/>
            <w:vAlign w:val="bottom"/>
            <w:shd w:val="clear" w:color="auto" w:fill="1D2758"/>
          </w:tcPr>
          <w:p>
            <w:pPr>
              <w:spacing w:after="0"/>
              <w:rPr>
                <w:sz w:val="17"/>
                <w:szCs w:val="17"/>
                <w:color w:val="auto"/>
              </w:rPr>
            </w:pPr>
          </w:p>
        </w:tc>
        <w:tc>
          <w:tcPr>
            <w:tcW w:w="104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2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Leasing</w:t>
            </w: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223,298</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128,261</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351,559</w:t>
            </w: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54,332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31,207</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85,539</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4,844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943</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5,787</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2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6,073</w:t>
            </w:r>
          </w:p>
        </w:tc>
        <w:tc>
          <w:tcPr>
            <w:tcW w:w="10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2,213</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8,286</w:t>
            </w:r>
          </w:p>
        </w:tc>
        <w:tc>
          <w:tcPr>
            <w:tcW w:w="0" w:type="dxa"/>
            <w:vAlign w:val="bottom"/>
          </w:tcPr>
          <w:p>
            <w:pPr>
              <w:spacing w:after="0"/>
              <w:rPr>
                <w:sz w:val="1"/>
                <w:szCs w:val="1"/>
                <w:color w:val="auto"/>
              </w:rPr>
            </w:pPr>
          </w:p>
        </w:tc>
      </w:tr>
      <w:tr>
        <w:trPr>
          <w:trHeight w:val="198"/>
        </w:trPr>
        <w:tc>
          <w:tcPr>
            <w:tcW w:w="558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288,547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162,624</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451,171</w:t>
            </w:r>
          </w:p>
        </w:tc>
        <w:tc>
          <w:tcPr>
            <w:tcW w:w="0" w:type="dxa"/>
            <w:vAlign w:val="bottom"/>
          </w:tcPr>
          <w:p>
            <w:pPr>
              <w:spacing w:after="0"/>
              <w:rPr>
                <w:sz w:val="1"/>
                <w:szCs w:val="1"/>
                <w:color w:val="auto"/>
              </w:rPr>
            </w:pPr>
          </w:p>
        </w:tc>
      </w:tr>
      <w:tr>
        <w:trPr>
          <w:trHeight w:val="259"/>
        </w:trPr>
        <w:tc>
          <w:tcPr>
            <w:tcW w:w="558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10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100" w:type="dxa"/>
            <w:vAlign w:val="bottom"/>
            <w:shd w:val="clear" w:color="auto" w:fill="DBDBDB"/>
          </w:tcPr>
          <w:p>
            <w:pPr>
              <w:spacing w:after="0"/>
              <w:rPr>
                <w:sz w:val="22"/>
                <w:szCs w:val="22"/>
                <w:color w:val="auto"/>
              </w:rPr>
            </w:pPr>
          </w:p>
        </w:tc>
        <w:tc>
          <w:tcPr>
            <w:tcW w:w="260" w:type="dxa"/>
            <w:vAlign w:val="bottom"/>
            <w:shd w:val="clear" w:color="auto" w:fill="DBDBDB"/>
          </w:tcPr>
          <w:p>
            <w:pPr>
              <w:spacing w:after="0"/>
              <w:rPr>
                <w:sz w:val="22"/>
                <w:szCs w:val="22"/>
                <w:color w:val="auto"/>
              </w:rPr>
            </w:pPr>
          </w:p>
        </w:tc>
        <w:tc>
          <w:tcPr>
            <w:tcW w:w="128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104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20"/>
              <w:spacing w:after="0"/>
              <w:rPr>
                <w:sz w:val="20"/>
                <w:szCs w:val="20"/>
                <w:color w:val="auto"/>
              </w:rPr>
            </w:pPr>
            <w:r>
              <w:rPr>
                <w:rFonts w:ascii="Arial" w:cs="Arial" w:eastAsia="Arial" w:hAnsi="Arial"/>
                <w:sz w:val="15"/>
                <w:szCs w:val="15"/>
                <w:color w:val="auto"/>
              </w:rPr>
              <w:t>Costs: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 of leasing and services:</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Leasing</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61,330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19,004</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80,334</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and installation</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47,906</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22,674</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70,580</w:t>
            </w:r>
          </w:p>
        </w:tc>
        <w:tc>
          <w:tcPr>
            <w:tcW w:w="0" w:type="dxa"/>
            <w:vAlign w:val="bottom"/>
          </w:tcPr>
          <w:p>
            <w:pPr>
              <w:spacing w:after="0"/>
              <w:rPr>
                <w:sz w:val="1"/>
                <w:szCs w:val="1"/>
                <w:color w:val="auto"/>
              </w:rPr>
            </w:pPr>
          </w:p>
        </w:tc>
      </w:tr>
      <w:tr>
        <w:trPr>
          <w:trHeight w:val="205"/>
        </w:trPr>
        <w:tc>
          <w:tcPr>
            <w:tcW w:w="558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3,256</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500</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3,756</w:t>
            </w: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3,449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1,443</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4,892</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Depreciation of rental equipment</w:t>
            </w:r>
          </w:p>
        </w:tc>
        <w:tc>
          <w:tcPr>
            <w:tcW w:w="2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50,008</w:t>
            </w:r>
          </w:p>
        </w:tc>
        <w:tc>
          <w:tcPr>
            <w:tcW w:w="10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7,540</w:t>
            </w:r>
          </w:p>
        </w:tc>
        <w:tc>
          <w:tcPr>
            <w:tcW w:w="2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57,548</w:t>
            </w:r>
          </w:p>
        </w:tc>
        <w:tc>
          <w:tcPr>
            <w:tcW w:w="0" w:type="dxa"/>
            <w:vAlign w:val="bottom"/>
          </w:tcPr>
          <w:p>
            <w:pPr>
              <w:spacing w:after="0"/>
              <w:rPr>
                <w:sz w:val="1"/>
                <w:szCs w:val="1"/>
                <w:color w:val="auto"/>
              </w:rPr>
            </w:pPr>
          </w:p>
        </w:tc>
      </w:tr>
      <w:tr>
        <w:trPr>
          <w:trHeight w:val="198"/>
        </w:trPr>
        <w:tc>
          <w:tcPr>
            <w:tcW w:w="5580" w:type="dxa"/>
            <w:vAlign w:val="bottom"/>
          </w:tcPr>
          <w:p>
            <w:pPr>
              <w:ind w:left="440"/>
              <w:spacing w:after="0"/>
              <w:rPr>
                <w:sz w:val="20"/>
                <w:szCs w:val="20"/>
                <w:color w:val="auto"/>
              </w:rPr>
            </w:pPr>
            <w:r>
              <w:rPr>
                <w:rFonts w:ascii="Arial" w:cs="Arial" w:eastAsia="Arial" w:hAnsi="Arial"/>
                <w:sz w:val="15"/>
                <w:szCs w:val="15"/>
                <w:color w:val="auto"/>
              </w:rPr>
              <w:t>Gross profit</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122,598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111,463</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234,061</w:t>
            </w:r>
          </w:p>
        </w:tc>
        <w:tc>
          <w:tcPr>
            <w:tcW w:w="0" w:type="dxa"/>
            <w:vAlign w:val="bottom"/>
          </w:tcPr>
          <w:p>
            <w:pPr>
              <w:spacing w:after="0"/>
              <w:rPr>
                <w:sz w:val="1"/>
                <w:szCs w:val="1"/>
                <w:color w:val="auto"/>
              </w:rPr>
            </w:pPr>
          </w:p>
        </w:tc>
      </w:tr>
      <w:tr>
        <w:trPr>
          <w:trHeight w:val="20"/>
        </w:trPr>
        <w:tc>
          <w:tcPr>
            <w:tcW w:w="558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128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selected data:</w:t>
            </w:r>
          </w:p>
        </w:tc>
        <w:tc>
          <w:tcPr>
            <w:tcW w:w="2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Adjusted EBITDA</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99,586</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68,187</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167,773</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 expense</w:t>
            </w: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74,638</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51,862</w:t>
            </w: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11,644</w:t>
            </w:r>
          </w:p>
        </w:tc>
        <w:tc>
          <w:tcPr>
            <w:tcW w:w="3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138,144</w:t>
            </w: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57,577</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20,171</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77,748</w:t>
            </w:r>
          </w:p>
        </w:tc>
        <w:tc>
          <w:tcPr>
            <w:tcW w:w="0" w:type="dxa"/>
            <w:vAlign w:val="bottom"/>
          </w:tcPr>
          <w:p>
            <w:pPr>
              <w:spacing w:after="0"/>
              <w:rPr>
                <w:sz w:val="1"/>
                <w:szCs w:val="1"/>
                <w:color w:val="auto"/>
              </w:rPr>
            </w:pPr>
          </w:p>
        </w:tc>
      </w:tr>
    </w:tbl>
    <w:p>
      <w:pPr>
        <w:spacing w:after="0" w:line="36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following table presents reconciliations of the Company’s income from continuing operations to Adjusted EBITDA for the three months ended March 31, 2023 and 2022, respectively: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4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3300" w:type="dxa"/>
            <w:vAlign w:val="bottom"/>
            <w:gridSpan w:val="4"/>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Three Months Ended March 31,</w:t>
            </w:r>
          </w:p>
        </w:tc>
      </w:tr>
      <w:tr>
        <w:trPr>
          <w:trHeight w:val="206"/>
        </w:trPr>
        <w:tc>
          <w:tcPr>
            <w:tcW w:w="75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00" w:type="dxa"/>
            <w:vAlign w:val="bottom"/>
            <w:shd w:val="clear" w:color="auto" w:fill="1D2758"/>
          </w:tcPr>
          <w:p>
            <w:pPr>
              <w:spacing w:after="0"/>
              <w:rPr>
                <w:sz w:val="17"/>
                <w:szCs w:val="17"/>
                <w:color w:val="auto"/>
              </w:rPr>
            </w:pPr>
          </w:p>
        </w:tc>
        <w:tc>
          <w:tcPr>
            <w:tcW w:w="140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r>
      <w:tr>
        <w:trPr>
          <w:trHeight w:val="206"/>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w:t>
            </w: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76,271</w:t>
            </w: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39,048</w:t>
            </w:r>
          </w:p>
        </w:tc>
      </w:tr>
      <w:tr>
        <w:trPr>
          <w:trHeight w:val="205"/>
        </w:trPr>
        <w:tc>
          <w:tcPr>
            <w:tcW w:w="7540" w:type="dxa"/>
            <w:vAlign w:val="bottom"/>
          </w:tcPr>
          <w:p>
            <w:pPr>
              <w:ind w:left="220"/>
              <w:spacing w:after="0"/>
              <w:rPr>
                <w:sz w:val="20"/>
                <w:szCs w:val="20"/>
                <w:color w:val="auto"/>
              </w:rPr>
            </w:pPr>
            <w:r>
              <w:rPr>
                <w:rFonts w:ascii="Arial" w:cs="Arial" w:eastAsia="Arial" w:hAnsi="Arial"/>
                <w:sz w:val="15"/>
                <w:szCs w:val="15"/>
                <w:color w:val="auto"/>
              </w:rPr>
              <w:t>Income tax expense from continuing operations</w:t>
            </w:r>
          </w:p>
        </w:tc>
        <w:tc>
          <w:tcPr>
            <w:tcW w:w="4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30,510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12,083</w:t>
            </w:r>
          </w:p>
        </w:tc>
      </w:tr>
      <w:tr>
        <w:trPr>
          <w:trHeight w:val="207"/>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40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44,866</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30,570</w:t>
            </w:r>
          </w:p>
        </w:tc>
      </w:tr>
      <w:tr>
        <w:trPr>
          <w:trHeight w:val="205"/>
        </w:trPr>
        <w:tc>
          <w:tcPr>
            <w:tcW w:w="754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4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76,329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72,910</w:t>
            </w:r>
          </w:p>
        </w:tc>
      </w:tr>
      <w:tr>
        <w:trPr>
          <w:trHeight w:val="207"/>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40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6,775</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137</w:t>
            </w:r>
          </w:p>
        </w:tc>
      </w:tr>
      <w:tr>
        <w:trPr>
          <w:trHeight w:val="205"/>
        </w:trPr>
        <w:tc>
          <w:tcPr>
            <w:tcW w:w="7540" w:type="dxa"/>
            <w:vAlign w:val="bottom"/>
          </w:tcPr>
          <w:p>
            <w:pPr>
              <w:ind w:left="220"/>
              <w:spacing w:after="0"/>
              <w:rPr>
                <w:sz w:val="20"/>
                <w:szCs w:val="20"/>
                <w:color w:val="auto"/>
              </w:rPr>
            </w:pPr>
            <w:r>
              <w:rPr>
                <w:rFonts w:ascii="Arial" w:cs="Arial" w:eastAsia="Arial" w:hAnsi="Arial"/>
                <w:sz w:val="15"/>
                <w:szCs w:val="15"/>
                <w:color w:val="auto"/>
              </w:rPr>
              <w:t>Restructuring costs, lease impairment expense and other related charges</w:t>
            </w:r>
          </w:p>
        </w:tc>
        <w:tc>
          <w:tcPr>
            <w:tcW w:w="4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263</w:t>
            </w:r>
          </w:p>
        </w:tc>
      </w:tr>
      <w:tr>
        <w:trPr>
          <w:trHeight w:val="207"/>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Transaction costs</w:t>
            </w:r>
          </w:p>
        </w:tc>
        <w:tc>
          <w:tcPr>
            <w:tcW w:w="400" w:type="dxa"/>
            <w:vAlign w:val="bottom"/>
            <w:shd w:val="clear" w:color="auto" w:fill="DBDBDB"/>
          </w:tcPr>
          <w:p>
            <w:pPr>
              <w:spacing w:after="0"/>
              <w:rPr>
                <w:sz w:val="18"/>
                <w:szCs w:val="18"/>
                <w:color w:val="auto"/>
              </w:rPr>
            </w:pPr>
          </w:p>
        </w:tc>
        <w:tc>
          <w:tcPr>
            <w:tcW w:w="15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w:t>
            </w:r>
          </w:p>
        </w:tc>
      </w:tr>
      <w:tr>
        <w:trPr>
          <w:trHeight w:val="205"/>
        </w:trPr>
        <w:tc>
          <w:tcPr>
            <w:tcW w:w="7540" w:type="dxa"/>
            <w:vAlign w:val="bottom"/>
          </w:tcPr>
          <w:p>
            <w:pPr>
              <w:ind w:left="220"/>
              <w:spacing w:after="0"/>
              <w:rPr>
                <w:sz w:val="20"/>
                <w:szCs w:val="20"/>
                <w:color w:val="auto"/>
              </w:rPr>
            </w:pPr>
            <w:r>
              <w:rPr>
                <w:rFonts w:ascii="Arial" w:cs="Arial" w:eastAsia="Arial" w:hAnsi="Arial"/>
                <w:sz w:val="15"/>
                <w:szCs w:val="15"/>
                <w:color w:val="auto"/>
              </w:rPr>
              <w:t>Integration costs</w:t>
            </w:r>
          </w:p>
        </w:tc>
        <w:tc>
          <w:tcPr>
            <w:tcW w:w="4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3,873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4,087</w:t>
            </w:r>
          </w:p>
        </w:tc>
      </w:tr>
      <w:tr>
        <w:trPr>
          <w:trHeight w:val="207"/>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compensation expense</w:t>
            </w:r>
          </w:p>
        </w:tc>
        <w:tc>
          <w:tcPr>
            <w:tcW w:w="40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8,150</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6,273</w:t>
            </w:r>
          </w:p>
        </w:tc>
      </w:tr>
      <w:tr>
        <w:trPr>
          <w:trHeight w:val="205"/>
        </w:trPr>
        <w:tc>
          <w:tcPr>
            <w:tcW w:w="75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w:t>
            </w: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10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2,389</w:t>
            </w:r>
          </w:p>
        </w:tc>
      </w:tr>
      <w:tr>
        <w:trPr>
          <w:trHeight w:val="225"/>
        </w:trPr>
        <w:tc>
          <w:tcPr>
            <w:tcW w:w="7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40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246,842</w:t>
            </w:r>
          </w:p>
        </w:tc>
        <w:tc>
          <w:tcPr>
            <w:tcW w:w="100" w:type="dxa"/>
            <w:vAlign w:val="bottom"/>
            <w:tcBorders>
              <w:bottom w:val="single" w:sz="8" w:color="DBDBDB"/>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167,773</w:t>
            </w:r>
          </w:p>
        </w:tc>
      </w:tr>
      <w:tr>
        <w:trPr>
          <w:trHeight w:val="20"/>
        </w:trPr>
        <w:tc>
          <w:tcPr>
            <w:tcW w:w="754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color w:val="1D2758"/>
        </w:rPr>
        <w:t>NOTE 17 - Earnings Per Share</w:t>
      </w:r>
    </w:p>
    <w:p>
      <w:pPr>
        <w:spacing w:after="0" w:line="127" w:lineRule="exact"/>
        <w:rPr>
          <w:sz w:val="20"/>
          <w:szCs w:val="20"/>
          <w:color w:val="auto"/>
        </w:rPr>
      </w:pPr>
    </w:p>
    <w:p>
      <w:pPr>
        <w:ind w:firstLine="619"/>
        <w:spacing w:after="0" w:line="294" w:lineRule="auto"/>
        <w:rPr>
          <w:sz w:val="20"/>
          <w:szCs w:val="20"/>
          <w:color w:val="auto"/>
        </w:rPr>
      </w:pPr>
      <w:r>
        <w:rPr>
          <w:rFonts w:ascii="Arial" w:cs="Arial" w:eastAsia="Arial" w:hAnsi="Arial"/>
          <w:sz w:val="15"/>
          <w:szCs w:val="15"/>
          <w:color w:val="auto"/>
        </w:rPr>
        <w:t>The following table reconciles the weighted average shares outstanding for the basic calculation to the weighted average shares outstanding for the diluted calculation: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4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2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080" w:type="dxa"/>
            <w:vAlign w:val="bottom"/>
            <w:shd w:val="clear" w:color="auto" w:fill="1D2758"/>
          </w:tcPr>
          <w:p>
            <w:pPr>
              <w:spacing w:after="0"/>
              <w:rPr>
                <w:sz w:val="17"/>
                <w:szCs w:val="17"/>
                <w:color w:val="auto"/>
              </w:rPr>
            </w:pPr>
          </w:p>
        </w:tc>
      </w:tr>
      <w:tr>
        <w:trPr>
          <w:trHeight w:val="205"/>
        </w:trPr>
        <w:tc>
          <w:tcPr>
            <w:tcW w:w="754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200" w:type="dxa"/>
            <w:vAlign w:val="bottom"/>
            <w:gridSpan w:val="3"/>
            <w:shd w:val="clear" w:color="auto" w:fill="1D2758"/>
          </w:tcPr>
          <w:p>
            <w:pPr>
              <w:jc w:val="right"/>
              <w:ind w:right="343"/>
              <w:spacing w:after="0"/>
              <w:rPr>
                <w:sz w:val="20"/>
                <w:szCs w:val="20"/>
                <w:color w:val="auto"/>
              </w:rPr>
            </w:pPr>
            <w:r>
              <w:rPr>
                <w:rFonts w:ascii="Arial" w:cs="Arial" w:eastAsia="Arial" w:hAnsi="Arial"/>
                <w:sz w:val="15"/>
                <w:szCs w:val="15"/>
                <w:b w:val="1"/>
                <w:bCs w:val="1"/>
                <w:color w:val="FFFFFF"/>
              </w:rPr>
              <w:t>March 31</w:t>
            </w:r>
          </w:p>
        </w:tc>
        <w:tc>
          <w:tcPr>
            <w:tcW w:w="1080" w:type="dxa"/>
            <w:vAlign w:val="bottom"/>
            <w:shd w:val="clear" w:color="auto" w:fill="1D2758"/>
          </w:tcPr>
          <w:p>
            <w:pPr>
              <w:spacing w:after="0"/>
              <w:rPr>
                <w:sz w:val="17"/>
                <w:szCs w:val="17"/>
                <w:color w:val="auto"/>
              </w:rPr>
            </w:pPr>
          </w:p>
        </w:tc>
      </w:tr>
      <w:tr>
        <w:trPr>
          <w:trHeight w:val="208"/>
        </w:trPr>
        <w:tc>
          <w:tcPr>
            <w:tcW w:w="75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8"/>
                <w:szCs w:val="18"/>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8"/>
                <w:szCs w:val="18"/>
                <w:color w:val="auto"/>
              </w:rPr>
            </w:pPr>
          </w:p>
        </w:tc>
        <w:tc>
          <w:tcPr>
            <w:tcW w:w="720" w:type="dxa"/>
            <w:vAlign w:val="bottom"/>
            <w:shd w:val="clear" w:color="auto" w:fill="1D2758"/>
          </w:tcPr>
          <w:p>
            <w:pPr>
              <w:spacing w:after="0"/>
              <w:rPr>
                <w:sz w:val="18"/>
                <w:szCs w:val="18"/>
                <w:color w:val="auto"/>
              </w:rPr>
            </w:pPr>
          </w:p>
        </w:tc>
        <w:tc>
          <w:tcPr>
            <w:tcW w:w="10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r>
      <w:tr>
        <w:trPr>
          <w:trHeight w:val="206"/>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Numerator:</w:t>
            </w:r>
          </w:p>
        </w:tc>
        <w:tc>
          <w:tcPr>
            <w:tcW w:w="42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r>
      <w:tr>
        <w:trPr>
          <w:trHeight w:val="205"/>
        </w:trPr>
        <w:tc>
          <w:tcPr>
            <w:tcW w:w="7540" w:type="dxa"/>
            <w:vAlign w:val="bottom"/>
          </w:tcPr>
          <w:p>
            <w:pPr>
              <w:ind w:left="20"/>
              <w:spacing w:after="0"/>
              <w:rPr>
                <w:sz w:val="20"/>
                <w:szCs w:val="20"/>
                <w:color w:val="auto"/>
              </w:rPr>
            </w:pPr>
            <w:r>
              <w:rPr>
                <w:rFonts w:ascii="Arial" w:cs="Arial" w:eastAsia="Arial" w:hAnsi="Arial"/>
                <w:sz w:val="15"/>
                <w:szCs w:val="15"/>
                <w:color w:val="auto"/>
              </w:rPr>
              <w:t>Income from continuing operations</w:t>
            </w: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76,271</w:t>
            </w:r>
          </w:p>
        </w:tc>
        <w:tc>
          <w:tcPr>
            <w:tcW w:w="100" w:type="dxa"/>
            <w:vAlign w:val="bottom"/>
          </w:tcPr>
          <w:p>
            <w:pPr>
              <w:spacing w:after="0"/>
              <w:rPr>
                <w:sz w:val="17"/>
                <w:szCs w:val="17"/>
                <w:color w:val="auto"/>
              </w:rPr>
            </w:pPr>
          </w:p>
        </w:tc>
        <w:tc>
          <w:tcPr>
            <w:tcW w:w="720" w:type="dxa"/>
            <w:vAlign w:val="bottom"/>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39,048</w:t>
            </w:r>
          </w:p>
        </w:tc>
      </w:tr>
      <w:tr>
        <w:trPr>
          <w:trHeight w:val="206"/>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42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134,613</w:t>
            </w:r>
          </w:p>
        </w:tc>
        <w:tc>
          <w:tcPr>
            <w:tcW w:w="100" w:type="dxa"/>
            <w:vAlign w:val="bottom"/>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12,123</w:t>
            </w:r>
          </w:p>
        </w:tc>
      </w:tr>
      <w:tr>
        <w:trPr>
          <w:trHeight w:val="200"/>
        </w:trPr>
        <w:tc>
          <w:tcPr>
            <w:tcW w:w="75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210,884</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51,171</w:t>
            </w:r>
          </w:p>
        </w:tc>
      </w:tr>
      <w:tr>
        <w:trPr>
          <w:trHeight w:val="20"/>
        </w:trPr>
        <w:tc>
          <w:tcPr>
            <w:tcW w:w="7540" w:type="dxa"/>
            <w:vAlign w:val="bottom"/>
            <w:tcBorders>
              <w:bottom w:val="single" w:sz="8" w:color="DBDBDB"/>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754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7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05"/>
        </w:trPr>
        <w:tc>
          <w:tcPr>
            <w:tcW w:w="7540" w:type="dxa"/>
            <w:vAlign w:val="bottom"/>
          </w:tcPr>
          <w:p>
            <w:pPr>
              <w:ind w:left="20"/>
              <w:spacing w:after="0"/>
              <w:rPr>
                <w:sz w:val="20"/>
                <w:szCs w:val="20"/>
                <w:color w:val="auto"/>
              </w:rPr>
            </w:pPr>
            <w:r>
              <w:rPr>
                <w:rFonts w:ascii="Arial" w:cs="Arial" w:eastAsia="Arial" w:hAnsi="Arial"/>
                <w:sz w:val="15"/>
                <w:szCs w:val="15"/>
                <w:color w:val="auto"/>
              </w:rPr>
              <w:t>Denominator:</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Common Shares outstanding – basic</w:t>
            </w: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206,092</w:t>
            </w:r>
          </w:p>
        </w:tc>
        <w:tc>
          <w:tcPr>
            <w:tcW w:w="10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223,491</w:t>
            </w:r>
          </w:p>
        </w:tc>
      </w:tr>
      <w:tr>
        <w:trPr>
          <w:trHeight w:val="205"/>
        </w:trPr>
        <w:tc>
          <w:tcPr>
            <w:tcW w:w="7540" w:type="dxa"/>
            <w:vAlign w:val="bottom"/>
          </w:tcPr>
          <w:p>
            <w:pPr>
              <w:ind w:left="220"/>
              <w:spacing w:after="0"/>
              <w:rPr>
                <w:sz w:val="20"/>
                <w:szCs w:val="20"/>
                <w:color w:val="auto"/>
              </w:rPr>
            </w:pPr>
            <w:r>
              <w:rPr>
                <w:rFonts w:ascii="Arial" w:cs="Arial" w:eastAsia="Arial" w:hAnsi="Arial"/>
                <w:sz w:val="15"/>
                <w:szCs w:val="15"/>
                <w:color w:val="auto"/>
              </w:rPr>
              <w:t>Dilutive effect of shares outstanding</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7540" w:type="dxa"/>
            <w:vAlign w:val="bottom"/>
            <w:shd w:val="clear" w:color="auto" w:fill="DBDBDB"/>
          </w:tcPr>
          <w:p>
            <w:pPr>
              <w:ind w:left="320"/>
              <w:spacing w:after="0"/>
              <w:rPr>
                <w:sz w:val="20"/>
                <w:szCs w:val="20"/>
                <w:color w:val="auto"/>
              </w:rPr>
            </w:pPr>
            <w:r>
              <w:rPr>
                <w:rFonts w:ascii="Arial" w:cs="Arial" w:eastAsia="Arial" w:hAnsi="Arial"/>
                <w:sz w:val="15"/>
                <w:szCs w:val="15"/>
                <w:color w:val="auto"/>
              </w:rPr>
              <w:t>Warrants</w:t>
            </w:r>
          </w:p>
        </w:tc>
        <w:tc>
          <w:tcPr>
            <w:tcW w:w="420" w:type="dxa"/>
            <w:vAlign w:val="bottom"/>
            <w:shd w:val="clear" w:color="auto" w:fill="DBDBDB"/>
          </w:tcPr>
          <w:p>
            <w:pPr>
              <w:spacing w:after="0"/>
              <w:rPr>
                <w:sz w:val="18"/>
                <w:szCs w:val="18"/>
                <w:color w:val="auto"/>
              </w:rPr>
            </w:pPr>
          </w:p>
        </w:tc>
        <w:tc>
          <w:tcPr>
            <w:tcW w:w="14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7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1,889</w:t>
            </w:r>
          </w:p>
        </w:tc>
      </w:tr>
      <w:tr>
        <w:trPr>
          <w:trHeight w:val="205"/>
        </w:trPr>
        <w:tc>
          <w:tcPr>
            <w:tcW w:w="7540" w:type="dxa"/>
            <w:vAlign w:val="bottom"/>
          </w:tcPr>
          <w:p>
            <w:pPr>
              <w:ind w:left="320"/>
              <w:spacing w:after="0"/>
              <w:rPr>
                <w:sz w:val="20"/>
                <w:szCs w:val="20"/>
                <w:color w:val="auto"/>
              </w:rPr>
            </w:pPr>
            <w:r>
              <w:rPr>
                <w:rFonts w:ascii="Arial" w:cs="Arial" w:eastAsia="Arial" w:hAnsi="Arial"/>
                <w:sz w:val="15"/>
                <w:szCs w:val="15"/>
                <w:color w:val="auto"/>
              </w:rPr>
              <w:t>RSAs</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207"/>
        </w:trPr>
        <w:tc>
          <w:tcPr>
            <w:tcW w:w="7540" w:type="dxa"/>
            <w:vAlign w:val="bottom"/>
            <w:shd w:val="clear" w:color="auto" w:fill="DBDBDB"/>
          </w:tcPr>
          <w:p>
            <w:pPr>
              <w:ind w:left="320"/>
              <w:spacing w:after="0"/>
              <w:rPr>
                <w:sz w:val="20"/>
                <w:szCs w:val="20"/>
                <w:color w:val="auto"/>
              </w:rPr>
            </w:pPr>
            <w:r>
              <w:rPr>
                <w:rFonts w:ascii="Arial" w:cs="Arial" w:eastAsia="Arial" w:hAnsi="Arial"/>
                <w:sz w:val="15"/>
                <w:szCs w:val="15"/>
                <w:color w:val="auto"/>
              </w:rPr>
              <w:t>Time-based RSUs</w:t>
            </w: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326</w:t>
            </w:r>
          </w:p>
        </w:tc>
        <w:tc>
          <w:tcPr>
            <w:tcW w:w="10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483</w:t>
            </w:r>
          </w:p>
        </w:tc>
      </w:tr>
      <w:tr>
        <w:trPr>
          <w:trHeight w:val="205"/>
        </w:trPr>
        <w:tc>
          <w:tcPr>
            <w:tcW w:w="7540" w:type="dxa"/>
            <w:vAlign w:val="bottom"/>
          </w:tcPr>
          <w:p>
            <w:pPr>
              <w:ind w:left="320"/>
              <w:spacing w:after="0"/>
              <w:rPr>
                <w:sz w:val="20"/>
                <w:szCs w:val="20"/>
                <w:color w:val="auto"/>
              </w:rPr>
            </w:pPr>
            <w:r>
              <w:rPr>
                <w:rFonts w:ascii="Arial" w:cs="Arial" w:eastAsia="Arial" w:hAnsi="Arial"/>
                <w:sz w:val="15"/>
                <w:szCs w:val="15"/>
                <w:color w:val="auto"/>
              </w:rPr>
              <w:t>Performance-based RSUs</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2,206</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1,819</w:t>
            </w:r>
          </w:p>
        </w:tc>
      </w:tr>
      <w:tr>
        <w:trPr>
          <w:trHeight w:val="206"/>
        </w:trPr>
        <w:tc>
          <w:tcPr>
            <w:tcW w:w="7540" w:type="dxa"/>
            <w:vAlign w:val="bottom"/>
            <w:shd w:val="clear" w:color="auto" w:fill="DBDBDB"/>
          </w:tcPr>
          <w:p>
            <w:pPr>
              <w:ind w:left="320"/>
              <w:spacing w:after="0"/>
              <w:rPr>
                <w:sz w:val="20"/>
                <w:szCs w:val="20"/>
                <w:color w:val="auto"/>
              </w:rPr>
            </w:pPr>
            <w:r>
              <w:rPr>
                <w:rFonts w:ascii="Arial" w:cs="Arial" w:eastAsia="Arial" w:hAnsi="Arial"/>
                <w:sz w:val="15"/>
                <w:szCs w:val="15"/>
                <w:color w:val="auto"/>
              </w:rPr>
              <w:t>Stock Options</w:t>
            </w:r>
          </w:p>
        </w:tc>
        <w:tc>
          <w:tcPr>
            <w:tcW w:w="42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1,013</w:t>
            </w:r>
          </w:p>
        </w:tc>
        <w:tc>
          <w:tcPr>
            <w:tcW w:w="100" w:type="dxa"/>
            <w:vAlign w:val="bottom"/>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1,246</w:t>
            </w:r>
          </w:p>
        </w:tc>
      </w:tr>
      <w:tr>
        <w:trPr>
          <w:trHeight w:val="200"/>
        </w:trPr>
        <w:tc>
          <w:tcPr>
            <w:tcW w:w="7540" w:type="dxa"/>
            <w:vAlign w:val="bottom"/>
          </w:tcPr>
          <w:p>
            <w:pPr>
              <w:ind w:left="20"/>
              <w:spacing w:after="0"/>
              <w:rPr>
                <w:sz w:val="20"/>
                <w:szCs w:val="20"/>
                <w:color w:val="auto"/>
              </w:rPr>
            </w:pPr>
            <w:r>
              <w:rPr>
                <w:rFonts w:ascii="Arial" w:cs="Arial" w:eastAsia="Arial" w:hAnsi="Arial"/>
                <w:sz w:val="15"/>
                <w:szCs w:val="15"/>
                <w:color w:val="auto"/>
              </w:rPr>
              <w:t>Weighted average Common Shares outstanding – dilutive</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209,664</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228,956</w:t>
            </w:r>
          </w:p>
        </w:tc>
      </w:tr>
      <w:tr>
        <w:trPr>
          <w:trHeight w:val="20"/>
        </w:trPr>
        <w:tc>
          <w:tcPr>
            <w:tcW w:w="7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For the three months ended March 31, 2022, 555,790 shares of Performance-Based RSUs were excluded from the computation of diluted EPS because their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25" w:name="page26"/>
    <w:bookmarkEnd w:id="25"/>
    <w:p>
      <w:pPr>
        <w:ind w:left="1740" w:right="120" w:hanging="1855"/>
        <w:spacing w:after="0" w:line="278" w:lineRule="auto"/>
        <w:tabs>
          <w:tab w:leader="none" w:pos="1720" w:val="left"/>
        </w:tabs>
        <w:rPr>
          <w:sz w:val="20"/>
          <w:szCs w:val="20"/>
          <w:color w:val="auto"/>
        </w:rPr>
      </w:pPr>
      <w:r>
        <w:rPr>
          <w:rFonts w:ascii="Arial" w:cs="Arial" w:eastAsia="Arial" w:hAnsi="Arial"/>
          <w:sz w:val="38"/>
          <w:szCs w:val="38"/>
          <w:b w:val="1"/>
          <w:bCs w:val="1"/>
          <w:color w:val="auto"/>
        </w:rPr>
        <w:t>ITEM 2.</w:t>
        <w:tab/>
        <w:t>Management’s Discussion and Analysis of Financial Condition and Results of Operations</w:t>
      </w:r>
    </w:p>
    <w:p>
      <w:pPr>
        <w:jc w:val="both"/>
        <w:ind w:firstLine="619"/>
        <w:spacing w:after="0" w:line="277" w:lineRule="auto"/>
        <w:rPr>
          <w:sz w:val="20"/>
          <w:szCs w:val="20"/>
          <w:color w:val="auto"/>
        </w:rPr>
      </w:pPr>
      <w:r>
        <w:rPr>
          <w:rFonts w:ascii="Arial" w:cs="Arial" w:eastAsia="Arial" w:hAnsi="Arial"/>
          <w:sz w:val="15"/>
          <w:szCs w:val="15"/>
          <w:color w:val="auto"/>
        </w:rPr>
        <w:t>The following Management’s Discussion and Analysis of Financial Condition and Results of Operations (“MD&amp;A”) is intended to help the reader understand WillScot Mobile Mini Holdings Corp. ("WillScot Mobile Mini"), our operations and our present business environment. MD&amp;A is provided as a supplement to, and should be read in conjunction with, our financial statements and the accompanying notes thereto, contained in Part I, Item 1 of this report. The discussion of results of operations in this MD&amp;A is presented on a historical basis, as of or for the three months ended March 31, 2023 or prior periods.</w:t>
      </w:r>
    </w:p>
    <w:p>
      <w:pPr>
        <w:spacing w:after="0" w:line="3"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On September 30, 2022, the Company completed the sale of its former Tank and Pump Solutions ("Tank and Pump") segment. On January 31, 2023, the Company completed the sale of its former United Kingdom ("UK") Storage Solutions segment. This MD&amp;A presents the historical financial results of the former Tank and Pump segment and the former UK Storage Solutions segment as discontinued operations for all periods presented.</w:t>
      </w:r>
    </w:p>
    <w:p>
      <w:pPr>
        <w:jc w:val="both"/>
        <w:ind w:firstLine="619"/>
        <w:spacing w:after="0" w:line="275" w:lineRule="auto"/>
        <w:rPr>
          <w:sz w:val="20"/>
          <w:szCs w:val="20"/>
          <w:color w:val="auto"/>
        </w:rPr>
      </w:pPr>
      <w:r>
        <w:rPr>
          <w:rFonts w:ascii="Arial" w:cs="Arial" w:eastAsia="Arial" w:hAnsi="Arial"/>
          <w:sz w:val="15"/>
          <w:szCs w:val="15"/>
          <w:color w:val="auto"/>
        </w:rPr>
        <w:t>The consolidated financial statements were prepared in conformity with accounting principles generally accepted in the US (“GAAP”). We use certain non-GAAP financial metrics to supplement the GAAP reported results to highlight key operational metrics that are used by management to evaluate Company performance. Reconciliations of GAAP financial information to the disclosed non-GAAP measures are provided in the Reconciliation of Non-GAAP Financial Measures section.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1D2758"/>
        </w:rPr>
        <w:t>Executive Summary and Outlook</w:t>
      </w:r>
    </w:p>
    <w:p>
      <w:pPr>
        <w:spacing w:after="0" w:line="114"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We are a leading business services provider specializing in innovative flexible work space and portable storage solutions. We service diverse end markets across all sectors of the economy throughout the United States ("US"), Canada, and Mexico. As of March 31, 2023, our branch network included approximately 240 branch locations and additional drop lots to service our over 85,000 customers. We offer our customers an extensive selection of “Ready to Work” modular space and portable storage solutions with over 154,000 modular space units and over 210,000 portable storage units in our fleet.</w:t>
      </w:r>
    </w:p>
    <w:p>
      <w:pPr>
        <w:spacing w:after="0" w:line="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primarily lease, rather than sell, our modular and portable storage units to customers, which results in a highly diversified and predictable reoccurring revenue stream. Over 90% of new lease orders are on our standard lease agreement, pre-negotiated master lease or national account agreements. The initial lease periods vary, and our leases are customarily renewable on a month-to-month basis after their initial term. Our lease revenue is highly predictable due to its reoccurring nature and the underlying stability and diversification of our lease portfolio. Furthermore, given that our customers value flexibility, they consistently extend their leases or renew on a month-to-month basis such that the average effective duration of our lease portfolio, excluding seasonal portable storage units, is</w:t>
      </w:r>
    </w:p>
    <w:p>
      <w:pPr>
        <w:spacing w:after="0" w:line="6"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approximately 33 months. We complement our core leasing business by selling both new and used units, allowing us to leverage scale, achieve purchasing benefits and redeploy capital employed in our lease fleet.</w:t>
      </w:r>
    </w:p>
    <w:p>
      <w:pPr>
        <w:spacing w:after="0" w:line="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Our customers operate in a diversified set of end markets, including construction, commercial and industrial, retail and wholesale trade, energy and natural resources, education, government and institutions and healthcare. Core to our operating model is the ability to redeploy standardized assets across end markets. We track several market leading indicators to predict demand, including those related to our two largest end markets, the commercial and industrial sector and the construction sector, which collectively accounted for approximately 88% of our revenues in the three months ended March 31, 2023.</w:t>
      </w:r>
    </w:p>
    <w:p>
      <w:pPr>
        <w:spacing w:after="0" w:line="7" w:lineRule="exact"/>
        <w:rPr>
          <w:sz w:val="20"/>
          <w:szCs w:val="20"/>
          <w:color w:val="auto"/>
        </w:rPr>
      </w:pPr>
    </w:p>
    <w:p>
      <w:pPr>
        <w:jc w:val="both"/>
        <w:ind w:firstLine="619"/>
        <w:spacing w:after="0" w:line="296" w:lineRule="auto"/>
        <w:rPr>
          <w:sz w:val="20"/>
          <w:szCs w:val="20"/>
          <w:color w:val="auto"/>
        </w:rPr>
      </w:pPr>
      <w:r>
        <w:rPr>
          <w:rFonts w:ascii="Arial" w:cs="Arial" w:eastAsia="Arial" w:hAnsi="Arial"/>
          <w:sz w:val="15"/>
          <w:szCs w:val="15"/>
          <w:color w:val="auto"/>
        </w:rPr>
        <w:t>We remain focused on our core priorities of growing leasing revenues by increasing units on rent, both organically and through our acquisition strategy, delivering “Ready to Work” solutions to our customers with value added products and services ("VAPS"), and on continually improving the overall customer experience.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Customer Relationship Management ("CRM") System</w:t>
      </w:r>
    </w:p>
    <w:p>
      <w:pPr>
        <w:spacing w:after="0" w:line="7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February 6, 2023, we successfully completed the harmonization of our separate Modular and Storage CRM systems onto a single unified system. With this enhanced platform, we have a combined view of our customers and projects across the entire sales team. Going forward, we will focus on productivity management and building a more targeted and predictive approach to anticipate- and service- customer demand, with continued improvement in engagement and outreach underpinned by our data warehouse.</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Divestiture</w:t>
      </w:r>
    </w:p>
    <w:p>
      <w:pPr>
        <w:spacing w:after="0" w:line="72"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On January 31, 2023, we completed the sale of our former UK Storage Solutions segment for total cash consideration of $418.1 million. Proceeds from the sale were used to support ongoing reinvestment in our Modular and Storage operating segments in North America and other capital allocation priorities.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26" w:name="page27"/>
    <w:bookmarkEnd w:id="26"/>
    <w:p>
      <w:pPr>
        <w:spacing w:after="0"/>
        <w:rPr>
          <w:sz w:val="20"/>
          <w:szCs w:val="20"/>
          <w:color w:val="auto"/>
        </w:rPr>
      </w:pPr>
      <w:r>
        <w:rPr>
          <w:rFonts w:ascii="Arial" w:cs="Arial" w:eastAsia="Arial" w:hAnsi="Arial"/>
          <w:sz w:val="15"/>
          <w:szCs w:val="15"/>
          <w:b w:val="1"/>
          <w:bCs w:val="1"/>
          <w:i w:val="1"/>
          <w:iCs w:val="1"/>
          <w:color w:val="1D2758"/>
        </w:rPr>
        <w:t>Reportable Segments</w:t>
      </w:r>
    </w:p>
    <w:p>
      <w:pPr>
        <w:spacing w:after="0" w:line="6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Following the divestitures of the UK Storage Solutions and Tank and Pump segments, we operate in two reporting segments: Modular Solutions ("Modular") and Storage Solutions ("Storage"). The reporting segments are aligned with how we operate and analyze our business results. During the first quarter of 2023, the ground level office business within the Modular segment was transferred to the Storage segment, and associated revenues, expenses, and operating metrics were transferred to the Storage segment. All periods presented have been retrospectively revised to reflect this adjustment within the Modular and Storage segments. For the twelve months ended December 31, 2022, this resulted in approximately $49.8 million of revenue and $28.5 million of gross profit being transferred from the Modular segment to the Storage segment.</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Asset Acquisitions</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During the first quarter of 2023, we acquired certain assets and liabilities of two regional and local storage and modular companies, which consisted primarily of approximately 300 storage units and 500 modular units for $79.6 million in cash. The accompanying consolidated financial statements include $70.4 million of rental equipment and $4.5 million of land held for sale as a result of these acquisitions.</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Interest Rate Swap Agreements</w:t>
      </w:r>
    </w:p>
    <w:p>
      <w:pPr>
        <w:spacing w:after="0" w:line="7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In January 2023, we entered into two interest rate swap agreements with financial counterparties relating to $750.0 million in aggregate notional amount of variable-rate debt under our ABL Facility (as defined below). Under the terms of the agreements, we receive a floating rate equal to one-month term SOFR and will make payments based on a weighted average fixed interest rate of 3.44% on the notional amount. The swap agreements were designated and qualified as hedges of our exposure to changes in interest payment cash flows created by fluctuations in variable interest rates on the ABL Facility. The swap agreements terminate on June 30, 2027.</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Share Repurchases</w:t>
      </w:r>
    </w:p>
    <w:p>
      <w:pPr>
        <w:spacing w:after="0" w:line="60"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During the three months ended March 31, 2023, we repurchased 4,589,308 shares of Common Stock for $215.7 million. As of March 31, 2023, $415.1 million of the approved share repurchase pool remained available. Given the predictability of our free cash flow, we believe that repurchases will be a reoccurring capital allocation priority.</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Inflation and Supply Chain Issues</w:t>
      </w:r>
    </w:p>
    <w:p>
      <w:pPr>
        <w:spacing w:after="0" w:line="7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Similar to many other organizations, we face inflationary pressures across most of our input costs such as building materials, labor, transportation and fuel. Inflation has contributed to increased capital costs both for new units as well as for refurbishment of our existing units. However, given our scale and our strong rate performance, we believe we have been able to navigate the inflationary environment well and have consistently driven margin improvements during this period of rising costs. Additionally, because we derive the majority of our revenue from leasing our existing lease fleet units to customers and our material purchases to maintain these units consist primarily of general building materials, we have not experienced significant supply chain issues to date.</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First Quarter Highlights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For the three months ended March 31, 2023, key drivers of our financial performance included:</w:t>
      </w:r>
    </w:p>
    <w:p>
      <w:pPr>
        <w:spacing w:after="0" w:line="60" w:lineRule="exact"/>
        <w:rPr>
          <w:sz w:val="20"/>
          <w:szCs w:val="20"/>
          <w:color w:val="auto"/>
        </w:rPr>
      </w:pPr>
    </w:p>
    <w:p>
      <w:pPr>
        <w:ind w:left="620" w:hanging="307"/>
        <w:spacing w:after="0" w:line="294" w:lineRule="auto"/>
        <w:tabs>
          <w:tab w:leader="none" w:pos="609" w:val="left"/>
        </w:tabs>
        <w:numPr>
          <w:ilvl w:val="0"/>
          <w:numId w:val="5"/>
        </w:numPr>
        <w:rPr>
          <w:rFonts w:ascii="Arial" w:cs="Arial" w:eastAsia="Arial" w:hAnsi="Arial"/>
          <w:sz w:val="15"/>
          <w:szCs w:val="15"/>
          <w:b w:val="1"/>
          <w:bCs w:val="1"/>
          <w:i w:val="1"/>
          <w:iCs w:val="1"/>
          <w:color w:val="auto"/>
        </w:rPr>
      </w:pPr>
      <w:r>
        <w:rPr>
          <w:rFonts w:ascii="Arial" w:cs="Arial" w:eastAsia="Arial" w:hAnsi="Arial"/>
          <w:sz w:val="15"/>
          <w:szCs w:val="15"/>
          <w:color w:val="auto"/>
        </w:rPr>
        <w:t>Total revenues increased $114.3 million, or 25.3%. Leasing revenue increased $88.4 million, or 25.1%, delivery and installation revenue increased $21.1 million, or 24.7%, rental unit sales decreased $0.1 million, or 1.2%, and new sales revenue increased $4.9 million, or 84.5%.</w:t>
      </w:r>
    </w:p>
    <w:p>
      <w:pPr>
        <w:spacing w:after="0" w:line="54" w:lineRule="exact"/>
        <w:rPr>
          <w:rFonts w:ascii="Arial" w:cs="Arial" w:eastAsia="Arial" w:hAnsi="Arial"/>
          <w:sz w:val="15"/>
          <w:szCs w:val="15"/>
          <w:b w:val="1"/>
          <w:bCs w:val="1"/>
          <w:i w:val="1"/>
          <w:iCs w:val="1"/>
          <w:color w:val="auto"/>
        </w:rPr>
      </w:pPr>
    </w:p>
    <w:p>
      <w:pPr>
        <w:ind w:left="620"/>
        <w:spacing w:after="0"/>
        <w:rPr>
          <w:rFonts w:ascii="Arial" w:cs="Arial" w:eastAsia="Arial" w:hAnsi="Arial"/>
          <w:sz w:val="15"/>
          <w:szCs w:val="15"/>
          <w:b w:val="1"/>
          <w:bCs w:val="1"/>
          <w:i w:val="1"/>
          <w:iCs w:val="1"/>
          <w:color w:val="auto"/>
        </w:rPr>
      </w:pPr>
      <w:r>
        <w:rPr>
          <w:rFonts w:ascii="Arial" w:cs="Arial" w:eastAsia="Arial" w:hAnsi="Arial"/>
          <w:sz w:val="15"/>
          <w:szCs w:val="15"/>
          <w:color w:val="auto"/>
        </w:rPr>
        <w:t>Key leasing revenue drivers included:</w:t>
      </w:r>
    </w:p>
    <w:p>
      <w:pPr>
        <w:spacing w:after="0" w:line="111" w:lineRule="exact"/>
        <w:rPr>
          <w:rFonts w:ascii="Arial" w:cs="Arial" w:eastAsia="Arial" w:hAnsi="Arial"/>
          <w:sz w:val="15"/>
          <w:szCs w:val="15"/>
          <w:b w:val="1"/>
          <w:bCs w:val="1"/>
          <w:i w:val="1"/>
          <w:iCs w:val="1"/>
          <w:color w:val="auto"/>
        </w:rPr>
      </w:pPr>
    </w:p>
    <w:p>
      <w:pPr>
        <w:ind w:left="1240" w:hanging="309"/>
        <w:spacing w:after="0"/>
        <w:tabs>
          <w:tab w:leader="none" w:pos="1240" w:val="left"/>
        </w:tabs>
        <w:numPr>
          <w:ilvl w:val="1"/>
          <w:numId w:val="5"/>
        </w:numPr>
        <w:rPr>
          <w:rFonts w:ascii="Arial" w:cs="Arial" w:eastAsia="Arial" w:hAnsi="Arial"/>
          <w:sz w:val="15"/>
          <w:szCs w:val="15"/>
          <w:color w:val="auto"/>
        </w:rPr>
      </w:pPr>
      <w:r>
        <w:rPr>
          <w:rFonts w:ascii="Arial" w:cs="Arial" w:eastAsia="Arial" w:hAnsi="Arial"/>
          <w:sz w:val="15"/>
          <w:szCs w:val="15"/>
          <w:color w:val="auto"/>
        </w:rPr>
        <w:t>Average portable storage units on rent increased 12,304 units, or 8.1%, and average modular space units on rent decreased 1,430 units, or 1.4%.</w:t>
      </w:r>
    </w:p>
    <w:p>
      <w:pPr>
        <w:spacing w:after="0" w:line="124" w:lineRule="exact"/>
        <w:rPr>
          <w:rFonts w:ascii="Arial" w:cs="Arial" w:eastAsia="Arial" w:hAnsi="Arial"/>
          <w:sz w:val="15"/>
          <w:szCs w:val="15"/>
          <w:color w:val="auto"/>
        </w:rPr>
      </w:pPr>
    </w:p>
    <w:p>
      <w:pPr>
        <w:jc w:val="both"/>
        <w:ind w:left="1240" w:hanging="309"/>
        <w:spacing w:after="0" w:line="284" w:lineRule="auto"/>
        <w:tabs>
          <w:tab w:leader="none" w:pos="1229" w:val="left"/>
        </w:tabs>
        <w:numPr>
          <w:ilvl w:val="1"/>
          <w:numId w:val="5"/>
        </w:numPr>
        <w:rPr>
          <w:rFonts w:ascii="Arial" w:cs="Arial" w:eastAsia="Arial" w:hAnsi="Arial"/>
          <w:sz w:val="15"/>
          <w:szCs w:val="15"/>
          <w:color w:val="auto"/>
        </w:rPr>
      </w:pPr>
      <w:r>
        <w:rPr>
          <w:rFonts w:ascii="Arial" w:cs="Arial" w:eastAsia="Arial" w:hAnsi="Arial"/>
          <w:sz w:val="15"/>
          <w:szCs w:val="15"/>
          <w:color w:val="auto"/>
        </w:rPr>
        <w:t>Average modular space monthly rental rate increased $163, or 19.7%, to $989 driven by strong pricing performance across both segments. Average modular space monthly rental rates increased by $152, or 17.0%, in the Modular segment and by $174, or 29.7%, in the Storage segment.</w:t>
      </w:r>
    </w:p>
    <w:p>
      <w:pPr>
        <w:spacing w:after="0" w:line="249" w:lineRule="exact"/>
        <w:rPr>
          <w:rFonts w:ascii="Arial" w:cs="Arial" w:eastAsia="Arial" w:hAnsi="Arial"/>
          <w:sz w:val="15"/>
          <w:szCs w:val="15"/>
          <w:color w:val="auto"/>
        </w:rPr>
      </w:pPr>
    </w:p>
    <w:p>
      <w:pPr>
        <w:ind w:left="1240" w:hanging="309"/>
        <w:spacing w:after="0" w:line="294" w:lineRule="auto"/>
        <w:tabs>
          <w:tab w:leader="none" w:pos="1229" w:val="left"/>
        </w:tabs>
        <w:numPr>
          <w:ilvl w:val="1"/>
          <w:numId w:val="5"/>
        </w:numPr>
        <w:rPr>
          <w:rFonts w:ascii="Arial" w:cs="Arial" w:eastAsia="Arial" w:hAnsi="Arial"/>
          <w:sz w:val="15"/>
          <w:szCs w:val="15"/>
          <w:color w:val="auto"/>
        </w:rPr>
      </w:pPr>
      <w:r>
        <w:rPr>
          <w:rFonts w:ascii="Arial" w:cs="Arial" w:eastAsia="Arial" w:hAnsi="Arial"/>
          <w:sz w:val="15"/>
          <w:szCs w:val="15"/>
          <w:color w:val="auto"/>
        </w:rPr>
        <w:t>Average portable storage monthly rental rate increased $50, or 30.1%, to $216 driven by increased pricing as a result of our price management tools and processes.</w:t>
      </w:r>
    </w:p>
    <w:p>
      <w:pPr>
        <w:spacing w:after="0" w:line="41" w:lineRule="exact"/>
        <w:rPr>
          <w:rFonts w:ascii="Arial" w:cs="Arial" w:eastAsia="Arial" w:hAnsi="Arial"/>
          <w:sz w:val="15"/>
          <w:szCs w:val="15"/>
          <w:color w:val="auto"/>
        </w:rPr>
      </w:pPr>
    </w:p>
    <w:p>
      <w:pPr>
        <w:ind w:left="1240" w:hanging="309"/>
        <w:spacing w:after="0" w:line="312" w:lineRule="auto"/>
        <w:tabs>
          <w:tab w:leader="none" w:pos="1229" w:val="left"/>
        </w:tabs>
        <w:numPr>
          <w:ilvl w:val="1"/>
          <w:numId w:val="5"/>
        </w:numPr>
        <w:rPr>
          <w:rFonts w:ascii="Arial" w:cs="Arial" w:eastAsia="Arial" w:hAnsi="Arial"/>
          <w:sz w:val="15"/>
          <w:szCs w:val="15"/>
          <w:color w:val="auto"/>
        </w:rPr>
      </w:pPr>
      <w:r>
        <w:rPr>
          <w:rFonts w:ascii="Arial" w:cs="Arial" w:eastAsia="Arial" w:hAnsi="Arial"/>
          <w:sz w:val="15"/>
          <w:szCs w:val="15"/>
          <w:color w:val="auto"/>
        </w:rPr>
        <w:t>Average utilization for portable storage units decreased to 78.7% from 83.1% for the same period in 2022 driven by decreased demand in 2023 as compared to the same period in 2022. Average utilization for modular space units decreased 250 basis points ("bps") to 66.0%.</w:t>
      </w:r>
    </w:p>
    <w:p>
      <w:pPr>
        <w:spacing w:after="0" w:line="28" w:lineRule="exact"/>
        <w:rPr>
          <w:rFonts w:ascii="Arial" w:cs="Arial" w:eastAsia="Arial" w:hAnsi="Arial"/>
          <w:sz w:val="15"/>
          <w:szCs w:val="15"/>
          <w:color w:val="auto"/>
        </w:rPr>
      </w:pPr>
    </w:p>
    <w:p>
      <w:pPr>
        <w:jc w:val="both"/>
        <w:ind w:left="620" w:hanging="307"/>
        <w:spacing w:after="0" w:line="271" w:lineRule="auto"/>
        <w:tabs>
          <w:tab w:leader="none" w:pos="609" w:val="left"/>
        </w:tabs>
        <w:numPr>
          <w:ilvl w:val="0"/>
          <w:numId w:val="5"/>
        </w:numPr>
        <w:rPr>
          <w:rFonts w:ascii="Arial" w:cs="Arial" w:eastAsia="Arial" w:hAnsi="Arial"/>
          <w:sz w:val="15"/>
          <w:szCs w:val="15"/>
          <w:b w:val="1"/>
          <w:bCs w:val="1"/>
          <w:i w:val="1"/>
          <w:iCs w:val="1"/>
          <w:color w:val="1D2758"/>
        </w:rPr>
      </w:pPr>
      <w:r>
        <w:rPr>
          <w:rFonts w:ascii="Arial" w:cs="Arial" w:eastAsia="Arial" w:hAnsi="Arial"/>
          <w:sz w:val="15"/>
          <w:szCs w:val="15"/>
          <w:color w:val="auto"/>
        </w:rPr>
        <w:t>Modular segment revenue, which represents 61.8% of consolidated revenue for the three months ended March 31, 2023, increased $61.1 million, or 21.2%, to $349.7 million. The increase was driven by our core leasing revenue, which grew $46.0 million, or 20.6%, due to continued growth of pricing and VAPS, and by delivery and installation revenues, which increased $10.5 million, or 19.3%, driven by increased pricing. Rental unit sales increased $0.5 million, or 8.1%, and new unit sales increased $4.1 million, or 85.4%. Modular revenue drivers for the three months ended March 31, 2023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27" w:name="page28"/>
    <w:bookmarkEnd w:id="27"/>
    <w:p>
      <w:pPr>
        <w:ind w:left="927" w:hanging="309"/>
        <w:spacing w:after="0" w:line="294" w:lineRule="auto"/>
        <w:tabs>
          <w:tab w:leader="none" w:pos="917" w:val="left"/>
        </w:tabs>
        <w:numPr>
          <w:ilvl w:val="1"/>
          <w:numId w:val="6"/>
        </w:numPr>
        <w:rPr>
          <w:rFonts w:ascii="Arial" w:cs="Arial" w:eastAsia="Arial" w:hAnsi="Arial"/>
          <w:sz w:val="15"/>
          <w:szCs w:val="15"/>
          <w:color w:val="auto"/>
        </w:rPr>
      </w:pPr>
      <w:r>
        <w:rPr>
          <w:rFonts w:ascii="Arial" w:cs="Arial" w:eastAsia="Arial" w:hAnsi="Arial"/>
          <w:sz w:val="15"/>
          <w:szCs w:val="15"/>
          <w:color w:val="auto"/>
        </w:rPr>
        <w:t>Modular space average monthly rental rate of $1,046, increased 17.0% year over year representing a continuation of the long-term price optimization and VAPS penetration opportunities across our portfolio.</w:t>
      </w:r>
    </w:p>
    <w:p>
      <w:pPr>
        <w:spacing w:after="0" w:line="54" w:lineRule="exact"/>
        <w:rPr>
          <w:rFonts w:ascii="Arial" w:cs="Arial" w:eastAsia="Arial" w:hAnsi="Arial"/>
          <w:sz w:val="15"/>
          <w:szCs w:val="15"/>
          <w:color w:val="auto"/>
        </w:rPr>
      </w:pPr>
    </w:p>
    <w:p>
      <w:pPr>
        <w:ind w:left="927" w:hanging="309"/>
        <w:spacing w:after="0"/>
        <w:tabs>
          <w:tab w:leader="none" w:pos="927" w:val="left"/>
        </w:tabs>
        <w:numPr>
          <w:ilvl w:val="1"/>
          <w:numId w:val="6"/>
        </w:numPr>
        <w:rPr>
          <w:rFonts w:ascii="Arial" w:cs="Arial" w:eastAsia="Arial" w:hAnsi="Arial"/>
          <w:sz w:val="15"/>
          <w:szCs w:val="15"/>
          <w:color w:val="auto"/>
        </w:rPr>
      </w:pPr>
      <w:r>
        <w:rPr>
          <w:rFonts w:ascii="Arial" w:cs="Arial" w:eastAsia="Arial" w:hAnsi="Arial"/>
          <w:sz w:val="15"/>
          <w:szCs w:val="15"/>
          <w:color w:val="auto"/>
        </w:rPr>
        <w:t>Average modular space units on rent increased 1,219, or 1.5%, year over year.</w:t>
      </w:r>
    </w:p>
    <w:p>
      <w:pPr>
        <w:spacing w:after="0" w:line="111" w:lineRule="exact"/>
        <w:rPr>
          <w:rFonts w:ascii="Arial" w:cs="Arial" w:eastAsia="Arial" w:hAnsi="Arial"/>
          <w:sz w:val="15"/>
          <w:szCs w:val="15"/>
          <w:color w:val="auto"/>
        </w:rPr>
      </w:pPr>
    </w:p>
    <w:p>
      <w:pPr>
        <w:ind w:left="927" w:hanging="309"/>
        <w:spacing w:after="0" w:line="312" w:lineRule="auto"/>
        <w:tabs>
          <w:tab w:leader="none" w:pos="917" w:val="left"/>
        </w:tabs>
        <w:numPr>
          <w:ilvl w:val="1"/>
          <w:numId w:val="6"/>
        </w:numPr>
        <w:rPr>
          <w:rFonts w:ascii="Arial" w:cs="Arial" w:eastAsia="Arial" w:hAnsi="Arial"/>
          <w:sz w:val="15"/>
          <w:szCs w:val="15"/>
          <w:color w:val="auto"/>
        </w:rPr>
      </w:pPr>
      <w:r>
        <w:rPr>
          <w:rFonts w:ascii="Arial" w:cs="Arial" w:eastAsia="Arial" w:hAnsi="Arial"/>
          <w:sz w:val="15"/>
          <w:szCs w:val="15"/>
          <w:color w:val="auto"/>
        </w:rPr>
        <w:t>Average modular space monthly utilization decreased 70 bps to 66.2% for the three months ended March 31, 2023, as compared to the three months ended March 31, 2022.</w:t>
      </w:r>
    </w:p>
    <w:p>
      <w:pPr>
        <w:spacing w:after="0" w:line="28" w:lineRule="exact"/>
        <w:rPr>
          <w:rFonts w:ascii="Arial" w:cs="Arial" w:eastAsia="Arial" w:hAnsi="Arial"/>
          <w:sz w:val="15"/>
          <w:szCs w:val="15"/>
          <w:color w:val="auto"/>
        </w:rPr>
      </w:pPr>
    </w:p>
    <w:p>
      <w:pPr>
        <w:jc w:val="both"/>
        <w:ind w:left="307" w:hanging="307"/>
        <w:spacing w:after="0" w:line="273" w:lineRule="auto"/>
        <w:tabs>
          <w:tab w:leader="none" w:pos="297" w:val="left"/>
        </w:tabs>
        <w:numPr>
          <w:ilvl w:val="0"/>
          <w:numId w:val="6"/>
        </w:numPr>
        <w:rPr>
          <w:rFonts w:ascii="Arial" w:cs="Arial" w:eastAsia="Arial" w:hAnsi="Arial"/>
          <w:sz w:val="15"/>
          <w:szCs w:val="15"/>
          <w:color w:val="auto"/>
        </w:rPr>
      </w:pPr>
      <w:r>
        <w:rPr>
          <w:rFonts w:ascii="Arial" w:cs="Arial" w:eastAsia="Arial" w:hAnsi="Arial"/>
          <w:sz w:val="15"/>
          <w:szCs w:val="15"/>
          <w:color w:val="auto"/>
        </w:rPr>
        <w:t>Storage segment revenue, which represents 38.2% of consolidated revenue for the three months ended March 31, 2023, increased $53.2 million, or 32.7%, to $215.8 million. The increase was driven by our core leasing revenue, which grew $42.4 million, or 33.0%, due to increased units on rent and increased pricing, and by delivery and installation revenues, which increased $10.6 million, or 34.0%, driven by increased pricing. Rental unit sales decreased $0.6 million, or 27.3%, and new unit sales increased $0.8 million, or 88.9%. Storage revenue drivers for the three months ended March 31, 2023 included:</w:t>
      </w:r>
    </w:p>
    <w:p>
      <w:pPr>
        <w:spacing w:after="0" w:line="246" w:lineRule="exact"/>
        <w:rPr>
          <w:rFonts w:ascii="Arial" w:cs="Arial" w:eastAsia="Arial" w:hAnsi="Arial"/>
          <w:sz w:val="15"/>
          <w:szCs w:val="15"/>
          <w:color w:val="auto"/>
        </w:rPr>
      </w:pPr>
    </w:p>
    <w:p>
      <w:pPr>
        <w:ind w:left="927" w:right="60" w:hanging="309"/>
        <w:spacing w:after="0" w:line="282" w:lineRule="auto"/>
        <w:tabs>
          <w:tab w:leader="none" w:pos="917" w:val="left"/>
        </w:tabs>
        <w:numPr>
          <w:ilvl w:val="1"/>
          <w:numId w:val="6"/>
        </w:numPr>
        <w:rPr>
          <w:rFonts w:ascii="Arial" w:cs="Arial" w:eastAsia="Arial" w:hAnsi="Arial"/>
          <w:sz w:val="15"/>
          <w:szCs w:val="15"/>
          <w:color w:val="auto"/>
        </w:rPr>
      </w:pPr>
      <w:r>
        <w:rPr>
          <w:rFonts w:ascii="Arial" w:cs="Arial" w:eastAsia="Arial" w:hAnsi="Arial"/>
          <w:sz w:val="15"/>
          <w:szCs w:val="15"/>
          <w:color w:val="auto"/>
        </w:rPr>
        <w:t>Portable storage average monthly rental rate of $216 increased 30.1% year over year as a result of our price management tools and processes and early benefits from increased VAPS penetration opportunities. Modular space average monthly rental rate of $760 increased 29.7% year over year as a result of price optimization and increased VAPS penetration.</w:t>
      </w:r>
    </w:p>
    <w:p>
      <w:pPr>
        <w:spacing w:after="0" w:line="49" w:lineRule="exact"/>
        <w:rPr>
          <w:rFonts w:ascii="Arial" w:cs="Arial" w:eastAsia="Arial" w:hAnsi="Arial"/>
          <w:sz w:val="15"/>
          <w:szCs w:val="15"/>
          <w:color w:val="auto"/>
        </w:rPr>
      </w:pPr>
    </w:p>
    <w:p>
      <w:pPr>
        <w:ind w:left="927" w:hanging="309"/>
        <w:spacing w:after="0" w:line="294" w:lineRule="auto"/>
        <w:tabs>
          <w:tab w:leader="none" w:pos="917" w:val="left"/>
        </w:tabs>
        <w:numPr>
          <w:ilvl w:val="1"/>
          <w:numId w:val="6"/>
        </w:numPr>
        <w:rPr>
          <w:rFonts w:ascii="Arial" w:cs="Arial" w:eastAsia="Arial" w:hAnsi="Arial"/>
          <w:sz w:val="15"/>
          <w:szCs w:val="15"/>
          <w:color w:val="auto"/>
        </w:rPr>
      </w:pPr>
      <w:r>
        <w:rPr>
          <w:rFonts w:ascii="Arial" w:cs="Arial" w:eastAsia="Arial" w:hAnsi="Arial"/>
          <w:sz w:val="15"/>
          <w:szCs w:val="15"/>
          <w:color w:val="auto"/>
        </w:rPr>
        <w:t>Average portable storage units on rent increased 12,265, or 8.1%, year over year driven by growth achieved in 2022. Average modular space units on rent decreased 2,649, or 11.6%, year over year.</w:t>
      </w:r>
    </w:p>
    <w:p>
      <w:pPr>
        <w:spacing w:after="0" w:line="54" w:lineRule="exact"/>
        <w:rPr>
          <w:rFonts w:ascii="Arial" w:cs="Arial" w:eastAsia="Arial" w:hAnsi="Arial"/>
          <w:sz w:val="15"/>
          <w:szCs w:val="15"/>
          <w:color w:val="auto"/>
        </w:rPr>
      </w:pPr>
    </w:p>
    <w:p>
      <w:pPr>
        <w:jc w:val="both"/>
        <w:ind w:left="927" w:hanging="309"/>
        <w:spacing w:after="0" w:line="282" w:lineRule="auto"/>
        <w:tabs>
          <w:tab w:leader="none" w:pos="917" w:val="left"/>
        </w:tabs>
        <w:numPr>
          <w:ilvl w:val="1"/>
          <w:numId w:val="6"/>
        </w:numPr>
        <w:rPr>
          <w:rFonts w:ascii="Arial" w:cs="Arial" w:eastAsia="Arial" w:hAnsi="Arial"/>
          <w:sz w:val="15"/>
          <w:szCs w:val="15"/>
          <w:color w:val="auto"/>
        </w:rPr>
      </w:pPr>
      <w:r>
        <w:rPr>
          <w:rFonts w:ascii="Arial" w:cs="Arial" w:eastAsia="Arial" w:hAnsi="Arial"/>
          <w:sz w:val="15"/>
          <w:szCs w:val="15"/>
          <w:color w:val="auto"/>
        </w:rPr>
        <w:t>Average portable storage monthly utilization decreased 450 bps to 78.7% for the three months ended March 31, 2023, as compared to the three months ended March 31, 2022. Average modular space monthly utilization decreased 960 bps to 65.3% for the three months ended March 31, 2023, as compared to the three months ended March 31, 2022.</w:t>
      </w:r>
    </w:p>
    <w:p>
      <w:pPr>
        <w:spacing w:after="0" w:line="49" w:lineRule="exact"/>
        <w:rPr>
          <w:rFonts w:ascii="Arial" w:cs="Arial" w:eastAsia="Arial" w:hAnsi="Arial"/>
          <w:sz w:val="15"/>
          <w:szCs w:val="15"/>
          <w:color w:val="auto"/>
        </w:rPr>
      </w:pPr>
    </w:p>
    <w:p>
      <w:pPr>
        <w:ind w:left="307" w:hanging="307"/>
        <w:spacing w:after="0" w:line="294" w:lineRule="auto"/>
        <w:tabs>
          <w:tab w:leader="none" w:pos="297" w:val="left"/>
        </w:tabs>
        <w:numPr>
          <w:ilvl w:val="0"/>
          <w:numId w:val="6"/>
        </w:numPr>
        <w:rPr>
          <w:rFonts w:ascii="Arial" w:cs="Arial" w:eastAsia="Arial" w:hAnsi="Arial"/>
          <w:sz w:val="15"/>
          <w:szCs w:val="15"/>
          <w:color w:val="auto"/>
        </w:rPr>
      </w:pPr>
      <w:r>
        <w:rPr>
          <w:rFonts w:ascii="Arial" w:cs="Arial" w:eastAsia="Arial" w:hAnsi="Arial"/>
          <w:sz w:val="15"/>
          <w:szCs w:val="15"/>
          <w:color w:val="auto"/>
        </w:rPr>
        <w:t>Generated income from continuing operations of $76.3 million for the three months ended March 31, 2023. Discrete costs in the period included $3.9 million of integration costs.</w:t>
      </w:r>
    </w:p>
    <w:p>
      <w:pPr>
        <w:spacing w:after="0" w:line="54" w:lineRule="exact"/>
        <w:rPr>
          <w:rFonts w:ascii="Arial" w:cs="Arial" w:eastAsia="Arial" w:hAnsi="Arial"/>
          <w:sz w:val="15"/>
          <w:szCs w:val="15"/>
          <w:color w:val="auto"/>
        </w:rPr>
      </w:pPr>
    </w:p>
    <w:p>
      <w:pPr>
        <w:jc w:val="both"/>
        <w:ind w:left="307" w:hanging="307"/>
        <w:spacing w:after="0" w:line="295" w:lineRule="auto"/>
        <w:tabs>
          <w:tab w:leader="none" w:pos="297" w:val="left"/>
        </w:tabs>
        <w:numPr>
          <w:ilvl w:val="0"/>
          <w:numId w:val="6"/>
        </w:numPr>
        <w:rPr>
          <w:rFonts w:ascii="Times New Roman" w:cs="Times New Roman" w:eastAsia="Times New Roman" w:hAnsi="Times New Roman"/>
          <w:sz w:val="15"/>
          <w:szCs w:val="15"/>
          <w:b w:val="1"/>
          <w:bCs w:val="1"/>
          <w:i w:val="1"/>
          <w:iCs w:val="1"/>
          <w:color w:val="auto"/>
        </w:rPr>
      </w:pPr>
      <w:r>
        <w:rPr>
          <w:rFonts w:ascii="Arial" w:cs="Arial" w:eastAsia="Arial" w:hAnsi="Arial"/>
          <w:sz w:val="15"/>
          <w:szCs w:val="15"/>
          <w:color w:val="auto"/>
        </w:rPr>
        <w:t>Generated Adjusted EBITDA from continuing operations of $246.8 million for the three months ended March 31, 2023, representing an increase of $79.0 million, or 47.1%, as compared to the same period in 2022. This increase was driven primarily by increased leasing and delivery and installation gross profit.</w:t>
      </w:r>
    </w:p>
    <w:p>
      <w:pPr>
        <w:spacing w:after="0" w:line="232" w:lineRule="exact"/>
        <w:rPr>
          <w:rFonts w:ascii="Times New Roman" w:cs="Times New Roman" w:eastAsia="Times New Roman" w:hAnsi="Times New Roman"/>
          <w:sz w:val="15"/>
          <w:szCs w:val="15"/>
          <w:b w:val="1"/>
          <w:bCs w:val="1"/>
          <w:i w:val="1"/>
          <w:iCs w:val="1"/>
          <w:color w:val="auto"/>
        </w:rPr>
      </w:pPr>
    </w:p>
    <w:p>
      <w:pPr>
        <w:jc w:val="both"/>
        <w:ind w:left="927" w:hanging="309"/>
        <w:spacing w:after="0" w:line="281" w:lineRule="auto"/>
        <w:tabs>
          <w:tab w:leader="none" w:pos="917" w:val="left"/>
        </w:tabs>
        <w:numPr>
          <w:ilvl w:val="1"/>
          <w:numId w:val="6"/>
        </w:numPr>
        <w:rPr>
          <w:rFonts w:ascii="Times New Roman" w:cs="Times New Roman" w:eastAsia="Times New Roman" w:hAnsi="Times New Roman"/>
          <w:sz w:val="15"/>
          <w:szCs w:val="15"/>
          <w:b w:val="1"/>
          <w:bCs w:val="1"/>
          <w:i w:val="1"/>
          <w:iCs w:val="1"/>
          <w:color w:val="auto"/>
        </w:rPr>
      </w:pPr>
      <w:r>
        <w:rPr>
          <w:rFonts w:ascii="Arial" w:cs="Arial" w:eastAsia="Arial" w:hAnsi="Arial"/>
          <w:sz w:val="15"/>
          <w:szCs w:val="15"/>
          <w:color w:val="auto"/>
        </w:rPr>
        <w:t>Adjusted EBITDA margin from continuing operations was 43.7% in the first quarter of 2023 and increased 650 bps versus prior year driven by continued expansion of all margin lines. Most significantly, delivery and installation margins increased 1,220 bps versus prior year driven primarily by increased pricing.</w:t>
      </w:r>
    </w:p>
    <w:p>
      <w:pPr>
        <w:spacing w:after="0" w:line="63" w:lineRule="exact"/>
        <w:rPr>
          <w:rFonts w:ascii="Times New Roman" w:cs="Times New Roman" w:eastAsia="Times New Roman" w:hAnsi="Times New Roman"/>
          <w:sz w:val="15"/>
          <w:szCs w:val="15"/>
          <w:b w:val="1"/>
          <w:bCs w:val="1"/>
          <w:i w:val="1"/>
          <w:iCs w:val="1"/>
          <w:color w:val="auto"/>
        </w:rPr>
      </w:pPr>
    </w:p>
    <w:p>
      <w:pPr>
        <w:jc w:val="both"/>
        <w:ind w:left="307" w:hanging="307"/>
        <w:spacing w:after="0" w:line="265" w:lineRule="auto"/>
        <w:tabs>
          <w:tab w:leader="none" w:pos="303" w:val="left"/>
        </w:tabs>
        <w:numPr>
          <w:ilvl w:val="0"/>
          <w:numId w:val="6"/>
        </w:numPr>
        <w:rPr>
          <w:rFonts w:ascii="Times New Roman" w:cs="Times New Roman" w:eastAsia="Times New Roman" w:hAnsi="Times New Roman"/>
          <w:sz w:val="17"/>
          <w:szCs w:val="17"/>
          <w:b w:val="1"/>
          <w:bCs w:val="1"/>
          <w:i w:val="1"/>
          <w:iCs w:val="1"/>
          <w:color w:val="1D2758"/>
        </w:rPr>
      </w:pPr>
      <w:r>
        <w:rPr>
          <w:rFonts w:ascii="Arial" w:cs="Arial" w:eastAsia="Arial" w:hAnsi="Arial"/>
          <w:sz w:val="15"/>
          <w:szCs w:val="15"/>
          <w:color w:val="auto"/>
        </w:rPr>
        <w:t>Net cash provided by operating activities increased $3.2 million to $148.8 million despite the divestitures of the Tank and Pump and UK Storage Segments. Net cash used in investing activities, excluding cash used as part of acquisitions and proceeds from the sale of discontinued operations including the settlement of the contingent foreign currency forward contract that we executed relating to the sale of the former UK Storage Solutions segment, decreased by $45.1 million as a result of reduced refurbishment spending and decreased purchases of new fleet as a result of lower utilization.</w:t>
      </w:r>
    </w:p>
    <w:p>
      <w:pPr>
        <w:spacing w:after="0" w:line="76" w:lineRule="exact"/>
        <w:rPr>
          <w:rFonts w:ascii="Times New Roman" w:cs="Times New Roman" w:eastAsia="Times New Roman" w:hAnsi="Times New Roman"/>
          <w:sz w:val="17"/>
          <w:szCs w:val="17"/>
          <w:b w:val="1"/>
          <w:bCs w:val="1"/>
          <w:i w:val="1"/>
          <w:iCs w:val="1"/>
          <w:color w:val="1D2758"/>
        </w:rPr>
      </w:pPr>
    </w:p>
    <w:p>
      <w:pPr>
        <w:jc w:val="both"/>
        <w:ind w:left="307" w:hanging="307"/>
        <w:spacing w:after="0" w:line="265" w:lineRule="auto"/>
        <w:tabs>
          <w:tab w:leader="none" w:pos="303" w:val="left"/>
        </w:tabs>
        <w:numPr>
          <w:ilvl w:val="0"/>
          <w:numId w:val="6"/>
        </w:numPr>
        <w:rPr>
          <w:rFonts w:ascii="Times New Roman" w:cs="Times New Roman" w:eastAsia="Times New Roman" w:hAnsi="Times New Roman"/>
          <w:sz w:val="17"/>
          <w:szCs w:val="17"/>
          <w:b w:val="1"/>
          <w:bCs w:val="1"/>
          <w:i w:val="1"/>
          <w:iCs w:val="1"/>
          <w:color w:val="1D2758"/>
        </w:rPr>
      </w:pPr>
      <w:r>
        <w:rPr>
          <w:rFonts w:ascii="Arial" w:cs="Arial" w:eastAsia="Arial" w:hAnsi="Arial"/>
          <w:sz w:val="15"/>
          <w:szCs w:val="15"/>
          <w:color w:val="auto"/>
        </w:rPr>
        <w:t>Generated Free Cash Flow of $102.9 million for the three months ended March 31, 2023 representing an increase of $48.3 million as compared to the same period in 2022. This Free Cash Flow along with additional net borrowings under the ABL Facility (defined as receipts from borrowings, less repayment of borrowings from the condensed consolidated statement of cash flows) and proceeds of $404.3 million related to the sale of the former UK Storage Solutions segment, net of the settlement of the contingent foreign currency forward contract, were deployed to:</w:t>
      </w:r>
    </w:p>
    <w:p>
      <w:pPr>
        <w:spacing w:after="0" w:line="76" w:lineRule="exact"/>
        <w:rPr>
          <w:rFonts w:ascii="Times New Roman" w:cs="Times New Roman" w:eastAsia="Times New Roman" w:hAnsi="Times New Roman"/>
          <w:sz w:val="17"/>
          <w:szCs w:val="17"/>
          <w:b w:val="1"/>
          <w:bCs w:val="1"/>
          <w:i w:val="1"/>
          <w:iCs w:val="1"/>
          <w:color w:val="1D2758"/>
        </w:rPr>
      </w:pPr>
    </w:p>
    <w:p>
      <w:pPr>
        <w:ind w:left="927" w:hanging="309"/>
        <w:spacing w:after="0"/>
        <w:tabs>
          <w:tab w:leader="none" w:pos="927" w:val="left"/>
        </w:tabs>
        <w:numPr>
          <w:ilvl w:val="1"/>
          <w:numId w:val="6"/>
        </w:numPr>
        <w:rPr>
          <w:rFonts w:ascii="Times New Roman" w:cs="Times New Roman" w:eastAsia="Times New Roman" w:hAnsi="Times New Roman"/>
          <w:sz w:val="15"/>
          <w:szCs w:val="15"/>
          <w:b w:val="1"/>
          <w:bCs w:val="1"/>
          <w:i w:val="1"/>
          <w:iCs w:val="1"/>
          <w:color w:val="auto"/>
        </w:rPr>
      </w:pPr>
      <w:r>
        <w:rPr>
          <w:rFonts w:ascii="Arial" w:cs="Arial" w:eastAsia="Arial" w:hAnsi="Arial"/>
          <w:sz w:val="15"/>
          <w:szCs w:val="15"/>
          <w:color w:val="auto"/>
        </w:rPr>
        <w:t>Acquire two regional and local storage and modular portfolios of approximately 300 storage units and 500 modular units for $79.6 million; and</w:t>
      </w:r>
    </w:p>
    <w:p>
      <w:pPr>
        <w:spacing w:after="0" w:line="58" w:lineRule="exact"/>
        <w:rPr>
          <w:rFonts w:ascii="Times New Roman" w:cs="Times New Roman" w:eastAsia="Times New Roman" w:hAnsi="Times New Roman"/>
          <w:sz w:val="15"/>
          <w:szCs w:val="15"/>
          <w:b w:val="1"/>
          <w:bCs w:val="1"/>
          <w:i w:val="1"/>
          <w:iCs w:val="1"/>
          <w:color w:val="auto"/>
        </w:rPr>
      </w:pPr>
    </w:p>
    <w:p>
      <w:pPr>
        <w:ind w:left="927" w:hanging="309"/>
        <w:spacing w:after="0"/>
        <w:tabs>
          <w:tab w:leader="none" w:pos="927" w:val="left"/>
        </w:tabs>
        <w:numPr>
          <w:ilvl w:val="1"/>
          <w:numId w:val="6"/>
        </w:numPr>
        <w:rPr>
          <w:rFonts w:ascii="Times New Roman" w:cs="Times New Roman" w:eastAsia="Times New Roman" w:hAnsi="Times New Roman"/>
          <w:sz w:val="15"/>
          <w:szCs w:val="15"/>
          <w:b w:val="1"/>
          <w:bCs w:val="1"/>
          <w:i w:val="1"/>
          <w:iCs w:val="1"/>
          <w:color w:val="1D2758"/>
        </w:rPr>
      </w:pPr>
      <w:r>
        <w:rPr>
          <w:rFonts w:ascii="Arial" w:cs="Arial" w:eastAsia="Arial" w:hAnsi="Arial"/>
          <w:sz w:val="15"/>
          <w:szCs w:val="15"/>
          <w:color w:val="auto"/>
        </w:rPr>
        <w:t>Return $215.7 million to shareholders through stock repurchases, reducing outstanding Common Stock by 4,589,308 shares.</w:t>
      </w:r>
    </w:p>
    <w:p>
      <w:pPr>
        <w:spacing w:after="0" w:line="110" w:lineRule="exact"/>
        <w:rPr>
          <w:rFonts w:ascii="Times New Roman" w:cs="Times New Roman" w:eastAsia="Times New Roman" w:hAnsi="Times New Roman"/>
          <w:sz w:val="15"/>
          <w:szCs w:val="15"/>
          <w:b w:val="1"/>
          <w:bCs w:val="1"/>
          <w:i w:val="1"/>
          <w:iCs w:val="1"/>
          <w:color w:val="1D2758"/>
        </w:rPr>
      </w:pPr>
    </w:p>
    <w:p>
      <w:pPr>
        <w:jc w:val="both"/>
        <w:ind w:left="307" w:hanging="307"/>
        <w:spacing w:after="0" w:line="281" w:lineRule="auto"/>
        <w:tabs>
          <w:tab w:leader="none" w:pos="297" w:val="left"/>
        </w:tabs>
        <w:numPr>
          <w:ilvl w:val="0"/>
          <w:numId w:val="6"/>
        </w:numPr>
        <w:rPr>
          <w:rFonts w:ascii="Times New Roman" w:cs="Times New Roman" w:eastAsia="Times New Roman" w:hAnsi="Times New Roman"/>
          <w:sz w:val="15"/>
          <w:szCs w:val="15"/>
          <w:b w:val="1"/>
          <w:bCs w:val="1"/>
          <w:i w:val="1"/>
          <w:iCs w:val="1"/>
          <w:color w:val="auto"/>
        </w:rPr>
      </w:pPr>
      <w:r>
        <w:rPr>
          <w:rFonts w:ascii="Arial" w:cs="Arial" w:eastAsia="Arial" w:hAnsi="Arial"/>
          <w:sz w:val="15"/>
          <w:szCs w:val="15"/>
          <w:color w:val="auto"/>
        </w:rPr>
        <w:t>We believe the predictability of our free cash flow allows us to pursue multiple capital allocation priorities opportunistically, including investing in organic opportunities we see in the market, maintaining leverage in our stated range, opportunistically executing accretive acquisitions, and returning capital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3"/>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53340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7"/>
          </w:cols>
          <w:pgMar w:left="633" w:top="1056" w:right="339" w:bottom="1440" w:gutter="0" w:footer="0" w:header="0"/>
        </w:sectPr>
      </w:pPr>
    </w:p>
    <w:bookmarkStart w:id="28" w:name="page29"/>
    <w:bookmarkEnd w:id="28"/>
    <w:p>
      <w:pPr>
        <w:spacing w:after="0"/>
        <w:rPr>
          <w:sz w:val="20"/>
          <w:szCs w:val="20"/>
          <w:color w:val="auto"/>
        </w:rPr>
      </w:pPr>
      <w:r>
        <w:rPr>
          <w:rFonts w:ascii="Arial" w:cs="Arial" w:eastAsia="Arial" w:hAnsi="Arial"/>
          <w:sz w:val="22"/>
          <w:szCs w:val="22"/>
          <w:color w:val="1D2758"/>
        </w:rPr>
        <w:t>Consolidated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March 31, 2023 Compared to the Three Months Ended March 31, 2022</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condensed consolidated statements of operations for the three months ended March 31, 2023 and 2022 are presented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080" w:type="dxa"/>
            <w:vAlign w:val="bottom"/>
            <w:gridSpan w:val="4"/>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 March 31,</w:t>
            </w:r>
          </w:p>
        </w:tc>
        <w:tc>
          <w:tcPr>
            <w:tcW w:w="660" w:type="dxa"/>
            <w:vAlign w:val="bottom"/>
            <w:shd w:val="clear" w:color="auto" w:fill="1D2758"/>
          </w:tcPr>
          <w:p>
            <w:pPr>
              <w:spacing w:after="0"/>
              <w:rPr>
                <w:sz w:val="21"/>
                <w:szCs w:val="21"/>
                <w:color w:val="auto"/>
              </w:rPr>
            </w:pPr>
          </w:p>
        </w:tc>
        <w:tc>
          <w:tcPr>
            <w:tcW w:w="100" w:type="dxa"/>
            <w:vAlign w:val="bottom"/>
            <w:shd w:val="clear" w:color="auto" w:fill="1D2758"/>
          </w:tcPr>
          <w:p>
            <w:pPr>
              <w:spacing w:after="0"/>
              <w:rPr>
                <w:sz w:val="21"/>
                <w:szCs w:val="21"/>
                <w:color w:val="auto"/>
              </w:rPr>
            </w:pPr>
          </w:p>
        </w:tc>
        <w:tc>
          <w:tcPr>
            <w:tcW w:w="260" w:type="dxa"/>
            <w:vAlign w:val="bottom"/>
            <w:shd w:val="clear" w:color="auto" w:fill="1D2758"/>
          </w:tcPr>
          <w:p>
            <w:pPr>
              <w:spacing w:after="0"/>
              <w:rPr>
                <w:sz w:val="21"/>
                <w:szCs w:val="21"/>
                <w:color w:val="auto"/>
              </w:rPr>
            </w:pPr>
          </w:p>
        </w:tc>
        <w:tc>
          <w:tcPr>
            <w:tcW w:w="1560" w:type="dxa"/>
            <w:vAlign w:val="bottom"/>
            <w:shd w:val="clear" w:color="auto" w:fill="1D2758"/>
          </w:tcPr>
          <w:p>
            <w:pPr>
              <w:jc w:val="right"/>
              <w:ind w:right="343"/>
              <w:spacing w:after="0"/>
              <w:rPr>
                <w:sz w:val="20"/>
                <w:szCs w:val="20"/>
                <w:color w:val="auto"/>
              </w:rPr>
            </w:pPr>
            <w:r>
              <w:rPr>
                <w:rFonts w:ascii="Arial" w:cs="Arial" w:eastAsia="Arial" w:hAnsi="Arial"/>
                <w:sz w:val="15"/>
                <w:szCs w:val="15"/>
                <w:b w:val="1"/>
                <w:bCs w:val="1"/>
                <w:color w:val="FFFFFF"/>
              </w:rPr>
              <w:t>2023 vs. 2022</w:t>
            </w:r>
          </w:p>
        </w:tc>
        <w:tc>
          <w:tcPr>
            <w:tcW w:w="0" w:type="dxa"/>
            <w:vAlign w:val="bottom"/>
          </w:tcPr>
          <w:p>
            <w:pPr>
              <w:spacing w:after="0"/>
              <w:rPr>
                <w:sz w:val="1"/>
                <w:szCs w:val="1"/>
                <w:color w:val="auto"/>
              </w:rPr>
            </w:pPr>
          </w:p>
        </w:tc>
      </w:tr>
      <w:tr>
        <w:trPr>
          <w:trHeight w:val="226"/>
        </w:trPr>
        <w:tc>
          <w:tcPr>
            <w:tcW w:w="5580" w:type="dxa"/>
            <w:vAlign w:val="bottom"/>
            <w:vMerge w:val="continue"/>
            <w:shd w:val="clear" w:color="auto" w:fill="1D2758"/>
          </w:tcPr>
          <w:p>
            <w:pPr>
              <w:spacing w:after="0"/>
              <w:rPr>
                <w:sz w:val="19"/>
                <w:szCs w:val="19"/>
                <w:color w:val="auto"/>
              </w:rPr>
            </w:pPr>
          </w:p>
        </w:tc>
        <w:tc>
          <w:tcPr>
            <w:tcW w:w="114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2023</w:t>
            </w:r>
          </w:p>
        </w:tc>
        <w:tc>
          <w:tcPr>
            <w:tcW w:w="680" w:type="dxa"/>
            <w:vAlign w:val="bottom"/>
            <w:shd w:val="clear" w:color="auto" w:fill="1D2758"/>
          </w:tcPr>
          <w:p>
            <w:pPr>
              <w:spacing w:after="0"/>
              <w:rPr>
                <w:sz w:val="19"/>
                <w:szCs w:val="19"/>
                <w:color w:val="auto"/>
              </w:rPr>
            </w:pPr>
          </w:p>
        </w:tc>
        <w:tc>
          <w:tcPr>
            <w:tcW w:w="100" w:type="dxa"/>
            <w:vAlign w:val="bottom"/>
            <w:shd w:val="clear" w:color="auto" w:fill="1D2758"/>
          </w:tcPr>
          <w:p>
            <w:pPr>
              <w:spacing w:after="0"/>
              <w:rPr>
                <w:sz w:val="19"/>
                <w:szCs w:val="19"/>
                <w:color w:val="auto"/>
              </w:rPr>
            </w:pPr>
          </w:p>
        </w:tc>
        <w:tc>
          <w:tcPr>
            <w:tcW w:w="1160" w:type="dxa"/>
            <w:vAlign w:val="bottom"/>
            <w:vMerge w:val="restart"/>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2022</w:t>
            </w:r>
          </w:p>
        </w:tc>
        <w:tc>
          <w:tcPr>
            <w:tcW w:w="660" w:type="dxa"/>
            <w:vAlign w:val="bottom"/>
            <w:shd w:val="clear" w:color="auto" w:fill="1D2758"/>
          </w:tcPr>
          <w:p>
            <w:pPr>
              <w:spacing w:after="0"/>
              <w:rPr>
                <w:sz w:val="19"/>
                <w:szCs w:val="19"/>
                <w:color w:val="auto"/>
              </w:rPr>
            </w:pPr>
          </w:p>
        </w:tc>
        <w:tc>
          <w:tcPr>
            <w:tcW w:w="100" w:type="dxa"/>
            <w:vAlign w:val="bottom"/>
            <w:shd w:val="clear" w:color="auto" w:fill="1D2758"/>
          </w:tcPr>
          <w:p>
            <w:pPr>
              <w:spacing w:after="0"/>
              <w:rPr>
                <w:sz w:val="19"/>
                <w:szCs w:val="19"/>
                <w:color w:val="auto"/>
              </w:rPr>
            </w:pPr>
          </w:p>
        </w:tc>
        <w:tc>
          <w:tcPr>
            <w:tcW w:w="260" w:type="dxa"/>
            <w:vAlign w:val="bottom"/>
            <w:shd w:val="clear" w:color="auto" w:fill="1D2758"/>
          </w:tcPr>
          <w:p>
            <w:pPr>
              <w:spacing w:after="0"/>
              <w:rPr>
                <w:sz w:val="19"/>
                <w:szCs w:val="19"/>
                <w:color w:val="auto"/>
              </w:rPr>
            </w:pPr>
          </w:p>
        </w:tc>
        <w:tc>
          <w:tcPr>
            <w:tcW w:w="1560" w:type="dxa"/>
            <w:vAlign w:val="bottom"/>
            <w:shd w:val="clear" w:color="auto" w:fill="1D2758"/>
          </w:tcPr>
          <w:p>
            <w:pPr>
              <w:jc w:val="right"/>
              <w:ind w:right="483"/>
              <w:spacing w:after="0"/>
              <w:rPr>
                <w:sz w:val="20"/>
                <w:szCs w:val="20"/>
                <w:color w:val="auto"/>
              </w:rPr>
            </w:pPr>
            <w:r>
              <w:rPr>
                <w:rFonts w:ascii="Arial" w:cs="Arial" w:eastAsia="Arial" w:hAnsi="Arial"/>
                <w:sz w:val="15"/>
                <w:szCs w:val="15"/>
                <w:b w:val="1"/>
                <w:bCs w:val="1"/>
                <w:color w:val="FFFFFF"/>
              </w:rPr>
              <w:t>$ Change</w:t>
            </w:r>
          </w:p>
        </w:tc>
        <w:tc>
          <w:tcPr>
            <w:tcW w:w="0" w:type="dxa"/>
            <w:vAlign w:val="bottom"/>
          </w:tcPr>
          <w:p>
            <w:pPr>
              <w:spacing w:after="0"/>
              <w:rPr>
                <w:sz w:val="1"/>
                <w:szCs w:val="1"/>
                <w:color w:val="auto"/>
              </w:rPr>
            </w:pPr>
          </w:p>
        </w:tc>
      </w:tr>
      <w:tr>
        <w:trPr>
          <w:trHeight w:val="71"/>
        </w:trPr>
        <w:tc>
          <w:tcPr>
            <w:tcW w:w="5580" w:type="dxa"/>
            <w:vAlign w:val="bottom"/>
            <w:shd w:val="clear" w:color="auto" w:fill="1D2758"/>
          </w:tcPr>
          <w:p>
            <w:pPr>
              <w:spacing w:after="0"/>
              <w:rPr>
                <w:sz w:val="6"/>
                <w:szCs w:val="6"/>
                <w:color w:val="auto"/>
              </w:rPr>
            </w:pPr>
          </w:p>
        </w:tc>
        <w:tc>
          <w:tcPr>
            <w:tcW w:w="1140" w:type="dxa"/>
            <w:vAlign w:val="bottom"/>
            <w:vMerge w:val="continue"/>
            <w:shd w:val="clear" w:color="auto" w:fill="1D2758"/>
          </w:tcPr>
          <w:p>
            <w:pPr>
              <w:spacing w:after="0"/>
              <w:rPr>
                <w:sz w:val="6"/>
                <w:szCs w:val="6"/>
                <w:color w:val="auto"/>
              </w:rPr>
            </w:pPr>
          </w:p>
        </w:tc>
        <w:tc>
          <w:tcPr>
            <w:tcW w:w="680" w:type="dxa"/>
            <w:vAlign w:val="bottom"/>
            <w:shd w:val="clear" w:color="auto" w:fill="1D2758"/>
          </w:tcPr>
          <w:p>
            <w:pPr>
              <w:spacing w:after="0"/>
              <w:rPr>
                <w:sz w:val="6"/>
                <w:szCs w:val="6"/>
                <w:color w:val="auto"/>
              </w:rPr>
            </w:pPr>
          </w:p>
        </w:tc>
        <w:tc>
          <w:tcPr>
            <w:tcW w:w="100" w:type="dxa"/>
            <w:vAlign w:val="bottom"/>
            <w:shd w:val="clear" w:color="auto" w:fill="1D2758"/>
          </w:tcPr>
          <w:p>
            <w:pPr>
              <w:spacing w:after="0"/>
              <w:rPr>
                <w:sz w:val="6"/>
                <w:szCs w:val="6"/>
                <w:color w:val="auto"/>
              </w:rPr>
            </w:pPr>
          </w:p>
        </w:tc>
        <w:tc>
          <w:tcPr>
            <w:tcW w:w="1160" w:type="dxa"/>
            <w:vAlign w:val="bottom"/>
            <w:vMerge w:val="continue"/>
            <w:shd w:val="clear" w:color="auto" w:fill="1D2758"/>
          </w:tcPr>
          <w:p>
            <w:pPr>
              <w:spacing w:after="0"/>
              <w:rPr>
                <w:sz w:val="6"/>
                <w:szCs w:val="6"/>
                <w:color w:val="auto"/>
              </w:rPr>
            </w:pPr>
          </w:p>
        </w:tc>
        <w:tc>
          <w:tcPr>
            <w:tcW w:w="660" w:type="dxa"/>
            <w:vAlign w:val="bottom"/>
            <w:shd w:val="clear" w:color="auto" w:fill="1D2758"/>
          </w:tcPr>
          <w:p>
            <w:pPr>
              <w:spacing w:after="0"/>
              <w:rPr>
                <w:sz w:val="6"/>
                <w:szCs w:val="6"/>
                <w:color w:val="auto"/>
              </w:rPr>
            </w:pPr>
          </w:p>
        </w:tc>
        <w:tc>
          <w:tcPr>
            <w:tcW w:w="100" w:type="dxa"/>
            <w:vAlign w:val="bottom"/>
            <w:shd w:val="clear" w:color="auto" w:fill="1D2758"/>
          </w:tcPr>
          <w:p>
            <w:pPr>
              <w:spacing w:after="0"/>
              <w:rPr>
                <w:sz w:val="6"/>
                <w:szCs w:val="6"/>
                <w:color w:val="auto"/>
              </w:rPr>
            </w:pPr>
          </w:p>
        </w:tc>
        <w:tc>
          <w:tcPr>
            <w:tcW w:w="260" w:type="dxa"/>
            <w:vAlign w:val="bottom"/>
            <w:shd w:val="clear" w:color="auto" w:fill="1D2758"/>
          </w:tcPr>
          <w:p>
            <w:pPr>
              <w:spacing w:after="0"/>
              <w:rPr>
                <w:sz w:val="6"/>
                <w:szCs w:val="6"/>
                <w:color w:val="auto"/>
              </w:rPr>
            </w:pPr>
          </w:p>
        </w:tc>
        <w:tc>
          <w:tcPr>
            <w:tcW w:w="1560" w:type="dxa"/>
            <w:vAlign w:val="bottom"/>
            <w:shd w:val="clear" w:color="auto" w:fill="1D2758"/>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14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5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140" w:type="dxa"/>
            <w:vAlign w:val="bottom"/>
            <w:shd w:val="clear" w:color="auto" w:fill="DBDBDB"/>
          </w:tcPr>
          <w:p>
            <w:pPr>
              <w:jc w:val="right"/>
              <w:ind w:right="963"/>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439,951</w:t>
            </w:r>
          </w:p>
        </w:tc>
        <w:tc>
          <w:tcPr>
            <w:tcW w:w="10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983"/>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351,559</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88,392</w:t>
            </w:r>
          </w:p>
        </w:tc>
        <w:tc>
          <w:tcPr>
            <w:tcW w:w="0" w:type="dxa"/>
            <w:vAlign w:val="bottom"/>
          </w:tcPr>
          <w:p>
            <w:pPr>
              <w:spacing w:after="0"/>
              <w:rPr>
                <w:sz w:val="1"/>
                <w:szCs w:val="1"/>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106,630</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85,539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21,091</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114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10,657</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5,787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4,870</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140" w:type="dxa"/>
            <w:vAlign w:val="bottom"/>
            <w:tcBorders>
              <w:bottom w:val="single" w:sz="8" w:color="auto"/>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8,230</w:t>
            </w:r>
          </w:p>
        </w:tc>
        <w:tc>
          <w:tcPr>
            <w:tcW w:w="100" w:type="dxa"/>
            <w:vAlign w:val="bottom"/>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8,286</w:t>
            </w:r>
          </w:p>
        </w:tc>
        <w:tc>
          <w:tcPr>
            <w:tcW w:w="100" w:type="dxa"/>
            <w:vAlign w:val="bottom"/>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98"/>
        </w:trPr>
        <w:tc>
          <w:tcPr>
            <w:tcW w:w="558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565,468</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451,171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114,297</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114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14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97,515</w:t>
            </w:r>
          </w:p>
        </w:tc>
        <w:tc>
          <w:tcPr>
            <w:tcW w:w="10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80,334</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17,181</w:t>
            </w:r>
          </w:p>
        </w:tc>
        <w:tc>
          <w:tcPr>
            <w:tcW w:w="0" w:type="dxa"/>
            <w:vAlign w:val="bottom"/>
          </w:tcPr>
          <w:p>
            <w:pPr>
              <w:spacing w:after="0"/>
              <w:rPr>
                <w:sz w:val="1"/>
                <w:szCs w:val="1"/>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75,007</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70,580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4,427</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114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6,208</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3,756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2,452</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14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4,454</w:t>
            </w:r>
          </w:p>
        </w:tc>
        <w:tc>
          <w:tcPr>
            <w:tcW w:w="10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4,892</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(438)</w:t>
            </w:r>
          </w:p>
        </w:tc>
        <w:tc>
          <w:tcPr>
            <w:tcW w:w="0" w:type="dxa"/>
            <w:vAlign w:val="bottom"/>
          </w:tcPr>
          <w:p>
            <w:pPr>
              <w:spacing w:after="0"/>
              <w:rPr>
                <w:sz w:val="1"/>
                <w:szCs w:val="1"/>
                <w:color w:val="auto"/>
              </w:rPr>
            </w:pPr>
          </w:p>
        </w:tc>
      </w:tr>
      <w:tr>
        <w:trPr>
          <w:trHeight w:val="205"/>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1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59,156</w:t>
            </w:r>
          </w:p>
        </w:tc>
        <w:tc>
          <w:tcPr>
            <w:tcW w:w="100" w:type="dxa"/>
            <w:vAlign w:val="bottom"/>
            <w:tcBorders>
              <w:bottom w:val="single" w:sz="8" w:color="DBDBDB"/>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57,548</w:t>
            </w:r>
          </w:p>
        </w:tc>
        <w:tc>
          <w:tcPr>
            <w:tcW w:w="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1,608</w:t>
            </w:r>
          </w:p>
        </w:tc>
        <w:tc>
          <w:tcPr>
            <w:tcW w:w="0" w:type="dxa"/>
            <w:vAlign w:val="bottom"/>
          </w:tcPr>
          <w:p>
            <w:pPr>
              <w:spacing w:after="0"/>
              <w:rPr>
                <w:sz w:val="1"/>
                <w:szCs w:val="1"/>
                <w:color w:val="auto"/>
              </w:rPr>
            </w:pPr>
          </w:p>
        </w:tc>
      </w:tr>
      <w:tr>
        <w:trPr>
          <w:trHeight w:val="200"/>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1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323,128</w:t>
            </w:r>
          </w:p>
        </w:tc>
        <w:tc>
          <w:tcPr>
            <w:tcW w:w="10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234,061</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89,067</w:t>
            </w:r>
          </w:p>
        </w:tc>
        <w:tc>
          <w:tcPr>
            <w:tcW w:w="0" w:type="dxa"/>
            <w:vAlign w:val="bottom"/>
          </w:tcPr>
          <w:p>
            <w:pPr>
              <w:spacing w:after="0"/>
              <w:rPr>
                <w:sz w:val="1"/>
                <w:szCs w:val="1"/>
                <w:color w:val="auto"/>
              </w:rPr>
            </w:pPr>
          </w:p>
        </w:tc>
      </w:tr>
      <w:tr>
        <w:trPr>
          <w:trHeight w:val="205"/>
        </w:trPr>
        <w:tc>
          <w:tcPr>
            <w:tcW w:w="5580" w:type="dxa"/>
            <w:vAlign w:val="bottom"/>
          </w:tcPr>
          <w:p>
            <w:pPr>
              <w:ind w:left="20"/>
              <w:spacing w:after="0"/>
              <w:rPr>
                <w:sz w:val="20"/>
                <w:szCs w:val="20"/>
                <w:color w:val="auto"/>
              </w:rPr>
            </w:pPr>
            <w:r>
              <w:rPr>
                <w:rFonts w:ascii="Arial" w:cs="Arial" w:eastAsia="Arial" w:hAnsi="Arial"/>
                <w:sz w:val="15"/>
                <w:szCs w:val="15"/>
                <w:color w:val="auto"/>
              </w:rPr>
              <w:t>Expenses:</w:t>
            </w: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114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150,892</w:t>
            </w:r>
          </w:p>
        </w:tc>
        <w:tc>
          <w:tcPr>
            <w:tcW w:w="10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138,144</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12,748</w:t>
            </w: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17,173</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15,362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1,811</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114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6,775</w:t>
            </w:r>
          </w:p>
        </w:tc>
        <w:tc>
          <w:tcPr>
            <w:tcW w:w="10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137</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6,638</w:t>
            </w:r>
          </w:p>
        </w:tc>
        <w:tc>
          <w:tcPr>
            <w:tcW w:w="0" w:type="dxa"/>
            <w:vAlign w:val="bottom"/>
          </w:tcPr>
          <w:p>
            <w:pPr>
              <w:spacing w:after="0"/>
              <w:rPr>
                <w:sz w:val="1"/>
                <w:szCs w:val="1"/>
                <w:color w:val="auto"/>
              </w:rPr>
            </w:pPr>
          </w:p>
        </w:tc>
      </w:tr>
      <w:tr>
        <w:trPr>
          <w:trHeight w:val="205"/>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income, net</w:t>
            </w:r>
          </w:p>
        </w:tc>
        <w:tc>
          <w:tcPr>
            <w:tcW w:w="1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(3,359)</w:t>
            </w:r>
          </w:p>
        </w:tc>
        <w:tc>
          <w:tcPr>
            <w:tcW w:w="100" w:type="dxa"/>
            <w:vAlign w:val="bottom"/>
            <w:tcBorders>
              <w:bottom w:val="single" w:sz="8" w:color="DBDBDB"/>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(1,283)</w:t>
            </w:r>
          </w:p>
        </w:tc>
        <w:tc>
          <w:tcPr>
            <w:tcW w:w="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(2,076)</w:t>
            </w:r>
          </w:p>
        </w:tc>
        <w:tc>
          <w:tcPr>
            <w:tcW w:w="0" w:type="dxa"/>
            <w:vAlign w:val="bottom"/>
          </w:tcPr>
          <w:p>
            <w:pPr>
              <w:spacing w:after="0"/>
              <w:rPr>
                <w:sz w:val="1"/>
                <w:szCs w:val="1"/>
                <w:color w:val="auto"/>
              </w:rPr>
            </w:pPr>
          </w:p>
        </w:tc>
      </w:tr>
      <w:tr>
        <w:trPr>
          <w:trHeight w:val="200"/>
        </w:trPr>
        <w:tc>
          <w:tcPr>
            <w:tcW w:w="558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income</w:t>
            </w:r>
          </w:p>
        </w:tc>
        <w:tc>
          <w:tcPr>
            <w:tcW w:w="1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151,647</w:t>
            </w:r>
          </w:p>
        </w:tc>
        <w:tc>
          <w:tcPr>
            <w:tcW w:w="10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81,701</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69,946</w:t>
            </w:r>
          </w:p>
        </w:tc>
        <w:tc>
          <w:tcPr>
            <w:tcW w:w="0" w:type="dxa"/>
            <w:vAlign w:val="bottom"/>
          </w:tcPr>
          <w:p>
            <w:pPr>
              <w:spacing w:after="0"/>
              <w:rPr>
                <w:sz w:val="1"/>
                <w:szCs w:val="1"/>
                <w:color w:val="auto"/>
              </w:rPr>
            </w:pPr>
          </w:p>
        </w:tc>
      </w:tr>
      <w:tr>
        <w:trPr>
          <w:trHeight w:val="205"/>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Interest expense</w:t>
            </w:r>
          </w:p>
        </w:tc>
        <w:tc>
          <w:tcPr>
            <w:tcW w:w="1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44,866</w:t>
            </w:r>
          </w:p>
        </w:tc>
        <w:tc>
          <w:tcPr>
            <w:tcW w:w="100" w:type="dxa"/>
            <w:vAlign w:val="bottom"/>
            <w:tcBorders>
              <w:bottom w:val="single" w:sz="8" w:color="DBDBDB"/>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30,570</w:t>
            </w:r>
          </w:p>
        </w:tc>
        <w:tc>
          <w:tcPr>
            <w:tcW w:w="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14,296</w:t>
            </w:r>
          </w:p>
        </w:tc>
        <w:tc>
          <w:tcPr>
            <w:tcW w:w="0" w:type="dxa"/>
            <w:vAlign w:val="bottom"/>
          </w:tcPr>
          <w:p>
            <w:pPr>
              <w:spacing w:after="0"/>
              <w:rPr>
                <w:sz w:val="1"/>
                <w:szCs w:val="1"/>
                <w:color w:val="auto"/>
              </w:rPr>
            </w:pPr>
          </w:p>
        </w:tc>
      </w:tr>
      <w:tr>
        <w:trPr>
          <w:trHeight w:val="200"/>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 before income tax</w:t>
            </w:r>
          </w:p>
        </w:tc>
        <w:tc>
          <w:tcPr>
            <w:tcW w:w="1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106,781</w:t>
            </w:r>
          </w:p>
        </w:tc>
        <w:tc>
          <w:tcPr>
            <w:tcW w:w="10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51,131</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55,650</w:t>
            </w:r>
          </w:p>
        </w:tc>
        <w:tc>
          <w:tcPr>
            <w:tcW w:w="0" w:type="dxa"/>
            <w:vAlign w:val="bottom"/>
          </w:tcPr>
          <w:p>
            <w:pPr>
              <w:spacing w:after="0"/>
              <w:rPr>
                <w:sz w:val="1"/>
                <w:szCs w:val="1"/>
                <w:color w:val="auto"/>
              </w:rPr>
            </w:pPr>
          </w:p>
        </w:tc>
      </w:tr>
      <w:tr>
        <w:trPr>
          <w:trHeight w:val="205"/>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 from continuing operations</w:t>
            </w:r>
          </w:p>
        </w:tc>
        <w:tc>
          <w:tcPr>
            <w:tcW w:w="1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30,510</w:t>
            </w:r>
          </w:p>
        </w:tc>
        <w:tc>
          <w:tcPr>
            <w:tcW w:w="100" w:type="dxa"/>
            <w:vAlign w:val="bottom"/>
            <w:tcBorders>
              <w:bottom w:val="single" w:sz="8" w:color="DBDBDB"/>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12,083</w:t>
            </w:r>
          </w:p>
        </w:tc>
        <w:tc>
          <w:tcPr>
            <w:tcW w:w="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18,427</w:t>
            </w:r>
          </w:p>
        </w:tc>
        <w:tc>
          <w:tcPr>
            <w:tcW w:w="0" w:type="dxa"/>
            <w:vAlign w:val="bottom"/>
          </w:tcPr>
          <w:p>
            <w:pPr>
              <w:spacing w:after="0"/>
              <w:rPr>
                <w:sz w:val="1"/>
                <w:szCs w:val="1"/>
                <w:color w:val="auto"/>
              </w:rPr>
            </w:pPr>
          </w:p>
        </w:tc>
      </w:tr>
      <w:tr>
        <w:trPr>
          <w:trHeight w:val="19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w:t>
            </w:r>
          </w:p>
        </w:tc>
        <w:tc>
          <w:tcPr>
            <w:tcW w:w="1140" w:type="dxa"/>
            <w:vAlign w:val="bottom"/>
            <w:tcBorders>
              <w:bottom w:val="single" w:sz="8" w:color="auto"/>
            </w:tcBorders>
            <w:shd w:val="clear" w:color="auto" w:fill="DBDBDB"/>
          </w:tcPr>
          <w:p>
            <w:pPr>
              <w:jc w:val="right"/>
              <w:ind w:right="96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76,271</w:t>
            </w:r>
          </w:p>
        </w:tc>
        <w:tc>
          <w:tcPr>
            <w:tcW w:w="100" w:type="dxa"/>
            <w:vAlign w:val="bottom"/>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ind w:right="983"/>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39,048</w:t>
            </w:r>
          </w:p>
        </w:tc>
        <w:tc>
          <w:tcPr>
            <w:tcW w:w="100" w:type="dxa"/>
            <w:vAlign w:val="bottom"/>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37,223</w:t>
            </w:r>
          </w:p>
        </w:tc>
        <w:tc>
          <w:tcPr>
            <w:tcW w:w="0" w:type="dxa"/>
            <w:vAlign w:val="bottom"/>
          </w:tcPr>
          <w:p>
            <w:pPr>
              <w:spacing w:after="0"/>
              <w:rPr>
                <w:sz w:val="1"/>
                <w:szCs w:val="1"/>
                <w:color w:val="auto"/>
              </w:rPr>
            </w:pPr>
          </w:p>
        </w:tc>
      </w:tr>
      <w:tr>
        <w:trPr>
          <w:trHeight w:val="200"/>
        </w:trPr>
        <w:tc>
          <w:tcPr>
            <w:tcW w:w="5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Discontinued operations:</w:t>
            </w:r>
          </w:p>
        </w:tc>
        <w:tc>
          <w:tcPr>
            <w:tcW w:w="114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5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580" w:type="dxa"/>
            <w:vAlign w:val="bottom"/>
          </w:tcPr>
          <w:p>
            <w:pPr>
              <w:ind w:left="220"/>
              <w:spacing w:after="0"/>
              <w:rPr>
                <w:sz w:val="20"/>
                <w:szCs w:val="20"/>
                <w:color w:val="auto"/>
              </w:rPr>
            </w:pPr>
            <w:r>
              <w:rPr>
                <w:rFonts w:ascii="Arial" w:cs="Arial" w:eastAsia="Arial" w:hAnsi="Arial"/>
                <w:sz w:val="15"/>
                <w:szCs w:val="15"/>
                <w:color w:val="auto"/>
              </w:rPr>
              <w:t>Income from discontinued operations before income tax</w:t>
            </w: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4,003</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15,787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(11,784)</w:t>
            </w:r>
          </w:p>
        </w:tc>
        <w:tc>
          <w:tcPr>
            <w:tcW w:w="0" w:type="dxa"/>
            <w:vAlign w:val="bottom"/>
          </w:tcPr>
          <w:p>
            <w:pPr>
              <w:spacing w:after="0"/>
              <w:rPr>
                <w:sz w:val="1"/>
                <w:szCs w:val="1"/>
                <w:color w:val="auto"/>
              </w:rPr>
            </w:pPr>
          </w:p>
        </w:tc>
      </w:tr>
      <w:tr>
        <w:trPr>
          <w:trHeight w:val="207"/>
        </w:trPr>
        <w:tc>
          <w:tcPr>
            <w:tcW w:w="55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Gain on sale of discontinued operations</w:t>
            </w:r>
          </w:p>
        </w:tc>
        <w:tc>
          <w:tcPr>
            <w:tcW w:w="114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176,078</w:t>
            </w:r>
          </w:p>
        </w:tc>
        <w:tc>
          <w:tcPr>
            <w:tcW w:w="10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7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DBDBDB"/>
          </w:tcPr>
          <w:p>
            <w:pPr>
              <w:spacing w:after="0"/>
              <w:rPr>
                <w:sz w:val="18"/>
                <w:szCs w:val="18"/>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176,078</w:t>
            </w:r>
          </w:p>
        </w:tc>
        <w:tc>
          <w:tcPr>
            <w:tcW w:w="0" w:type="dxa"/>
            <w:vAlign w:val="bottom"/>
          </w:tcPr>
          <w:p>
            <w:pPr>
              <w:spacing w:after="0"/>
              <w:rPr>
                <w:sz w:val="1"/>
                <w:szCs w:val="1"/>
                <w:color w:val="auto"/>
              </w:rPr>
            </w:pPr>
          </w:p>
        </w:tc>
      </w:tr>
      <w:tr>
        <w:trPr>
          <w:trHeight w:val="205"/>
        </w:trPr>
        <w:tc>
          <w:tcPr>
            <w:tcW w:w="55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 from discontinued operations</w:t>
            </w:r>
          </w:p>
        </w:tc>
        <w:tc>
          <w:tcPr>
            <w:tcW w:w="1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45,468</w:t>
            </w:r>
          </w:p>
        </w:tc>
        <w:tc>
          <w:tcPr>
            <w:tcW w:w="100" w:type="dxa"/>
            <w:vAlign w:val="bottom"/>
            <w:tcBorders>
              <w:bottom w:val="single" w:sz="8" w:color="DBDBDB"/>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3,664</w:t>
            </w:r>
          </w:p>
        </w:tc>
        <w:tc>
          <w:tcPr>
            <w:tcW w:w="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41,804</w:t>
            </w:r>
          </w:p>
        </w:tc>
        <w:tc>
          <w:tcPr>
            <w:tcW w:w="0" w:type="dxa"/>
            <w:vAlign w:val="bottom"/>
          </w:tcPr>
          <w:p>
            <w:pPr>
              <w:spacing w:after="0"/>
              <w:rPr>
                <w:sz w:val="1"/>
                <w:szCs w:val="1"/>
                <w:color w:val="auto"/>
              </w:rPr>
            </w:pPr>
          </w:p>
        </w:tc>
      </w:tr>
      <w:tr>
        <w:trPr>
          <w:trHeight w:val="199"/>
        </w:trPr>
        <w:tc>
          <w:tcPr>
            <w:tcW w:w="558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discontinued operations</w:t>
            </w:r>
          </w:p>
        </w:tc>
        <w:tc>
          <w:tcPr>
            <w:tcW w:w="114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134,613</w:t>
            </w:r>
          </w:p>
        </w:tc>
        <w:tc>
          <w:tcPr>
            <w:tcW w:w="100" w:type="dxa"/>
            <w:vAlign w:val="bottom"/>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12,123</w:t>
            </w:r>
          </w:p>
        </w:tc>
        <w:tc>
          <w:tcPr>
            <w:tcW w:w="100" w:type="dxa"/>
            <w:vAlign w:val="bottom"/>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122,490</w:t>
            </w:r>
          </w:p>
        </w:tc>
        <w:tc>
          <w:tcPr>
            <w:tcW w:w="0" w:type="dxa"/>
            <w:vAlign w:val="bottom"/>
          </w:tcPr>
          <w:p>
            <w:pPr>
              <w:spacing w:after="0"/>
              <w:rPr>
                <w:sz w:val="1"/>
                <w:szCs w:val="1"/>
                <w:color w:val="auto"/>
              </w:rPr>
            </w:pPr>
          </w:p>
        </w:tc>
      </w:tr>
      <w:tr>
        <w:trPr>
          <w:trHeight w:val="239"/>
        </w:trPr>
        <w:tc>
          <w:tcPr>
            <w:tcW w:w="5580" w:type="dxa"/>
            <w:vAlign w:val="bottom"/>
            <w:tcBorders>
              <w:bottom w:val="single" w:sz="8" w:color="DBDBDB"/>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1140" w:type="dxa"/>
            <w:vAlign w:val="bottom"/>
            <w:tcBorders>
              <w:bottom w:val="single" w:sz="8" w:color="auto"/>
            </w:tcBorders>
            <w:shd w:val="clear" w:color="auto" w:fill="DBDBDB"/>
          </w:tcPr>
          <w:p>
            <w:pPr>
              <w:jc w:val="right"/>
              <w:ind w:right="96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210,884</w:t>
            </w:r>
          </w:p>
        </w:tc>
        <w:tc>
          <w:tcPr>
            <w:tcW w:w="10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ind w:right="983"/>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51,171</w:t>
            </w:r>
          </w:p>
        </w:tc>
        <w:tc>
          <w:tcPr>
            <w:tcW w:w="10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159,713</w:t>
            </w:r>
          </w:p>
        </w:tc>
        <w:tc>
          <w:tcPr>
            <w:tcW w:w="0" w:type="dxa"/>
            <w:vAlign w:val="bottom"/>
          </w:tcPr>
          <w:p>
            <w:pPr>
              <w:spacing w:after="0"/>
              <w:rPr>
                <w:sz w:val="1"/>
                <w:szCs w:val="1"/>
                <w:color w:val="auto"/>
              </w:rPr>
            </w:pPr>
          </w:p>
        </w:tc>
      </w:tr>
      <w:tr>
        <w:trPr>
          <w:trHeight w:val="20"/>
        </w:trPr>
        <w:tc>
          <w:tcPr>
            <w:tcW w:w="558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Three Months Ended March 31, 2023 and 2022</w:t>
      </w:r>
    </w:p>
    <w:p>
      <w:pPr>
        <w:spacing w:after="0" w:line="12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$114.3 million, or 25.3%, to $565.5 million for the three months ended March 31, 2023 from $451.2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March 31, 2022. Leasing revenue increased $88.4 million, or 25.1%, as compared to the same period in 2022 driven by improved pricing and value added products penetration and an increase of 12,304 average portable storage units on rent. Delivery and installation revenues increased $21.1 million, or 24.7%, due to increased pricing across both of our segments. Rental unit sales decreased $0.1 million, or 1.2%, and new unit sales increased $4.9 million, or 84.5% driven by increased sale opportunities in our Modular segment.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29" w:name="page30"/>
    <w:bookmarkEnd w:id="29"/>
    <w:p>
      <w:pPr>
        <w:jc w:val="both"/>
        <w:ind w:firstLine="619"/>
        <w:spacing w:after="0" w:line="267" w:lineRule="auto"/>
        <w:rPr>
          <w:sz w:val="20"/>
          <w:szCs w:val="20"/>
          <w:color w:val="auto"/>
        </w:rPr>
      </w:pPr>
      <w:r>
        <w:rPr>
          <w:rFonts w:ascii="Arial" w:cs="Arial" w:eastAsia="Arial" w:hAnsi="Arial"/>
          <w:sz w:val="15"/>
          <w:szCs w:val="15"/>
          <w:color w:val="auto"/>
        </w:rPr>
        <w:t>Total average units on rent for the three months ended March 31, 2023 and 2022 were 267,230 and 256,356, respectively, representing an increase of 10,874, or 4.2%. Portable storage average units on rent increased by 12,304 units, or 8.1%, for the three months ended March 31, 2023 driven by strong delivery and unit on rent growth in 2022. The average portable storage unit utilization rate during the three months ended March 31, 2023 was 78.7%, as compared to 83.1% during the same period in 2022. Modular space average units on rent decreased 1,430 units, or 1.4%, for the three months ended March 31, 2023 as compared to the three months ended March 31, 2022. The average modular space unit utilization rate during the three months ended March 31, 2023 was 66.0% as compared to 68.5% during the same period in 2022.</w:t>
      </w:r>
    </w:p>
    <w:p>
      <w:pPr>
        <w:spacing w:after="0" w:line="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Modular space average monthly rental rates increased 19.7% to $989 for the three months ended March 31, 2023. Average modular space monthly rental rates increased by $152, or 17.0%, to $1,046 in the Modular segment and by $174, or 29.7%, in the Storage segment. Increases were driven by a continuation of the long-term price optimization and VAPS penetration opportunities across our Modular segment as well as by application of these same price management tools and processes across the Storage segment.</w:t>
      </w:r>
    </w:p>
    <w:p>
      <w:pPr>
        <w:spacing w:after="0" w:line="3"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Average portable storage monthly rental rates increased 30.1% to $216 for the three months ended March 31, 2023 driven by our price management tools and processes and early benefits from increased VAPS penetration opportunities on our basic VAPS offerings in the Storage segment, which began in the second quarter of 2022.</w:t>
      </w:r>
    </w:p>
    <w:p>
      <w:pPr>
        <w:spacing w:after="0" w:line="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increased $89.1 million, or 38.1%, to $323.1 million for the three months ended March 31, 2023 from $234.1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March 31, 2022. The increase in gross profit was a result of a $71.2 million increase in leasing gross profit, increased delivery and installation gross profit of $16.7 million and increased new and rental unit sales gross profit of $2.8 million. Increases were primarily a result of increased revenues due to favorable average monthly rental rates and delivery and installation pricing across both portable storage and modular space units, as well as due to increased portable storage units on rent. Cost of leasing and services increased by $21.6 million, or 14.3%, for the three months ended March 31, 2023 versus the three months ended March 31, 2022, driven by a $5.7 million, or 27.6%, increase in material costs, a $7.4 million, or 13.9%, increase in labor costs, a $6.6 million, or 11.8%, increase in subcontractor costs, and a $1.9 million, or 9.1%, increase in vehicle, equipment and other costs. Cost of sales increased by $2.0 million, or 23.3%, which is in line with expected costs to deliver increased sales revenues of 35.0% for the three months ended March 31, 2023, resulting in improved sales gross profit margins. The year over year changes in each of these cost components was consistent with historical trends and management's expectations given the respective change in sales volume and inflationary pressures impacting our business. Increase in gross profit were offset partially by increased depreciation of $1.6 million, or 2.8%, as a result of capital investments made over the past twelve months in rental equipment.</w:t>
      </w:r>
    </w:p>
    <w:p>
      <w:pPr>
        <w:spacing w:after="0" w:line="17"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Our resulting gross profit percentage was 57.1% and 51.9% for the three months ended March 31, 2023 and 2022, respectively. Our gross profit percentage, excluding the effects of depreciation, was 67.6% and 64.6% for the three months ended March 31, 2023 and 2022, respectively. These increases were driven primarily by continued price optimization within leasing, delivery, and installation revenues and execution of VAPS penetration opportunities that have outpaced increases in cost of leasing and services.</w:t>
      </w:r>
    </w:p>
    <w:p>
      <w:pPr>
        <w:spacing w:after="0" w:line="5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SG&amp;A: </w:t>
      </w:r>
      <w:r>
        <w:rPr>
          <w:rFonts w:ascii="Arial" w:cs="Arial" w:eastAsia="Arial" w:hAnsi="Arial"/>
          <w:sz w:val="15"/>
          <w:szCs w:val="15"/>
          <w:color w:val="auto"/>
        </w:rPr>
        <w:t>Selling, general and administrative ("SG&amp;A") increased $12.7 million, or 9.2%, to $150.9 million for the three months ended March 31, 2023,</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$138.1 million for the three months ended March 31, 2022. Employee Costs excluding stock compensation increased $2.5 million, or 3.8%, as a result of an increase in indirect labor headcount and annual wage increases. Travel expenses increased $3.5 million, or 66.3%, due to increased travel and training, and real estate costs increased $2.1 million, or 11.2%. Additionally, stock compensation expense increased $1.9 million to $8.2 million for the three months ended March 31, 2023, compared to $6.3 million for the three months ended March 31, 2022.</w:t>
      </w:r>
    </w:p>
    <w:p>
      <w:pPr>
        <w:spacing w:after="0" w:line="5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increased $1.8 million to $17.2 million for the three months ended March 31,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2023 compared to $15.4 million for the three months ended March 31, 2022. The increase was driven by increased depreciation as a result of our recent investments in our CRM system and other infrastructure improvements across our branch network.</w:t>
      </w:r>
    </w:p>
    <w:p>
      <w:pPr>
        <w:spacing w:after="0" w:line="4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Currency Losses (Gains), net: </w:t>
      </w:r>
      <w:r>
        <w:rPr>
          <w:rFonts w:ascii="Arial" w:cs="Arial" w:eastAsia="Arial" w:hAnsi="Arial"/>
          <w:sz w:val="15"/>
          <w:szCs w:val="15"/>
          <w:color w:val="auto"/>
        </w:rPr>
        <w:t>Currency losses, net increased by $6.7 million to $6.8 million for the three months ended March 31, 2023 from $0.1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three months ended March 31, 2022. This change was primarily attributable to a loss on the settlement of the contingent foreign currency forward contract to sell £330.0 million upon the closing of the sale of the former UK Storage Solutions segment.</w:t>
      </w:r>
    </w:p>
    <w:p>
      <w:pPr>
        <w:spacing w:after="0" w:line="4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Other Expense (Income), Net: </w:t>
      </w:r>
      <w:r>
        <w:rPr>
          <w:rFonts w:ascii="Arial" w:cs="Arial" w:eastAsia="Arial" w:hAnsi="Arial"/>
          <w:sz w:val="15"/>
          <w:szCs w:val="15"/>
          <w:color w:val="auto"/>
        </w:rPr>
        <w:t>Other income, net was $3.4 million for the three months ended March 31, 2023 compared to $1.3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March 31, 2022. The increase in other income, net was related to an increase in insurance recoveries during 2023 related to Hurricanes in the Gulf Coast area of the United States.</w:t>
      </w:r>
    </w:p>
    <w:p>
      <w:pPr>
        <w:spacing w:after="0" w:line="4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Interest Expense: </w:t>
      </w:r>
      <w:r>
        <w:rPr>
          <w:rFonts w:ascii="Arial" w:cs="Arial" w:eastAsia="Arial" w:hAnsi="Arial"/>
          <w:sz w:val="15"/>
          <w:szCs w:val="15"/>
          <w:color w:val="auto"/>
        </w:rPr>
        <w:t>Interest expense increased $14.3 million, or 46.7%, to $44.9 million for the three months ended March 31, 2023 from $30.6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three months ended March 31, 2022. The increase in interest expense was a result of higher overall weighted average interest rates as a result of our financing activities. See Note 9 to the condensed consolidated financial statements for further discussion of our debt.</w:t>
      </w:r>
    </w:p>
    <w:p>
      <w:pPr>
        <w:spacing w:after="0" w:line="62"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Income Tax Expense: </w:t>
      </w:r>
      <w:r>
        <w:rPr>
          <w:rFonts w:ascii="Arial" w:cs="Arial" w:eastAsia="Arial" w:hAnsi="Arial"/>
          <w:sz w:val="15"/>
          <w:szCs w:val="15"/>
          <w:color w:val="auto"/>
        </w:rPr>
        <w:t>Income tax expense increased $18.4 million to $30.5 million for the three months ended March 31, 2023 compared to $12.1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three months ended March 31, 2022. The increase in expense was driven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30" w:name="page31"/>
    <w:bookmarkEnd w:id="30"/>
    <w:p>
      <w:pPr>
        <w:jc w:val="both"/>
        <w:spacing w:after="0" w:line="294" w:lineRule="auto"/>
        <w:rPr>
          <w:sz w:val="20"/>
          <w:szCs w:val="20"/>
          <w:color w:val="auto"/>
        </w:rPr>
      </w:pPr>
      <w:r>
        <w:rPr>
          <w:rFonts w:ascii="Arial" w:cs="Arial" w:eastAsia="Arial" w:hAnsi="Arial"/>
          <w:sz w:val="15"/>
          <w:szCs w:val="15"/>
          <w:color w:val="auto"/>
        </w:rPr>
        <w:t>an increase in income from continuing operations before income tax for the three months ended March 31, 2023 as compared to the three months ended March 31, 2022.</w:t>
      </w:r>
    </w:p>
    <w:p>
      <w:pPr>
        <w:spacing w:after="0" w:line="54"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Income from Discontinued Operations: </w:t>
      </w:r>
      <w:r>
        <w:rPr>
          <w:rFonts w:ascii="Arial" w:cs="Arial" w:eastAsia="Arial" w:hAnsi="Arial"/>
          <w:sz w:val="15"/>
          <w:szCs w:val="15"/>
          <w:color w:val="auto"/>
        </w:rPr>
        <w:t>Income from discontinued operations increased $122.5 million to $134.6 million for the three months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March 31, 2023 compared to $12.1 million for the three months ended March 31, 2022. The increase in income from discontinued operations was driven by the gain on sale of the former UK Storage Solutions segment of $176.1 million, partially offset by an increase in income tax expense from discontinued operations.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1D2758"/>
        </w:rPr>
        <w:t>Business Segment Results</w:t>
      </w:r>
    </w:p>
    <w:p>
      <w:pPr>
        <w:spacing w:after="0" w:line="127"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The Company operates in two reportable segments as follows: Modular and Storage. Modular represents the activities of the North American modular business, excluding ground level offices, which were transferred to the Storage segment during the first quarter of 2023. Storage represents the activities of the North American portable storage and ground level office business. As part of the transfer of the ground level offices to Storage, we also adjusted average modular space monthly rental rate in the Storage segment to only include VAPS specifically applicable to ground level offices, which has also been reflected in the total average modular space monthly rental rate.</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tables and discussion summarize our reportable segment financial information for the three months ended March 31, 2023 and 2022.</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Three Months Ended March 31, 2023 and 2022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4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rates)</w:t>
            </w:r>
          </w:p>
        </w:tc>
        <w:tc>
          <w:tcPr>
            <w:tcW w:w="380" w:type="dxa"/>
            <w:vAlign w:val="bottom"/>
            <w:shd w:val="clear" w:color="auto" w:fill="1D2758"/>
          </w:tcPr>
          <w:p>
            <w:pPr>
              <w:spacing w:after="0"/>
              <w:rPr>
                <w:sz w:val="17"/>
                <w:szCs w:val="17"/>
                <w:color w:val="auto"/>
              </w:rPr>
            </w:pPr>
          </w:p>
        </w:tc>
        <w:tc>
          <w:tcPr>
            <w:tcW w:w="4260" w:type="dxa"/>
            <w:vAlign w:val="bottom"/>
            <w:gridSpan w:val="4"/>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Three Months Ended March 31, 2023</w:t>
            </w:r>
          </w:p>
        </w:tc>
        <w:tc>
          <w:tcPr>
            <w:tcW w:w="14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40" w:type="dxa"/>
            <w:vAlign w:val="bottom"/>
            <w:vMerge w:val="continue"/>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620" w:type="dxa"/>
            <w:vAlign w:val="bottom"/>
            <w:vMerge w:val="restart"/>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Modular</w:t>
            </w:r>
          </w:p>
        </w:tc>
        <w:tc>
          <w:tcPr>
            <w:tcW w:w="440" w:type="dxa"/>
            <w:vAlign w:val="bottom"/>
            <w:shd w:val="clear" w:color="auto" w:fill="1D2758"/>
          </w:tcPr>
          <w:p>
            <w:pPr>
              <w:spacing w:after="0"/>
              <w:rPr>
                <w:sz w:val="18"/>
                <w:szCs w:val="18"/>
                <w:color w:val="auto"/>
              </w:rPr>
            </w:pPr>
          </w:p>
        </w:tc>
        <w:tc>
          <w:tcPr>
            <w:tcW w:w="1600" w:type="dxa"/>
            <w:vAlign w:val="bottom"/>
            <w:vMerge w:val="restart"/>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Storage</w:t>
            </w:r>
          </w:p>
        </w:tc>
        <w:tc>
          <w:tcPr>
            <w:tcW w:w="600" w:type="dxa"/>
            <w:vAlign w:val="bottom"/>
            <w:shd w:val="clear" w:color="auto" w:fill="1D2758"/>
          </w:tcPr>
          <w:p>
            <w:pPr>
              <w:spacing w:after="0"/>
              <w:rPr>
                <w:sz w:val="18"/>
                <w:szCs w:val="18"/>
                <w:color w:val="auto"/>
              </w:rPr>
            </w:pPr>
          </w:p>
        </w:tc>
        <w:tc>
          <w:tcPr>
            <w:tcW w:w="1420" w:type="dxa"/>
            <w:vAlign w:val="bottom"/>
            <w:vMerge w:val="restart"/>
            <w:shd w:val="clear" w:color="auto" w:fill="1D2758"/>
          </w:tcPr>
          <w:p>
            <w:pPr>
              <w:jc w:val="right"/>
              <w:ind w:right="72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84"/>
        </w:trPr>
        <w:tc>
          <w:tcPr>
            <w:tcW w:w="5140" w:type="dxa"/>
            <w:vAlign w:val="bottom"/>
            <w:shd w:val="clear" w:color="auto" w:fill="1D2758"/>
          </w:tcPr>
          <w:p>
            <w:pPr>
              <w:spacing w:after="0"/>
              <w:rPr>
                <w:sz w:val="7"/>
                <w:szCs w:val="7"/>
                <w:color w:val="auto"/>
              </w:rPr>
            </w:pPr>
          </w:p>
        </w:tc>
        <w:tc>
          <w:tcPr>
            <w:tcW w:w="380" w:type="dxa"/>
            <w:vAlign w:val="bottom"/>
            <w:shd w:val="clear" w:color="auto" w:fill="1D2758"/>
          </w:tcPr>
          <w:p>
            <w:pPr>
              <w:spacing w:after="0"/>
              <w:rPr>
                <w:sz w:val="7"/>
                <w:szCs w:val="7"/>
                <w:color w:val="auto"/>
              </w:rPr>
            </w:pPr>
          </w:p>
        </w:tc>
        <w:tc>
          <w:tcPr>
            <w:tcW w:w="1620" w:type="dxa"/>
            <w:vAlign w:val="bottom"/>
            <w:vMerge w:val="continue"/>
            <w:shd w:val="clear" w:color="auto" w:fill="1D2758"/>
          </w:tcPr>
          <w:p>
            <w:pPr>
              <w:spacing w:after="0"/>
              <w:rPr>
                <w:sz w:val="7"/>
                <w:szCs w:val="7"/>
                <w:color w:val="auto"/>
              </w:rPr>
            </w:pPr>
          </w:p>
        </w:tc>
        <w:tc>
          <w:tcPr>
            <w:tcW w:w="440" w:type="dxa"/>
            <w:vAlign w:val="bottom"/>
            <w:shd w:val="clear" w:color="auto" w:fill="1D2758"/>
          </w:tcPr>
          <w:p>
            <w:pPr>
              <w:spacing w:after="0"/>
              <w:rPr>
                <w:sz w:val="7"/>
                <w:szCs w:val="7"/>
                <w:color w:val="auto"/>
              </w:rPr>
            </w:pPr>
          </w:p>
        </w:tc>
        <w:tc>
          <w:tcPr>
            <w:tcW w:w="1600" w:type="dxa"/>
            <w:vAlign w:val="bottom"/>
            <w:vMerge w:val="continue"/>
            <w:shd w:val="clear" w:color="auto" w:fill="1D2758"/>
          </w:tcPr>
          <w:p>
            <w:pPr>
              <w:spacing w:after="0"/>
              <w:rPr>
                <w:sz w:val="7"/>
                <w:szCs w:val="7"/>
                <w:color w:val="auto"/>
              </w:rPr>
            </w:pPr>
          </w:p>
        </w:tc>
        <w:tc>
          <w:tcPr>
            <w:tcW w:w="600" w:type="dxa"/>
            <w:vAlign w:val="bottom"/>
            <w:shd w:val="clear" w:color="auto" w:fill="1D2758"/>
          </w:tcPr>
          <w:p>
            <w:pPr>
              <w:spacing w:after="0"/>
              <w:rPr>
                <w:sz w:val="7"/>
                <w:szCs w:val="7"/>
                <w:color w:val="auto"/>
              </w:rPr>
            </w:pPr>
          </w:p>
        </w:tc>
        <w:tc>
          <w:tcPr>
            <w:tcW w:w="142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5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349,670</w:t>
            </w:r>
          </w:p>
        </w:tc>
        <w:tc>
          <w:tcPr>
            <w:tcW w:w="44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215,798</w:t>
            </w:r>
          </w:p>
        </w:tc>
        <w:tc>
          <w:tcPr>
            <w:tcW w:w="600" w:type="dxa"/>
            <w:vAlign w:val="bottom"/>
            <w:shd w:val="clear" w:color="auto" w:fill="DBDBDB"/>
          </w:tcPr>
          <w:p>
            <w:pPr>
              <w:jc w:val="right"/>
              <w:ind w:right="363"/>
              <w:spacing w:after="0"/>
              <w:rPr>
                <w:sz w:val="20"/>
                <w:szCs w:val="20"/>
                <w:color w:val="auto"/>
              </w:rPr>
            </w:pPr>
            <w:r>
              <w:rPr>
                <w:rFonts w:ascii="Arial" w:cs="Arial" w:eastAsia="Arial" w:hAnsi="Arial"/>
                <w:sz w:val="15"/>
                <w:szCs w:val="15"/>
                <w:color w:val="auto"/>
              </w:rPr>
              <w:t>$</w:t>
            </w:r>
          </w:p>
        </w:tc>
        <w:tc>
          <w:tcPr>
            <w:tcW w:w="14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565,468</w:t>
            </w:r>
          </w:p>
        </w:tc>
        <w:tc>
          <w:tcPr>
            <w:tcW w:w="0" w:type="dxa"/>
            <w:vAlign w:val="bottom"/>
          </w:tcPr>
          <w:p>
            <w:pPr>
              <w:spacing w:after="0"/>
              <w:rPr>
                <w:sz w:val="1"/>
                <w:szCs w:val="1"/>
                <w:color w:val="auto"/>
              </w:rPr>
            </w:pPr>
          </w:p>
        </w:tc>
      </w:tr>
      <w:tr>
        <w:trPr>
          <w:trHeight w:val="205"/>
        </w:trPr>
        <w:tc>
          <w:tcPr>
            <w:tcW w:w="514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165,335</w:t>
            </w:r>
          </w:p>
        </w:tc>
        <w:tc>
          <w:tcPr>
            <w:tcW w:w="44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157,793</w:t>
            </w:r>
          </w:p>
        </w:tc>
        <w:tc>
          <w:tcPr>
            <w:tcW w:w="600" w:type="dxa"/>
            <w:vAlign w:val="bottom"/>
          </w:tcPr>
          <w:p>
            <w:pPr>
              <w:jc w:val="right"/>
              <w:ind w:right="363"/>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123"/>
              <w:spacing w:after="0"/>
              <w:rPr>
                <w:sz w:val="20"/>
                <w:szCs w:val="20"/>
                <w:color w:val="auto"/>
              </w:rPr>
            </w:pPr>
            <w:r>
              <w:rPr>
                <w:rFonts w:ascii="Arial" w:cs="Arial" w:eastAsia="Arial" w:hAnsi="Arial"/>
                <w:sz w:val="15"/>
                <w:szCs w:val="15"/>
                <w:color w:val="auto"/>
              </w:rPr>
              <w:t>323,128</w:t>
            </w:r>
          </w:p>
        </w:tc>
        <w:tc>
          <w:tcPr>
            <w:tcW w:w="0" w:type="dxa"/>
            <w:vAlign w:val="bottom"/>
          </w:tcPr>
          <w:p>
            <w:pPr>
              <w:spacing w:after="0"/>
              <w:rPr>
                <w:sz w:val="1"/>
                <w:szCs w:val="1"/>
                <w:color w:val="auto"/>
              </w:rPr>
            </w:pPr>
          </w:p>
        </w:tc>
      </w:tr>
      <w:tr>
        <w:trPr>
          <w:trHeight w:val="207"/>
        </w:trPr>
        <w:tc>
          <w:tcPr>
            <w:tcW w:w="5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136,964</w:t>
            </w:r>
          </w:p>
        </w:tc>
        <w:tc>
          <w:tcPr>
            <w:tcW w:w="44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109,878</w:t>
            </w:r>
          </w:p>
        </w:tc>
        <w:tc>
          <w:tcPr>
            <w:tcW w:w="600" w:type="dxa"/>
            <w:vAlign w:val="bottom"/>
            <w:shd w:val="clear" w:color="auto" w:fill="DBDBDB"/>
          </w:tcPr>
          <w:p>
            <w:pPr>
              <w:jc w:val="right"/>
              <w:ind w:right="363"/>
              <w:spacing w:after="0"/>
              <w:rPr>
                <w:sz w:val="20"/>
                <w:szCs w:val="20"/>
                <w:color w:val="auto"/>
              </w:rPr>
            </w:pPr>
            <w:r>
              <w:rPr>
                <w:rFonts w:ascii="Arial" w:cs="Arial" w:eastAsia="Arial" w:hAnsi="Arial"/>
                <w:sz w:val="15"/>
                <w:szCs w:val="15"/>
                <w:color w:val="auto"/>
              </w:rPr>
              <w:t>$</w:t>
            </w:r>
          </w:p>
        </w:tc>
        <w:tc>
          <w:tcPr>
            <w:tcW w:w="14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246,842</w:t>
            </w:r>
          </w:p>
        </w:tc>
        <w:tc>
          <w:tcPr>
            <w:tcW w:w="0" w:type="dxa"/>
            <w:vAlign w:val="bottom"/>
          </w:tcPr>
          <w:p>
            <w:pPr>
              <w:spacing w:after="0"/>
              <w:rPr>
                <w:sz w:val="1"/>
                <w:szCs w:val="1"/>
                <w:color w:val="auto"/>
              </w:rPr>
            </w:pPr>
          </w:p>
        </w:tc>
      </w:tr>
      <w:tr>
        <w:trPr>
          <w:trHeight w:val="205"/>
        </w:trPr>
        <w:tc>
          <w:tcPr>
            <w:tcW w:w="514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39,412</w:t>
            </w:r>
          </w:p>
        </w:tc>
        <w:tc>
          <w:tcPr>
            <w:tcW w:w="44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7,345</w:t>
            </w:r>
          </w:p>
        </w:tc>
        <w:tc>
          <w:tcPr>
            <w:tcW w:w="600" w:type="dxa"/>
            <w:vAlign w:val="bottom"/>
          </w:tcPr>
          <w:p>
            <w:pPr>
              <w:jc w:val="right"/>
              <w:ind w:right="363"/>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123"/>
              <w:spacing w:after="0"/>
              <w:rPr>
                <w:sz w:val="20"/>
                <w:szCs w:val="20"/>
                <w:color w:val="auto"/>
              </w:rPr>
            </w:pPr>
            <w:r>
              <w:rPr>
                <w:rFonts w:ascii="Arial" w:cs="Arial" w:eastAsia="Arial" w:hAnsi="Arial"/>
                <w:sz w:val="15"/>
                <w:szCs w:val="15"/>
                <w:color w:val="auto"/>
              </w:rPr>
              <w:t>46,757</w:t>
            </w:r>
          </w:p>
        </w:tc>
        <w:tc>
          <w:tcPr>
            <w:tcW w:w="0" w:type="dxa"/>
            <w:vAlign w:val="bottom"/>
          </w:tcPr>
          <w:p>
            <w:pPr>
              <w:spacing w:after="0"/>
              <w:rPr>
                <w:sz w:val="1"/>
                <w:szCs w:val="1"/>
                <w:color w:val="auto"/>
              </w:rPr>
            </w:pPr>
          </w:p>
        </w:tc>
      </w:tr>
      <w:tr>
        <w:trPr>
          <w:trHeight w:val="207"/>
        </w:trPr>
        <w:tc>
          <w:tcPr>
            <w:tcW w:w="5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units on rent</w:t>
            </w:r>
          </w:p>
        </w:tc>
        <w:tc>
          <w:tcPr>
            <w:tcW w:w="380" w:type="dxa"/>
            <w:vAlign w:val="bottom"/>
            <w:shd w:val="clear" w:color="auto" w:fill="DBDBDB"/>
          </w:tcPr>
          <w:p>
            <w:pPr>
              <w:spacing w:after="0"/>
              <w:rPr>
                <w:sz w:val="18"/>
                <w:szCs w:val="18"/>
                <w:color w:val="auto"/>
              </w:rPr>
            </w:pP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81,902</w:t>
            </w:r>
          </w:p>
        </w:tc>
        <w:tc>
          <w:tcPr>
            <w:tcW w:w="440" w:type="dxa"/>
            <w:vAlign w:val="bottom"/>
            <w:shd w:val="clear" w:color="auto" w:fill="DBDBDB"/>
          </w:tcPr>
          <w:p>
            <w:pPr>
              <w:spacing w:after="0"/>
              <w:rPr>
                <w:sz w:val="18"/>
                <w:szCs w:val="18"/>
                <w:color w:val="auto"/>
              </w:rPr>
            </w:pPr>
          </w:p>
        </w:tc>
        <w:tc>
          <w:tcPr>
            <w:tcW w:w="16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20,235</w:t>
            </w:r>
          </w:p>
        </w:tc>
        <w:tc>
          <w:tcPr>
            <w:tcW w:w="600" w:type="dxa"/>
            <w:vAlign w:val="bottom"/>
            <w:shd w:val="clear" w:color="auto" w:fill="DBDBDB"/>
          </w:tcPr>
          <w:p>
            <w:pPr>
              <w:spacing w:after="0"/>
              <w:rPr>
                <w:sz w:val="18"/>
                <w:szCs w:val="18"/>
                <w:color w:val="auto"/>
              </w:rPr>
            </w:pPr>
          </w:p>
        </w:tc>
        <w:tc>
          <w:tcPr>
            <w:tcW w:w="14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102,137</w:t>
            </w:r>
          </w:p>
        </w:tc>
        <w:tc>
          <w:tcPr>
            <w:tcW w:w="0" w:type="dxa"/>
            <w:vAlign w:val="bottom"/>
          </w:tcPr>
          <w:p>
            <w:pPr>
              <w:spacing w:after="0"/>
              <w:rPr>
                <w:sz w:val="1"/>
                <w:szCs w:val="1"/>
                <w:color w:val="auto"/>
              </w:rPr>
            </w:pPr>
          </w:p>
        </w:tc>
      </w:tr>
      <w:tr>
        <w:trPr>
          <w:trHeight w:val="205"/>
        </w:trPr>
        <w:tc>
          <w:tcPr>
            <w:tcW w:w="514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3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66.2 %</w:t>
            </w:r>
          </w:p>
        </w:tc>
        <w:tc>
          <w:tcPr>
            <w:tcW w:w="4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65.3 %</w:t>
            </w:r>
          </w:p>
        </w:tc>
        <w:tc>
          <w:tcPr>
            <w:tcW w:w="6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66.0 %</w:t>
            </w:r>
          </w:p>
        </w:tc>
        <w:tc>
          <w:tcPr>
            <w:tcW w:w="0" w:type="dxa"/>
            <w:vAlign w:val="bottom"/>
          </w:tcPr>
          <w:p>
            <w:pPr>
              <w:spacing w:after="0"/>
              <w:rPr>
                <w:sz w:val="1"/>
                <w:szCs w:val="1"/>
                <w:color w:val="auto"/>
              </w:rPr>
            </w:pPr>
          </w:p>
        </w:tc>
      </w:tr>
      <w:tr>
        <w:trPr>
          <w:trHeight w:val="207"/>
        </w:trPr>
        <w:tc>
          <w:tcPr>
            <w:tcW w:w="5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1,046</w:t>
            </w:r>
          </w:p>
        </w:tc>
        <w:tc>
          <w:tcPr>
            <w:tcW w:w="44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760</w:t>
            </w:r>
          </w:p>
        </w:tc>
        <w:tc>
          <w:tcPr>
            <w:tcW w:w="600" w:type="dxa"/>
            <w:vAlign w:val="bottom"/>
            <w:shd w:val="clear" w:color="auto" w:fill="DBDBDB"/>
          </w:tcPr>
          <w:p>
            <w:pPr>
              <w:jc w:val="right"/>
              <w:ind w:right="363"/>
              <w:spacing w:after="0"/>
              <w:rPr>
                <w:sz w:val="20"/>
                <w:szCs w:val="20"/>
                <w:color w:val="auto"/>
              </w:rPr>
            </w:pPr>
            <w:r>
              <w:rPr>
                <w:rFonts w:ascii="Arial" w:cs="Arial" w:eastAsia="Arial" w:hAnsi="Arial"/>
                <w:sz w:val="15"/>
                <w:szCs w:val="15"/>
                <w:color w:val="auto"/>
              </w:rPr>
              <w:t>$</w:t>
            </w:r>
          </w:p>
        </w:tc>
        <w:tc>
          <w:tcPr>
            <w:tcW w:w="142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989</w:t>
            </w:r>
          </w:p>
        </w:tc>
        <w:tc>
          <w:tcPr>
            <w:tcW w:w="0" w:type="dxa"/>
            <w:vAlign w:val="bottom"/>
          </w:tcPr>
          <w:p>
            <w:pPr>
              <w:spacing w:after="0"/>
              <w:rPr>
                <w:sz w:val="1"/>
                <w:szCs w:val="1"/>
                <w:color w:val="auto"/>
              </w:rPr>
            </w:pPr>
          </w:p>
        </w:tc>
      </w:tr>
      <w:tr>
        <w:trPr>
          <w:trHeight w:val="205"/>
        </w:trPr>
        <w:tc>
          <w:tcPr>
            <w:tcW w:w="514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380" w:type="dxa"/>
            <w:vAlign w:val="bottom"/>
          </w:tcPr>
          <w:p>
            <w:pPr>
              <w:spacing w:after="0"/>
              <w:rPr>
                <w:sz w:val="17"/>
                <w:szCs w:val="17"/>
                <w:color w:val="auto"/>
              </w:rPr>
            </w:pP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502</w:t>
            </w:r>
          </w:p>
        </w:tc>
        <w:tc>
          <w:tcPr>
            <w:tcW w:w="440" w:type="dxa"/>
            <w:vAlign w:val="bottom"/>
          </w:tcPr>
          <w:p>
            <w:pPr>
              <w:spacing w:after="0"/>
              <w:rPr>
                <w:sz w:val="17"/>
                <w:szCs w:val="17"/>
                <w:color w:val="auto"/>
              </w:rPr>
            </w:pP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164,591</w:t>
            </w:r>
          </w:p>
        </w:tc>
        <w:tc>
          <w:tcPr>
            <w:tcW w:w="600" w:type="dxa"/>
            <w:vAlign w:val="bottom"/>
          </w:tcPr>
          <w:p>
            <w:pPr>
              <w:spacing w:after="0"/>
              <w:rPr>
                <w:sz w:val="17"/>
                <w:szCs w:val="17"/>
                <w:color w:val="auto"/>
              </w:rPr>
            </w:pPr>
          </w:p>
        </w:tc>
        <w:tc>
          <w:tcPr>
            <w:tcW w:w="1420" w:type="dxa"/>
            <w:vAlign w:val="bottom"/>
          </w:tcPr>
          <w:p>
            <w:pPr>
              <w:jc w:val="right"/>
              <w:ind w:right="123"/>
              <w:spacing w:after="0"/>
              <w:rPr>
                <w:sz w:val="20"/>
                <w:szCs w:val="20"/>
                <w:color w:val="auto"/>
              </w:rPr>
            </w:pPr>
            <w:r>
              <w:rPr>
                <w:rFonts w:ascii="Arial" w:cs="Arial" w:eastAsia="Arial" w:hAnsi="Arial"/>
                <w:sz w:val="15"/>
                <w:szCs w:val="15"/>
                <w:color w:val="auto"/>
              </w:rPr>
              <w:t>165,093</w:t>
            </w:r>
          </w:p>
        </w:tc>
        <w:tc>
          <w:tcPr>
            <w:tcW w:w="0" w:type="dxa"/>
            <w:vAlign w:val="bottom"/>
          </w:tcPr>
          <w:p>
            <w:pPr>
              <w:spacing w:after="0"/>
              <w:rPr>
                <w:sz w:val="1"/>
                <w:szCs w:val="1"/>
                <w:color w:val="auto"/>
              </w:rPr>
            </w:pPr>
          </w:p>
        </w:tc>
      </w:tr>
      <w:tr>
        <w:trPr>
          <w:trHeight w:val="207"/>
        </w:trPr>
        <w:tc>
          <w:tcPr>
            <w:tcW w:w="5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380" w:type="dxa"/>
            <w:vAlign w:val="bottom"/>
            <w:shd w:val="clear" w:color="auto" w:fill="DBDBDB"/>
          </w:tcPr>
          <w:p>
            <w:pPr>
              <w:spacing w:after="0"/>
              <w:rPr>
                <w:sz w:val="18"/>
                <w:szCs w:val="18"/>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62.0 %</w:t>
            </w:r>
          </w:p>
        </w:tc>
        <w:tc>
          <w:tcPr>
            <w:tcW w:w="44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78.7 %</w:t>
            </w:r>
          </w:p>
        </w:tc>
        <w:tc>
          <w:tcPr>
            <w:tcW w:w="60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78.7 %</w:t>
            </w:r>
          </w:p>
        </w:tc>
        <w:tc>
          <w:tcPr>
            <w:tcW w:w="0" w:type="dxa"/>
            <w:vAlign w:val="bottom"/>
          </w:tcPr>
          <w:p>
            <w:pPr>
              <w:spacing w:after="0"/>
              <w:rPr>
                <w:sz w:val="1"/>
                <w:szCs w:val="1"/>
                <w:color w:val="auto"/>
              </w:rPr>
            </w:pPr>
          </w:p>
        </w:tc>
      </w:tr>
      <w:tr>
        <w:trPr>
          <w:trHeight w:val="205"/>
        </w:trPr>
        <w:tc>
          <w:tcPr>
            <w:tcW w:w="514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217</w:t>
            </w:r>
          </w:p>
        </w:tc>
        <w:tc>
          <w:tcPr>
            <w:tcW w:w="44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216</w:t>
            </w:r>
          </w:p>
        </w:tc>
        <w:tc>
          <w:tcPr>
            <w:tcW w:w="600" w:type="dxa"/>
            <w:vAlign w:val="bottom"/>
          </w:tcPr>
          <w:p>
            <w:pPr>
              <w:jc w:val="right"/>
              <w:ind w:right="363"/>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123"/>
              <w:spacing w:after="0"/>
              <w:rPr>
                <w:sz w:val="20"/>
                <w:szCs w:val="20"/>
                <w:color w:val="auto"/>
              </w:rPr>
            </w:pPr>
            <w:r>
              <w:rPr>
                <w:rFonts w:ascii="Arial" w:cs="Arial" w:eastAsia="Arial" w:hAnsi="Arial"/>
                <w:sz w:val="15"/>
                <w:szCs w:val="15"/>
                <w:color w:val="auto"/>
              </w:rPr>
              <w:t>216</w:t>
            </w: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4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4260" w:type="dxa"/>
            <w:vAlign w:val="bottom"/>
            <w:gridSpan w:val="4"/>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Three Months Ended March 31, 2022</w:t>
            </w:r>
          </w:p>
        </w:tc>
        <w:tc>
          <w:tcPr>
            <w:tcW w:w="1440" w:type="dxa"/>
            <w:vAlign w:val="bottom"/>
            <w:shd w:val="clear" w:color="auto" w:fill="1D2758"/>
          </w:tcPr>
          <w:p>
            <w:pPr>
              <w:spacing w:after="0"/>
              <w:rPr>
                <w:sz w:val="17"/>
                <w:szCs w:val="17"/>
                <w:color w:val="auto"/>
              </w:rPr>
            </w:pPr>
          </w:p>
        </w:tc>
      </w:tr>
      <w:tr>
        <w:trPr>
          <w:trHeight w:val="206"/>
        </w:trPr>
        <w:tc>
          <w:tcPr>
            <w:tcW w:w="51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rates)</w:t>
            </w:r>
          </w:p>
        </w:tc>
        <w:tc>
          <w:tcPr>
            <w:tcW w:w="400" w:type="dxa"/>
            <w:vAlign w:val="bottom"/>
            <w:shd w:val="clear" w:color="auto" w:fill="1D2758"/>
          </w:tcPr>
          <w:p>
            <w:pPr>
              <w:spacing w:after="0"/>
              <w:rPr>
                <w:sz w:val="17"/>
                <w:szCs w:val="17"/>
                <w:color w:val="auto"/>
              </w:rPr>
            </w:pPr>
          </w:p>
        </w:tc>
        <w:tc>
          <w:tcPr>
            <w:tcW w:w="162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Modular</w:t>
            </w:r>
          </w:p>
        </w:tc>
        <w:tc>
          <w:tcPr>
            <w:tcW w:w="460" w:type="dxa"/>
            <w:vAlign w:val="bottom"/>
            <w:shd w:val="clear" w:color="auto" w:fill="1D2758"/>
          </w:tcPr>
          <w:p>
            <w:pPr>
              <w:spacing w:after="0"/>
              <w:rPr>
                <w:sz w:val="17"/>
                <w:szCs w:val="17"/>
                <w:color w:val="auto"/>
              </w:rPr>
            </w:pPr>
          </w:p>
        </w:tc>
        <w:tc>
          <w:tcPr>
            <w:tcW w:w="160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Storage</w:t>
            </w:r>
          </w:p>
        </w:tc>
        <w:tc>
          <w:tcPr>
            <w:tcW w:w="580" w:type="dxa"/>
            <w:vAlign w:val="bottom"/>
            <w:shd w:val="clear" w:color="auto" w:fill="1D2758"/>
          </w:tcPr>
          <w:p>
            <w:pPr>
              <w:spacing w:after="0"/>
              <w:rPr>
                <w:sz w:val="17"/>
                <w:szCs w:val="17"/>
                <w:color w:val="auto"/>
              </w:rPr>
            </w:pPr>
          </w:p>
        </w:tc>
        <w:tc>
          <w:tcPr>
            <w:tcW w:w="1440" w:type="dxa"/>
            <w:vAlign w:val="bottom"/>
            <w:shd w:val="clear" w:color="auto" w:fill="1D2758"/>
          </w:tcPr>
          <w:p>
            <w:pPr>
              <w:jc w:val="right"/>
              <w:ind w:right="723"/>
              <w:spacing w:after="0"/>
              <w:rPr>
                <w:sz w:val="20"/>
                <w:szCs w:val="20"/>
                <w:color w:val="auto"/>
              </w:rPr>
            </w:pPr>
            <w:r>
              <w:rPr>
                <w:rFonts w:ascii="Arial" w:cs="Arial" w:eastAsia="Arial" w:hAnsi="Arial"/>
                <w:sz w:val="15"/>
                <w:szCs w:val="15"/>
                <w:b w:val="1"/>
                <w:bCs w:val="1"/>
                <w:color w:val="FFFFFF"/>
              </w:rPr>
              <w:t>Total</w:t>
            </w:r>
          </w:p>
        </w:tc>
      </w:tr>
      <w:tr>
        <w:trPr>
          <w:trHeight w:val="206"/>
        </w:trPr>
        <w:tc>
          <w:tcPr>
            <w:tcW w:w="5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40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288,547</w:t>
            </w:r>
          </w:p>
        </w:tc>
        <w:tc>
          <w:tcPr>
            <w:tcW w:w="46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162,624</w:t>
            </w:r>
          </w:p>
        </w:tc>
        <w:tc>
          <w:tcPr>
            <w:tcW w:w="58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451,171</w:t>
            </w:r>
          </w:p>
        </w:tc>
      </w:tr>
      <w:tr>
        <w:trPr>
          <w:trHeight w:val="205"/>
        </w:trPr>
        <w:tc>
          <w:tcPr>
            <w:tcW w:w="514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122,598</w:t>
            </w:r>
          </w:p>
        </w:tc>
        <w:tc>
          <w:tcPr>
            <w:tcW w:w="4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111,463</w:t>
            </w:r>
          </w:p>
        </w:tc>
        <w:tc>
          <w:tcPr>
            <w:tcW w:w="58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23"/>
              <w:spacing w:after="0"/>
              <w:rPr>
                <w:sz w:val="20"/>
                <w:szCs w:val="20"/>
                <w:color w:val="auto"/>
              </w:rPr>
            </w:pPr>
            <w:r>
              <w:rPr>
                <w:rFonts w:ascii="Arial" w:cs="Arial" w:eastAsia="Arial" w:hAnsi="Arial"/>
                <w:sz w:val="15"/>
                <w:szCs w:val="15"/>
                <w:color w:val="auto"/>
              </w:rPr>
              <w:t>234,061</w:t>
            </w:r>
          </w:p>
        </w:tc>
      </w:tr>
      <w:tr>
        <w:trPr>
          <w:trHeight w:val="207"/>
        </w:trPr>
        <w:tc>
          <w:tcPr>
            <w:tcW w:w="5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40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99,586</w:t>
            </w:r>
          </w:p>
        </w:tc>
        <w:tc>
          <w:tcPr>
            <w:tcW w:w="46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68,187</w:t>
            </w:r>
          </w:p>
        </w:tc>
        <w:tc>
          <w:tcPr>
            <w:tcW w:w="58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167,773</w:t>
            </w:r>
          </w:p>
        </w:tc>
      </w:tr>
      <w:tr>
        <w:trPr>
          <w:trHeight w:val="205"/>
        </w:trPr>
        <w:tc>
          <w:tcPr>
            <w:tcW w:w="514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57,577</w:t>
            </w:r>
          </w:p>
        </w:tc>
        <w:tc>
          <w:tcPr>
            <w:tcW w:w="4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20,171</w:t>
            </w:r>
          </w:p>
        </w:tc>
        <w:tc>
          <w:tcPr>
            <w:tcW w:w="58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23"/>
              <w:spacing w:after="0"/>
              <w:rPr>
                <w:sz w:val="20"/>
                <w:szCs w:val="20"/>
                <w:color w:val="auto"/>
              </w:rPr>
            </w:pPr>
            <w:r>
              <w:rPr>
                <w:rFonts w:ascii="Arial" w:cs="Arial" w:eastAsia="Arial" w:hAnsi="Arial"/>
                <w:sz w:val="15"/>
                <w:szCs w:val="15"/>
                <w:color w:val="auto"/>
              </w:rPr>
              <w:t>77,748</w:t>
            </w:r>
          </w:p>
        </w:tc>
      </w:tr>
      <w:tr>
        <w:trPr>
          <w:trHeight w:val="207"/>
        </w:trPr>
        <w:tc>
          <w:tcPr>
            <w:tcW w:w="5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units on rent</w:t>
            </w:r>
          </w:p>
        </w:tc>
        <w:tc>
          <w:tcPr>
            <w:tcW w:w="40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80,683</w:t>
            </w:r>
          </w:p>
        </w:tc>
        <w:tc>
          <w:tcPr>
            <w:tcW w:w="46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22,884</w:t>
            </w:r>
          </w:p>
        </w:tc>
        <w:tc>
          <w:tcPr>
            <w:tcW w:w="58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103,567</w:t>
            </w:r>
          </w:p>
        </w:tc>
      </w:tr>
      <w:tr>
        <w:trPr>
          <w:trHeight w:val="205"/>
        </w:trPr>
        <w:tc>
          <w:tcPr>
            <w:tcW w:w="514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4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66.9 %</w:t>
            </w:r>
          </w:p>
        </w:tc>
        <w:tc>
          <w:tcPr>
            <w:tcW w:w="4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74.9 %</w:t>
            </w:r>
          </w:p>
        </w:tc>
        <w:tc>
          <w:tcPr>
            <w:tcW w:w="5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68.5 %</w:t>
            </w:r>
          </w:p>
        </w:tc>
      </w:tr>
      <w:tr>
        <w:trPr>
          <w:trHeight w:val="207"/>
        </w:trPr>
        <w:tc>
          <w:tcPr>
            <w:tcW w:w="5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40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894</w:t>
            </w:r>
          </w:p>
        </w:tc>
        <w:tc>
          <w:tcPr>
            <w:tcW w:w="46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586</w:t>
            </w:r>
          </w:p>
        </w:tc>
        <w:tc>
          <w:tcPr>
            <w:tcW w:w="58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rPr>
              <w:t>$</w:t>
            </w:r>
          </w:p>
        </w:tc>
        <w:tc>
          <w:tcPr>
            <w:tcW w:w="14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826</w:t>
            </w:r>
          </w:p>
        </w:tc>
      </w:tr>
      <w:tr>
        <w:trPr>
          <w:trHeight w:val="205"/>
        </w:trPr>
        <w:tc>
          <w:tcPr>
            <w:tcW w:w="514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463</w:t>
            </w:r>
          </w:p>
        </w:tc>
        <w:tc>
          <w:tcPr>
            <w:tcW w:w="4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152,326</w:t>
            </w:r>
          </w:p>
        </w:tc>
        <w:tc>
          <w:tcPr>
            <w:tcW w:w="58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23"/>
              <w:spacing w:after="0"/>
              <w:rPr>
                <w:sz w:val="20"/>
                <w:szCs w:val="20"/>
                <w:color w:val="auto"/>
              </w:rPr>
            </w:pPr>
            <w:r>
              <w:rPr>
                <w:rFonts w:ascii="Arial" w:cs="Arial" w:eastAsia="Arial" w:hAnsi="Arial"/>
                <w:sz w:val="15"/>
                <w:szCs w:val="15"/>
                <w:color w:val="auto"/>
              </w:rPr>
              <w:t>152,789</w:t>
            </w:r>
          </w:p>
        </w:tc>
      </w:tr>
      <w:tr>
        <w:trPr>
          <w:trHeight w:val="207"/>
        </w:trPr>
        <w:tc>
          <w:tcPr>
            <w:tcW w:w="5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400" w:type="dxa"/>
            <w:vAlign w:val="bottom"/>
            <w:shd w:val="clear" w:color="auto" w:fill="DBDBDB"/>
          </w:tcPr>
          <w:p>
            <w:pPr>
              <w:spacing w:after="0"/>
              <w:rPr>
                <w:sz w:val="18"/>
                <w:szCs w:val="18"/>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52.6 %</w:t>
            </w:r>
          </w:p>
        </w:tc>
        <w:tc>
          <w:tcPr>
            <w:tcW w:w="46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83.2 %</w:t>
            </w:r>
          </w:p>
        </w:tc>
        <w:tc>
          <w:tcPr>
            <w:tcW w:w="58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83.1 %</w:t>
            </w:r>
          </w:p>
        </w:tc>
      </w:tr>
      <w:tr>
        <w:trPr>
          <w:trHeight w:val="205"/>
        </w:trPr>
        <w:tc>
          <w:tcPr>
            <w:tcW w:w="514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40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163"/>
              <w:spacing w:after="0"/>
              <w:rPr>
                <w:sz w:val="20"/>
                <w:szCs w:val="20"/>
                <w:color w:val="auto"/>
              </w:rPr>
            </w:pPr>
            <w:r>
              <w:rPr>
                <w:rFonts w:ascii="Arial" w:cs="Arial" w:eastAsia="Arial" w:hAnsi="Arial"/>
                <w:sz w:val="15"/>
                <w:szCs w:val="15"/>
                <w:color w:val="auto"/>
              </w:rPr>
              <w:t>160</w:t>
            </w:r>
          </w:p>
        </w:tc>
        <w:tc>
          <w:tcPr>
            <w:tcW w:w="4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163"/>
              <w:spacing w:after="0"/>
              <w:rPr>
                <w:sz w:val="20"/>
                <w:szCs w:val="20"/>
                <w:color w:val="auto"/>
              </w:rPr>
            </w:pPr>
            <w:r>
              <w:rPr>
                <w:rFonts w:ascii="Arial" w:cs="Arial" w:eastAsia="Arial" w:hAnsi="Arial"/>
                <w:sz w:val="15"/>
                <w:szCs w:val="15"/>
                <w:color w:val="auto"/>
              </w:rPr>
              <w:t>166</w:t>
            </w:r>
          </w:p>
        </w:tc>
        <w:tc>
          <w:tcPr>
            <w:tcW w:w="58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23"/>
              <w:spacing w:after="0"/>
              <w:rPr>
                <w:sz w:val="20"/>
                <w:szCs w:val="20"/>
                <w:color w:val="auto"/>
              </w:rPr>
            </w:pPr>
            <w:r>
              <w:rPr>
                <w:rFonts w:ascii="Arial" w:cs="Arial" w:eastAsia="Arial" w:hAnsi="Arial"/>
                <w:sz w:val="15"/>
                <w:szCs w:val="15"/>
                <w:color w:val="auto"/>
              </w:rPr>
              <w:t>166</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Modular</w:t>
      </w:r>
    </w:p>
    <w:p>
      <w:pPr>
        <w:spacing w:after="0" w:line="12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$61.1 million, or 21.2%, to $349.7 million for the three months ended March 31, 2023 from $288.6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March 31, 2022. The increase was primarily the result of a $46.0 million, or 20.6%, increase in leasing revenue, a $10.5 million, or 19.3%, increase in delivery and installation revenue driven by improved pricing, an increase of $0.5 million, or 8.1%, in rental unit sales revenue and a $4.1 million, or 85.4%, increase in new unit sales. Average modular space monthly rental rates increased 17.0% for the three months ended March 31, 2023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31" w:name="page32"/>
    <w:bookmarkEnd w:id="31"/>
    <w:p>
      <w:pPr>
        <w:jc w:val="both"/>
        <w:spacing w:after="0" w:line="294" w:lineRule="auto"/>
        <w:rPr>
          <w:sz w:val="20"/>
          <w:szCs w:val="20"/>
          <w:color w:val="auto"/>
        </w:rPr>
      </w:pPr>
      <w:r>
        <w:rPr>
          <w:rFonts w:ascii="Arial" w:cs="Arial" w:eastAsia="Arial" w:hAnsi="Arial"/>
          <w:sz w:val="15"/>
          <w:szCs w:val="15"/>
          <w:color w:val="auto"/>
        </w:rPr>
        <w:t>$1,046 driven by the continuation of the long-term price optimization and VAPS penetration opportunities across our portfolio. Average modular space units on rent increased by 1,219 units, or 1.5%, year over year.</w:t>
      </w:r>
    </w:p>
    <w:p>
      <w:pPr>
        <w:spacing w:after="0" w:line="54"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increased $42.7 million, or 34.8%, to $165.3 million for the three months ended March 31, 2023 from $122.6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March 31, 2022. The increase in gross profit was driven by higher leasing gross profit, which increased $33.7 million, or 20.8%, driven from improved pricing including VAPS. The increase in gross profit from leasing for the three months ended March 31, 2023 was further complemented by a $6.9 million increase in delivery and installation gross profit driven by increased pricing ahead of inflationary costs, a $0.6 million increase in rental unit sales gross profit, and a $1.7 million increase in new sales gross profit, partially offset by a $0.2 million increase in depreciation of rental equipment. Cost of leasing and services increased by $15.8 million, or 14.5%, for the three months ended March 31, 2023 versus the three months ended March 31, 2022, driven by a $5.5 million, or 35.0%, increase in material costs, a $5.3 million, or 14.4%, increase in labor costs, a $4.0 million, or 9.0%, increase in subcontractor costs, and a $1.0 million, or 8.2%, increase in vehicle, equipment and other costs. Cost of sales increased by $2.3 million, or 34.7%, which is in line with expected costs to deliver increased sales revenues of 43.1% for three months ended March 31, 2023, resulting in improved sales gross profit margins. The year over year changes in each of these cost components was consistent with historical trends and management's expectations given the respective change in sales volume and inflationary pressures impacting our business. Increases in gross profit were offset partially by increased depreciation of $0.2 million, or 0.4%, as a result of capital investments made over the past twelve months in rental equipment.</w:t>
      </w:r>
    </w:p>
    <w:p>
      <w:pPr>
        <w:spacing w:after="0" w:line="25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increased $37.3 million, or 37.4%, to $136.9 million for the three months ended March 31, 2023 from $99.6</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three months ended March 31, 2022. The increase was primarily driven by higher leasing and delivery and installation gross profit discussed above. SG&amp;A, excluding discrete items, increased $7.2 million, or 9.7%, for the three months ended March 31, 2023, as compared to the three months ended March 31, 2022. Employee Costs increased $3.3 million, or 9.7%, as a result of an increase in indirect labor headcount and annual wage increases. Travel expenses increased $1.7 million, or 52.8% due to increased travel and training, and real estate costs increased $1.1 million, or 8.6%.</w:t>
      </w:r>
    </w:p>
    <w:p>
      <w:pPr>
        <w:spacing w:after="0" w:line="5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Capital Expenditures for Rental Equipment: </w:t>
      </w:r>
      <w:r>
        <w:rPr>
          <w:rFonts w:ascii="Arial" w:cs="Arial" w:eastAsia="Arial" w:hAnsi="Arial"/>
          <w:sz w:val="15"/>
          <w:szCs w:val="15"/>
          <w:color w:val="auto"/>
        </w:rPr>
        <w:t>Purchases of rental equipment and refurbishments decreased $18.2 million, or 31.6%, to $39.4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three months ended March 31, 2023 from $57.6 million for the three months ended March 31, 2022 driven by successful efforts to reduce our refurbishment costs through better unit selection and work scope during 2023.</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Storage</w:t>
      </w:r>
    </w:p>
    <w:p>
      <w:pPr>
        <w:spacing w:after="0" w:line="109"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b w:val="1"/>
          <w:bCs w:val="1"/>
          <w:color w:val="auto"/>
        </w:rPr>
        <w:t xml:space="preserve">Revenue: </w:t>
      </w:r>
      <w:r>
        <w:rPr>
          <w:rFonts w:ascii="Arial" w:cs="Arial" w:eastAsia="Arial" w:hAnsi="Arial"/>
          <w:sz w:val="15"/>
          <w:szCs w:val="15"/>
          <w:color w:val="auto"/>
        </w:rPr>
        <w:t>Total revenue increased $53.2 million, or 32.7%, to $215.8 million for the three months ended March 31, 2023 from $162.6 million for the three</w:t>
      </w:r>
      <w:r>
        <w:rPr>
          <w:rFonts w:ascii="Arial" w:cs="Arial" w:eastAsia="Arial" w:hAnsi="Arial"/>
          <w:sz w:val="15"/>
          <w:szCs w:val="15"/>
          <w:b w:val="1"/>
          <w:bCs w:val="1"/>
          <w:color w:val="auto"/>
        </w:rPr>
        <w:t xml:space="preserve"> </w:t>
      </w:r>
      <w:r>
        <w:rPr>
          <w:rFonts w:ascii="Arial" w:cs="Arial" w:eastAsia="Arial" w:hAnsi="Arial"/>
          <w:sz w:val="15"/>
          <w:szCs w:val="15"/>
          <w:color w:val="auto"/>
        </w:rPr>
        <w:t>months ended March 31, 2022. The increase was primarily the result of a $42.4 million, or 33.0%, increase in leasing revenue and a $10.6 million, or 34.0%, increase in delivery and installation revenue driven by improved pricing. Sales revenues increased $0.2 million, or 6.5%. Average portable storage monthly rental rates increased 30.1% for the three months ended March 31, 2023 to $216 driven by our price management tools and processes and early benefits from increased VAPS penetration opportunities on our basic VAPS offerings, which began in the second quarter of 2022. Average modular space units on rent increased by 12,265 units, or 8.1%, year over year driven by strong delivery and unit on rent growth in 2022. Average modular space monthly rental rates increased 29.7% year-over-year driven primarily by increased pricing on new deliveries; however, average units on rent decreased 11.6% driven by lower demand.</w:t>
      </w:r>
    </w:p>
    <w:p>
      <w:pPr>
        <w:spacing w:after="0" w:line="26"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b w:val="1"/>
          <w:bCs w:val="1"/>
          <w:color w:val="auto"/>
        </w:rPr>
        <w:t xml:space="preserve">Gross Profit: </w:t>
      </w:r>
      <w:r>
        <w:rPr>
          <w:rFonts w:ascii="Arial" w:cs="Arial" w:eastAsia="Arial" w:hAnsi="Arial"/>
          <w:sz w:val="15"/>
          <w:szCs w:val="15"/>
          <w:color w:val="auto"/>
        </w:rPr>
        <w:t>Gross profit increased by $46.3 million, or 41.5%, to $157.8 million for the three months ended March 31, 2023 compared to $111.5 million</w:t>
      </w:r>
      <w:r>
        <w:rPr>
          <w:rFonts w:ascii="Arial" w:cs="Arial" w:eastAsia="Arial" w:hAnsi="Arial"/>
          <w:sz w:val="15"/>
          <w:szCs w:val="15"/>
          <w:b w:val="1"/>
          <w:bCs w:val="1"/>
          <w:color w:val="auto"/>
        </w:rPr>
        <w:t xml:space="preserve"> </w:t>
      </w:r>
      <w:r>
        <w:rPr>
          <w:rFonts w:ascii="Arial" w:cs="Arial" w:eastAsia="Arial" w:hAnsi="Arial"/>
          <w:sz w:val="15"/>
          <w:szCs w:val="15"/>
          <w:color w:val="auto"/>
        </w:rPr>
        <w:t>for the three months ended March 31, 2022. Gross profit on leasing activity increased by $37.5 million year over year driven by both increased volume and increased pricing as described above. Delivery and installation gross profit increased $9.8 million, or 114.5%, driven by increased pricing ahead of inflationary cost. Sales gross profit increased by $0.5 million to $1.7 million. Increases in gross profit were partially offset by a $1.4 million increase in depreciation of rental equipment. Cost of leasing and services increased by $5.8 million, or 13.9%, for the three months ended March 31, 2023 versus the three months ended March 31, 2022, driven by a $0.2 million, or 4.1%, increase in material costs, a $2.1 million, or 12.8%, increase in labor costs, a $2.5 million, or 22.9%, increase in subcontractor costs, and a $0.9 million, or 10.2%, increase in vehicle, equipment and other costs. Cost of sales decreased by $0.3 million, or 16.1%, driven by improved sales gross profit margins on increased sales revenues of 6.5% for three months ended March 31, 2023. The year over year changes in each of these cost components was consistent with historical trends and management's expectations given the respective change in sales volume and inflationary pressures impacting our business. These increases were offset partially by increased depreciation of $1.4 million, or 18.6%, as a result of capital investments made over the past twelve months in rental equipment.</w:t>
      </w:r>
    </w:p>
    <w:p>
      <w:pPr>
        <w:spacing w:after="0" w:line="25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color w:val="auto"/>
        </w:rPr>
        <w:t xml:space="preserve">Adjusted EBITDA: </w:t>
      </w:r>
      <w:r>
        <w:rPr>
          <w:rFonts w:ascii="Arial" w:cs="Arial" w:eastAsia="Arial" w:hAnsi="Arial"/>
          <w:sz w:val="15"/>
          <w:szCs w:val="15"/>
          <w:color w:val="auto"/>
        </w:rPr>
        <w:t>Adjusted EBITDA increased $41.7 million, or 61.1%, to $109.9 million for the three months ended March 31, 2023 from $68.2 million</w:t>
      </w:r>
      <w:r>
        <w:rPr>
          <w:rFonts w:ascii="Arial" w:cs="Arial" w:eastAsia="Arial" w:hAnsi="Arial"/>
          <w:sz w:val="15"/>
          <w:szCs w:val="15"/>
          <w:b w:val="1"/>
          <w:bCs w:val="1"/>
          <w:color w:val="auto"/>
        </w:rPr>
        <w:t xml:space="preserve"> </w:t>
      </w:r>
      <w:r>
        <w:rPr>
          <w:rFonts w:ascii="Arial" w:cs="Arial" w:eastAsia="Arial" w:hAnsi="Arial"/>
          <w:sz w:val="15"/>
          <w:szCs w:val="15"/>
          <w:color w:val="auto"/>
        </w:rPr>
        <w:t>for the three months ended March 31, 2022 and the margin expanded to 50.9% from 41.9% as a result of increased units on rent, favorable pricing on units and on delivery and installation, and increased VAPS penetration. The increase in Adjusted EBITDA was driven primarily by increased leasing gross profit as described above, partially offset by increased SG&amp;A. SG&amp;A, excluding discrete items, increased $5.8 million, or 11.2%, for the three months ended March 31, 2023, as compared to the three months ended March 31, 2022. Employee Costs decreased $0.8 million,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32" w:name="page33"/>
    <w:bookmarkEnd w:id="32"/>
    <w:p>
      <w:pPr>
        <w:jc w:val="both"/>
        <w:spacing w:after="0" w:line="294" w:lineRule="auto"/>
        <w:rPr>
          <w:sz w:val="20"/>
          <w:szCs w:val="20"/>
          <w:color w:val="auto"/>
        </w:rPr>
      </w:pPr>
      <w:r>
        <w:rPr>
          <w:rFonts w:ascii="Arial" w:cs="Arial" w:eastAsia="Arial" w:hAnsi="Arial"/>
          <w:sz w:val="15"/>
          <w:szCs w:val="15"/>
          <w:color w:val="auto"/>
        </w:rPr>
        <w:t>2.6%, due to reduced variable compensation that offset annual wage increases. Travel expenses increased $1.8 million, or 87.4% due to increased travel and training, and real estate costs increased $1.0 million, or 17.0%.</w:t>
      </w:r>
    </w:p>
    <w:p>
      <w:pPr>
        <w:spacing w:after="0" w:line="52"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b w:val="1"/>
          <w:bCs w:val="1"/>
          <w:color w:val="auto"/>
        </w:rPr>
        <w:t xml:space="preserve">Capital Expenditures for Rental Equipment: </w:t>
      </w:r>
      <w:r>
        <w:rPr>
          <w:rFonts w:ascii="Arial" w:cs="Arial" w:eastAsia="Arial" w:hAnsi="Arial"/>
          <w:sz w:val="15"/>
          <w:szCs w:val="15"/>
          <w:color w:val="auto"/>
        </w:rPr>
        <w:t>Purchases of rental equipment and refurbishments of $7.3 million were $12.9 million lower than the prior-year quarter driven by a reduction in new container purchases during 2023 given current utilization and the significant investments made in 2022.</w:t>
      </w: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1D2758"/>
        </w:rPr>
        <w:t>Other Non-GAAP Financial Data and Reconciliations</w:t>
      </w:r>
    </w:p>
    <w:p>
      <w:pPr>
        <w:spacing w:after="0" w:line="114"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In addition to using GAAP financial measurements, we use certain non-GAAP financial measures to evaluate our operating results. As such, we include in this Quarterly Report on Form 10-Q reconciliations of non-GAAP financial measures to their most directly comparable GAAP financial measures. Set forth below are definitions and reconciliations to the nearest comparable GAAP measure of certain non-GAAP financial measures used in this Quarterly Report on Form 10-Q along with descriptions of why we believe these measures provide useful information to investors as well as a description of the limitations of these measures. Each of these non-GAAP financial measures has limitations as an analytical tool and should not be considered in isolation from, or as a substitute for analysis of, results reported under GAAP. Our measurements of these metrics may not be comparable to similarly titled measures of other companies.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w:t>
      </w:r>
    </w:p>
    <w:p>
      <w:pPr>
        <w:spacing w:after="0" w:line="6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We define EBITDA as net income (loss) plus interest (income)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spacing w:after="0" w:line="17" w:lineRule="exact"/>
        <w:rPr>
          <w:sz w:val="20"/>
          <w:szCs w:val="20"/>
          <w:color w:val="auto"/>
        </w:rPr>
      </w:pPr>
    </w:p>
    <w:p>
      <w:pPr>
        <w:ind w:left="1240" w:hanging="309"/>
        <w:spacing w:after="0"/>
        <w:tabs>
          <w:tab w:leader="none" w:pos="1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Currency (gains) losses, net on monetary assets and liabilities denominated in foreign currencies other than the subsidiaries’ functional currency.</w:t>
      </w:r>
    </w:p>
    <w:p>
      <w:pPr>
        <w:spacing w:after="0" w:line="59" w:lineRule="exact"/>
        <w:rPr>
          <w:rFonts w:ascii="Arial" w:cs="Arial" w:eastAsia="Arial" w:hAnsi="Arial"/>
          <w:sz w:val="15"/>
          <w:szCs w:val="15"/>
          <w:color w:val="auto"/>
        </w:rPr>
      </w:pPr>
    </w:p>
    <w:p>
      <w:pPr>
        <w:ind w:left="1240" w:hanging="309"/>
        <w:spacing w:after="0" w:line="295" w:lineRule="auto"/>
        <w:tabs>
          <w:tab w:leader="none" w:pos="1229" w:val="left"/>
        </w:tabs>
        <w:numPr>
          <w:ilvl w:val="0"/>
          <w:numId w:val="7"/>
        </w:numPr>
        <w:rPr>
          <w:rFonts w:ascii="Arial" w:cs="Arial" w:eastAsia="Arial" w:hAnsi="Arial"/>
          <w:sz w:val="15"/>
          <w:szCs w:val="15"/>
          <w:color w:val="auto"/>
        </w:rPr>
      </w:pPr>
      <w:r>
        <w:rPr>
          <w:rFonts w:ascii="Arial" w:cs="Arial" w:eastAsia="Arial" w:hAnsi="Arial"/>
          <w:sz w:val="15"/>
          <w:szCs w:val="15"/>
          <w:color w:val="auto"/>
        </w:rPr>
        <w:t>Goodwill and other impairment charges related to non-cash costs associated with impairment charges to goodwill, other intangibles, rental fleet and property, plant and equipment.</w:t>
      </w:r>
    </w:p>
    <w:p>
      <w:pPr>
        <w:spacing w:after="0" w:line="1" w:lineRule="exact"/>
        <w:rPr>
          <w:rFonts w:ascii="Arial" w:cs="Arial" w:eastAsia="Arial" w:hAnsi="Arial"/>
          <w:sz w:val="15"/>
          <w:szCs w:val="15"/>
          <w:color w:val="auto"/>
        </w:rPr>
      </w:pPr>
    </w:p>
    <w:p>
      <w:pPr>
        <w:ind w:left="1240" w:hanging="309"/>
        <w:spacing w:after="0" w:line="294" w:lineRule="auto"/>
        <w:tabs>
          <w:tab w:leader="none" w:pos="1229" w:val="left"/>
        </w:tabs>
        <w:numPr>
          <w:ilvl w:val="0"/>
          <w:numId w:val="7"/>
        </w:numPr>
        <w:rPr>
          <w:rFonts w:ascii="Arial" w:cs="Arial" w:eastAsia="Arial" w:hAnsi="Arial"/>
          <w:sz w:val="15"/>
          <w:szCs w:val="15"/>
          <w:color w:val="auto"/>
        </w:rPr>
      </w:pPr>
      <w:r>
        <w:rPr>
          <w:rFonts w:ascii="Arial" w:cs="Arial" w:eastAsia="Arial" w:hAnsi="Arial"/>
          <w:sz w:val="15"/>
          <w:szCs w:val="15"/>
          <w:color w:val="auto"/>
        </w:rPr>
        <w:t>Restructuring costs, lease impairment expense, and other related charges associated with restructuring plans designed to streamline operations and reduce costs including employee and lease termination costs.</w:t>
      </w:r>
    </w:p>
    <w:p>
      <w:pPr>
        <w:spacing w:after="0" w:line="2" w:lineRule="exact"/>
        <w:rPr>
          <w:rFonts w:ascii="Arial" w:cs="Arial" w:eastAsia="Arial" w:hAnsi="Arial"/>
          <w:sz w:val="15"/>
          <w:szCs w:val="15"/>
          <w:color w:val="auto"/>
        </w:rPr>
      </w:pPr>
    </w:p>
    <w:p>
      <w:pPr>
        <w:ind w:left="1240" w:hanging="309"/>
        <w:spacing w:after="0"/>
        <w:tabs>
          <w:tab w:leader="none" w:pos="1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Transaction costs including legal and professional fees and other transaction specific related costs.</w:t>
      </w:r>
    </w:p>
    <w:p>
      <w:pPr>
        <w:spacing w:after="0" w:line="59" w:lineRule="exact"/>
        <w:rPr>
          <w:rFonts w:ascii="Arial" w:cs="Arial" w:eastAsia="Arial" w:hAnsi="Arial"/>
          <w:sz w:val="15"/>
          <w:szCs w:val="15"/>
          <w:color w:val="auto"/>
        </w:rPr>
      </w:pPr>
    </w:p>
    <w:p>
      <w:pPr>
        <w:ind w:left="1240" w:hanging="309"/>
        <w:spacing w:after="0" w:line="295" w:lineRule="auto"/>
        <w:tabs>
          <w:tab w:leader="none" w:pos="1229" w:val="left"/>
        </w:tabs>
        <w:numPr>
          <w:ilvl w:val="0"/>
          <w:numId w:val="7"/>
        </w:numPr>
        <w:rPr>
          <w:rFonts w:ascii="Arial" w:cs="Arial" w:eastAsia="Arial" w:hAnsi="Arial"/>
          <w:sz w:val="15"/>
          <w:szCs w:val="15"/>
          <w:color w:val="auto"/>
        </w:rPr>
      </w:pPr>
      <w:r>
        <w:rPr>
          <w:rFonts w:ascii="Arial" w:cs="Arial" w:eastAsia="Arial" w:hAnsi="Arial"/>
          <w:sz w:val="15"/>
          <w:szCs w:val="15"/>
          <w:color w:val="auto"/>
        </w:rPr>
        <w:t>Costs to integrate acquired companies, including outside professional fees, non-capitalized costs associated with system integrations, non-lease branch and fleet relocation expenses, employee training costs, and other costs required to realize cost or revenue synergies.</w:t>
      </w:r>
    </w:p>
    <w:p>
      <w:pPr>
        <w:spacing w:after="0" w:line="1" w:lineRule="exact"/>
        <w:rPr>
          <w:rFonts w:ascii="Arial" w:cs="Arial" w:eastAsia="Arial" w:hAnsi="Arial"/>
          <w:sz w:val="15"/>
          <w:szCs w:val="15"/>
          <w:color w:val="auto"/>
        </w:rPr>
      </w:pPr>
    </w:p>
    <w:p>
      <w:pPr>
        <w:ind w:left="1240" w:hanging="309"/>
        <w:spacing w:after="0"/>
        <w:tabs>
          <w:tab w:leader="none" w:pos="1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Non-cash charges for stock compensation plans.</w:t>
      </w:r>
    </w:p>
    <w:p>
      <w:pPr>
        <w:spacing w:after="0" w:line="59" w:lineRule="exact"/>
        <w:rPr>
          <w:rFonts w:ascii="Arial" w:cs="Arial" w:eastAsia="Arial" w:hAnsi="Arial"/>
          <w:sz w:val="15"/>
          <w:szCs w:val="15"/>
          <w:color w:val="auto"/>
        </w:rPr>
      </w:pPr>
    </w:p>
    <w:p>
      <w:pPr>
        <w:ind w:left="1240" w:hanging="309"/>
        <w:spacing w:after="0" w:line="295" w:lineRule="auto"/>
        <w:tabs>
          <w:tab w:leader="none" w:pos="1229" w:val="left"/>
        </w:tabs>
        <w:numPr>
          <w:ilvl w:val="0"/>
          <w:numId w:val="7"/>
        </w:numPr>
        <w:rPr>
          <w:rFonts w:ascii="Arial" w:cs="Arial" w:eastAsia="Arial" w:hAnsi="Arial"/>
          <w:sz w:val="15"/>
          <w:szCs w:val="15"/>
          <w:color w:val="auto"/>
        </w:rPr>
      </w:pPr>
      <w:r>
        <w:rPr>
          <w:rFonts w:ascii="Arial" w:cs="Arial" w:eastAsia="Arial" w:hAnsi="Arial"/>
          <w:sz w:val="15"/>
          <w:szCs w:val="15"/>
          <w:color w:val="auto"/>
        </w:rPr>
        <w:t>Other expense, including consulting expenses related to certain one-time projects, financing costs not classified as interest expense, and gains and losses on disposals of property, plant, and equipment.</w:t>
      </w:r>
    </w:p>
    <w:p>
      <w:pPr>
        <w:spacing w:after="0" w:line="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Our Chief Operating Decision Maker ("CODM") evaluates business segment performance utilizing Adjusted EBITDA as shown in the reconciliation of the Company’s consolidated income from continuing operations to Adjusted EBITDA below. Management believes that evaluating segment performance excluding such items is meaningful because it provides insight with respect to the intrinsic and ongoing operating results of the Company and captures the business performance of the segments, inclusive of indirect costs.</w:t>
      </w:r>
    </w:p>
    <w:p>
      <w:pPr>
        <w:spacing w:after="0" w:line="2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Adjusted EBITDA has limitations as an analytical tool, and you should not consider the measure in isolation or as a substitute for net income (loss), cash flow from operations or other methods of analyzing WillScot Mobile Mini’s results as reported under GAAP. Some of these limitations are:</w:t>
      </w:r>
    </w:p>
    <w:p>
      <w:pPr>
        <w:spacing w:after="0" w:line="3" w:lineRule="exact"/>
        <w:rPr>
          <w:sz w:val="20"/>
          <w:szCs w:val="20"/>
          <w:color w:val="auto"/>
        </w:rPr>
      </w:pPr>
    </w:p>
    <w:p>
      <w:pPr>
        <w:ind w:left="1240" w:hanging="309"/>
        <w:spacing w:after="0"/>
        <w:tabs>
          <w:tab w:leader="none" w:pos="12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Adjusted EBITDA does not reflect changes in, or cash requirements for our working capital needs;</w:t>
      </w:r>
    </w:p>
    <w:p>
      <w:pPr>
        <w:spacing w:after="0" w:line="59" w:lineRule="exact"/>
        <w:rPr>
          <w:rFonts w:ascii="Arial" w:cs="Arial" w:eastAsia="Arial" w:hAnsi="Arial"/>
          <w:sz w:val="15"/>
          <w:szCs w:val="15"/>
          <w:color w:val="auto"/>
        </w:rPr>
      </w:pPr>
    </w:p>
    <w:p>
      <w:pPr>
        <w:ind w:left="1240" w:hanging="309"/>
        <w:spacing w:after="0" w:line="294" w:lineRule="auto"/>
        <w:tabs>
          <w:tab w:leader="none" w:pos="1229"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Adjusted EBITDA does not reflect our interest expense, or the cash requirements necessary to service interest or principal payments, on our indebtedness;</w:t>
      </w:r>
    </w:p>
    <w:p>
      <w:pPr>
        <w:spacing w:after="0" w:line="2" w:lineRule="exact"/>
        <w:rPr>
          <w:rFonts w:ascii="Arial" w:cs="Arial" w:eastAsia="Arial" w:hAnsi="Arial"/>
          <w:sz w:val="15"/>
          <w:szCs w:val="15"/>
          <w:color w:val="auto"/>
        </w:rPr>
      </w:pPr>
    </w:p>
    <w:p>
      <w:pPr>
        <w:ind w:left="1240" w:hanging="309"/>
        <w:spacing w:after="0"/>
        <w:tabs>
          <w:tab w:leader="none" w:pos="12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Adjusted EBITDA does not reflect our tax expense or the cash requirements to pay our taxes;</w:t>
      </w:r>
    </w:p>
    <w:p>
      <w:pPr>
        <w:spacing w:after="0" w:line="59" w:lineRule="exact"/>
        <w:rPr>
          <w:rFonts w:ascii="Arial" w:cs="Arial" w:eastAsia="Arial" w:hAnsi="Arial"/>
          <w:sz w:val="15"/>
          <w:szCs w:val="15"/>
          <w:color w:val="auto"/>
        </w:rPr>
      </w:pPr>
    </w:p>
    <w:p>
      <w:pPr>
        <w:ind w:left="1240" w:hanging="309"/>
        <w:spacing w:after="0"/>
        <w:tabs>
          <w:tab w:leader="none" w:pos="12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Adjusted EBITDA does not reflect historical cash expenditures or future requirements for capital expenditures or contractual commitments;</w:t>
      </w:r>
    </w:p>
    <w:p>
      <w:pPr>
        <w:spacing w:after="0" w:line="59" w:lineRule="exact"/>
        <w:rPr>
          <w:rFonts w:ascii="Arial" w:cs="Arial" w:eastAsia="Arial" w:hAnsi="Arial"/>
          <w:sz w:val="15"/>
          <w:szCs w:val="15"/>
          <w:color w:val="auto"/>
        </w:rPr>
      </w:pPr>
    </w:p>
    <w:p>
      <w:pPr>
        <w:ind w:left="1240" w:hanging="309"/>
        <w:spacing w:after="0" w:line="295" w:lineRule="auto"/>
        <w:tabs>
          <w:tab w:leader="none" w:pos="1229"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Adjusted EBITDA does not reflect the impact on earnings or changes resulting from matters that we consider not to be indicative of our future operations;</w:t>
      </w:r>
    </w:p>
    <w:p>
      <w:pPr>
        <w:spacing w:after="0" w:line="1" w:lineRule="exact"/>
        <w:rPr>
          <w:rFonts w:ascii="Arial" w:cs="Arial" w:eastAsia="Arial" w:hAnsi="Arial"/>
          <w:sz w:val="15"/>
          <w:szCs w:val="15"/>
          <w:color w:val="auto"/>
        </w:rPr>
      </w:pPr>
    </w:p>
    <w:p>
      <w:pPr>
        <w:ind w:left="1240" w:hanging="309"/>
        <w:spacing w:after="0" w:line="295" w:lineRule="auto"/>
        <w:tabs>
          <w:tab w:leader="none" w:pos="1229" w:val="left"/>
        </w:tabs>
        <w:numPr>
          <w:ilvl w:val="0"/>
          <w:numId w:val="8"/>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will often have to be replaced in the future and Adjusted EBITDA does not reflect any cash requirements for such replacements; and</w:t>
      </w:r>
    </w:p>
    <w:p>
      <w:pPr>
        <w:spacing w:after="0" w:line="1" w:lineRule="exact"/>
        <w:rPr>
          <w:rFonts w:ascii="Arial" w:cs="Arial" w:eastAsia="Arial" w:hAnsi="Arial"/>
          <w:sz w:val="15"/>
          <w:szCs w:val="15"/>
          <w:color w:val="auto"/>
        </w:rPr>
      </w:pPr>
    </w:p>
    <w:p>
      <w:pPr>
        <w:ind w:left="1240" w:hanging="309"/>
        <w:spacing w:after="0"/>
        <w:tabs>
          <w:tab w:leader="none" w:pos="1240" w:val="left"/>
        </w:tabs>
        <w:numPr>
          <w:ilvl w:val="0"/>
          <w:numId w:val="8"/>
        </w:numPr>
        <w:rPr>
          <w:rFonts w:ascii="Arial" w:cs="Arial" w:eastAsia="Arial" w:hAnsi="Arial"/>
          <w:sz w:val="15"/>
          <w:szCs w:val="15"/>
          <w:color w:val="auto"/>
        </w:rPr>
      </w:pPr>
      <w:r>
        <w:rPr>
          <w:rFonts w:ascii="Arial" w:cs="Arial" w:eastAsia="Arial" w:hAnsi="Arial"/>
          <w:sz w:val="15"/>
          <w:szCs w:val="15"/>
          <w:color w:val="auto"/>
        </w:rPr>
        <w:t>Other companies in our industry may calculate Adjusted EBITDA differently, limiting its usefulness as a comparative measure.</w:t>
      </w:r>
    </w:p>
    <w:p>
      <w:pPr>
        <w:spacing w:after="0" w:line="60" w:lineRule="exact"/>
        <w:rPr>
          <w:sz w:val="20"/>
          <w:szCs w:val="20"/>
          <w:color w:val="auto"/>
        </w:rPr>
      </w:pPr>
    </w:p>
    <w:p>
      <w:pPr>
        <w:ind w:firstLine="619"/>
        <w:spacing w:after="0" w:line="312" w:lineRule="auto"/>
        <w:rPr>
          <w:sz w:val="20"/>
          <w:szCs w:val="20"/>
          <w:color w:val="auto"/>
        </w:rPr>
      </w:pPr>
      <w:r>
        <w:rPr>
          <w:rFonts w:ascii="Arial" w:cs="Arial" w:eastAsia="Arial" w:hAnsi="Arial"/>
          <w:sz w:val="15"/>
          <w:szCs w:val="15"/>
          <w:color w:val="auto"/>
        </w:rPr>
        <w:t>Because of these limitations, Adjusted EBITDA should not be considered as discretionary cash available to reinvest in the growth of our business or as a measure of cash that will be available to meet our obligations.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33" w:name="page34"/>
    <w:bookmarkEnd w:id="33"/>
    <w:p>
      <w:pPr>
        <w:ind w:left="620"/>
        <w:spacing w:after="0"/>
        <w:rPr>
          <w:sz w:val="20"/>
          <w:szCs w:val="20"/>
          <w:color w:val="auto"/>
        </w:rPr>
      </w:pPr>
      <w:r>
        <w:rPr>
          <w:rFonts w:ascii="Arial" w:cs="Arial" w:eastAsia="Arial" w:hAnsi="Arial"/>
          <w:sz w:val="15"/>
          <w:szCs w:val="15"/>
          <w:color w:val="auto"/>
        </w:rPr>
        <w:t>The following tables provide unaudited reconciliations of Income from continuing operations to Adjusted EBITDA:</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4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22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080" w:type="dxa"/>
            <w:vAlign w:val="bottom"/>
            <w:shd w:val="clear" w:color="auto" w:fill="1D2758"/>
          </w:tcPr>
          <w:p>
            <w:pPr>
              <w:spacing w:after="0"/>
              <w:rPr>
                <w:sz w:val="14"/>
                <w:szCs w:val="14"/>
                <w:color w:val="auto"/>
              </w:rPr>
            </w:pPr>
          </w:p>
        </w:tc>
      </w:tr>
      <w:tr>
        <w:trPr>
          <w:trHeight w:val="206"/>
        </w:trPr>
        <w:tc>
          <w:tcPr>
            <w:tcW w:w="754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200" w:type="dxa"/>
            <w:vAlign w:val="bottom"/>
            <w:gridSpan w:val="3"/>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March 31,</w:t>
            </w:r>
          </w:p>
        </w:tc>
        <w:tc>
          <w:tcPr>
            <w:tcW w:w="1080" w:type="dxa"/>
            <w:vAlign w:val="bottom"/>
            <w:shd w:val="clear" w:color="auto" w:fill="1D2758"/>
          </w:tcPr>
          <w:p>
            <w:pPr>
              <w:spacing w:after="0"/>
              <w:rPr>
                <w:sz w:val="17"/>
                <w:szCs w:val="17"/>
                <w:color w:val="auto"/>
              </w:rPr>
            </w:pPr>
          </w:p>
        </w:tc>
      </w:tr>
      <w:tr>
        <w:trPr>
          <w:trHeight w:val="206"/>
        </w:trPr>
        <w:tc>
          <w:tcPr>
            <w:tcW w:w="75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720" w:type="dxa"/>
            <w:vAlign w:val="bottom"/>
            <w:shd w:val="clear" w:color="auto" w:fill="1D2758"/>
          </w:tcPr>
          <w:p>
            <w:pPr>
              <w:spacing w:after="0"/>
              <w:rPr>
                <w:sz w:val="17"/>
                <w:szCs w:val="17"/>
                <w:color w:val="auto"/>
              </w:rPr>
            </w:pPr>
          </w:p>
        </w:tc>
        <w:tc>
          <w:tcPr>
            <w:tcW w:w="10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r>
      <w:tr>
        <w:trPr>
          <w:trHeight w:val="206"/>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Income from continuing operations</w:t>
            </w: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76,271</w:t>
            </w:r>
          </w:p>
        </w:tc>
        <w:tc>
          <w:tcPr>
            <w:tcW w:w="100" w:type="dxa"/>
            <w:vAlign w:val="bottom"/>
            <w:shd w:val="clear" w:color="auto" w:fill="DBDBDB"/>
          </w:tcPr>
          <w:p>
            <w:pPr>
              <w:spacing w:after="0"/>
              <w:rPr>
                <w:sz w:val="17"/>
                <w:szCs w:val="17"/>
                <w:color w:val="auto"/>
              </w:rPr>
            </w:pPr>
          </w:p>
        </w:tc>
        <w:tc>
          <w:tcPr>
            <w:tcW w:w="720" w:type="dxa"/>
            <w:vAlign w:val="bottom"/>
            <w:shd w:val="clear" w:color="auto" w:fill="DBDBDB"/>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39,048</w:t>
            </w:r>
          </w:p>
        </w:tc>
      </w:tr>
      <w:tr>
        <w:trPr>
          <w:trHeight w:val="205"/>
        </w:trPr>
        <w:tc>
          <w:tcPr>
            <w:tcW w:w="7540" w:type="dxa"/>
            <w:vAlign w:val="bottom"/>
          </w:tcPr>
          <w:p>
            <w:pPr>
              <w:ind w:left="220"/>
              <w:spacing w:after="0"/>
              <w:rPr>
                <w:sz w:val="20"/>
                <w:szCs w:val="20"/>
                <w:color w:val="auto"/>
              </w:rPr>
            </w:pPr>
            <w:r>
              <w:rPr>
                <w:rFonts w:ascii="Arial" w:cs="Arial" w:eastAsia="Arial" w:hAnsi="Arial"/>
                <w:sz w:val="15"/>
                <w:szCs w:val="15"/>
                <w:color w:val="auto"/>
              </w:rPr>
              <w:t>Income tax expense from continuing operations</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30,510</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12,083</w:t>
            </w:r>
          </w:p>
        </w:tc>
      </w:tr>
      <w:tr>
        <w:trPr>
          <w:trHeight w:val="207"/>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44,866</w:t>
            </w:r>
          </w:p>
        </w:tc>
        <w:tc>
          <w:tcPr>
            <w:tcW w:w="10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30,570</w:t>
            </w:r>
          </w:p>
        </w:tc>
      </w:tr>
      <w:tr>
        <w:trPr>
          <w:trHeight w:val="205"/>
        </w:trPr>
        <w:tc>
          <w:tcPr>
            <w:tcW w:w="754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76,329</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72,910</w:t>
            </w:r>
          </w:p>
        </w:tc>
      </w:tr>
      <w:tr>
        <w:trPr>
          <w:trHeight w:val="207"/>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6,775</w:t>
            </w:r>
          </w:p>
        </w:tc>
        <w:tc>
          <w:tcPr>
            <w:tcW w:w="10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137</w:t>
            </w:r>
          </w:p>
        </w:tc>
      </w:tr>
      <w:tr>
        <w:trPr>
          <w:trHeight w:val="205"/>
        </w:trPr>
        <w:tc>
          <w:tcPr>
            <w:tcW w:w="7540" w:type="dxa"/>
            <w:vAlign w:val="bottom"/>
          </w:tcPr>
          <w:p>
            <w:pPr>
              <w:ind w:left="220"/>
              <w:spacing w:after="0"/>
              <w:rPr>
                <w:sz w:val="20"/>
                <w:szCs w:val="20"/>
                <w:color w:val="auto"/>
              </w:rPr>
            </w:pPr>
            <w:r>
              <w:rPr>
                <w:rFonts w:ascii="Arial" w:cs="Arial" w:eastAsia="Arial" w:hAnsi="Arial"/>
                <w:sz w:val="15"/>
                <w:szCs w:val="15"/>
                <w:color w:val="auto"/>
              </w:rPr>
              <w:t>Restructuring costs, lease impairment expense and other related charges</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263</w:t>
            </w:r>
          </w:p>
        </w:tc>
      </w:tr>
      <w:tr>
        <w:trPr>
          <w:trHeight w:val="207"/>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Transaction costs</w:t>
            </w:r>
          </w:p>
        </w:tc>
        <w:tc>
          <w:tcPr>
            <w:tcW w:w="420" w:type="dxa"/>
            <w:vAlign w:val="bottom"/>
            <w:shd w:val="clear" w:color="auto" w:fill="DBDBDB"/>
          </w:tcPr>
          <w:p>
            <w:pPr>
              <w:spacing w:after="0"/>
              <w:rPr>
                <w:sz w:val="18"/>
                <w:szCs w:val="18"/>
                <w:color w:val="auto"/>
              </w:rPr>
            </w:pPr>
          </w:p>
        </w:tc>
        <w:tc>
          <w:tcPr>
            <w:tcW w:w="14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7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w:t>
            </w:r>
          </w:p>
        </w:tc>
      </w:tr>
      <w:tr>
        <w:trPr>
          <w:trHeight w:val="205"/>
        </w:trPr>
        <w:tc>
          <w:tcPr>
            <w:tcW w:w="7540" w:type="dxa"/>
            <w:vAlign w:val="bottom"/>
          </w:tcPr>
          <w:p>
            <w:pPr>
              <w:ind w:left="220"/>
              <w:spacing w:after="0"/>
              <w:rPr>
                <w:sz w:val="20"/>
                <w:szCs w:val="20"/>
                <w:color w:val="auto"/>
              </w:rPr>
            </w:pPr>
            <w:r>
              <w:rPr>
                <w:rFonts w:ascii="Arial" w:cs="Arial" w:eastAsia="Arial" w:hAnsi="Arial"/>
                <w:sz w:val="15"/>
                <w:szCs w:val="15"/>
                <w:color w:val="auto"/>
              </w:rPr>
              <w:t>Integration costs</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3,873</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4,087</w:t>
            </w:r>
          </w:p>
        </w:tc>
      </w:tr>
      <w:tr>
        <w:trPr>
          <w:trHeight w:val="207"/>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compensation expense</w:t>
            </w: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8,150</w:t>
            </w:r>
          </w:p>
        </w:tc>
        <w:tc>
          <w:tcPr>
            <w:tcW w:w="10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6,273</w:t>
            </w:r>
          </w:p>
        </w:tc>
      </w:tr>
      <w:tr>
        <w:trPr>
          <w:trHeight w:val="205"/>
        </w:trPr>
        <w:tc>
          <w:tcPr>
            <w:tcW w:w="75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100" w:type="dxa"/>
            <w:vAlign w:val="bottom"/>
            <w:tcBorders>
              <w:bottom w:val="single" w:sz="8" w:color="DBDBDB"/>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2,389</w:t>
            </w:r>
          </w:p>
        </w:tc>
      </w:tr>
      <w:tr>
        <w:trPr>
          <w:trHeight w:val="225"/>
        </w:trPr>
        <w:tc>
          <w:tcPr>
            <w:tcW w:w="7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Adjusted EBITDA from continuing operations</w:t>
            </w:r>
          </w:p>
        </w:tc>
        <w:tc>
          <w:tcPr>
            <w:tcW w:w="420" w:type="dxa"/>
            <w:vAlign w:val="bottom"/>
            <w:tcBorders>
              <w:bottom w:val="single" w:sz="8" w:color="auto"/>
            </w:tcBorders>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246,842</w:t>
            </w:r>
          </w:p>
        </w:tc>
        <w:tc>
          <w:tcPr>
            <w:tcW w:w="100" w:type="dxa"/>
            <w:vAlign w:val="bottom"/>
            <w:tcBorders>
              <w:bottom w:val="single" w:sz="8" w:color="DBDBDB"/>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167,773</w:t>
            </w:r>
          </w:p>
        </w:tc>
      </w:tr>
      <w:tr>
        <w:trPr>
          <w:trHeight w:val="20"/>
        </w:trPr>
        <w:tc>
          <w:tcPr>
            <w:tcW w:w="754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 Margin</w:t>
      </w:r>
    </w:p>
    <w:p>
      <w:pPr>
        <w:spacing w:after="0" w:line="69" w:lineRule="exact"/>
        <w:rPr>
          <w:sz w:val="20"/>
          <w:szCs w:val="20"/>
          <w:color w:val="auto"/>
        </w:rPr>
      </w:pPr>
    </w:p>
    <w:p>
      <w:pPr>
        <w:jc w:val="both"/>
        <w:ind w:firstLine="619"/>
        <w:spacing w:after="0" w:line="296" w:lineRule="auto"/>
        <w:rPr>
          <w:sz w:val="20"/>
          <w:szCs w:val="20"/>
          <w:color w:val="auto"/>
        </w:rPr>
      </w:pPr>
      <w:r>
        <w:rPr>
          <w:rFonts w:ascii="Arial" w:cs="Arial" w:eastAsia="Arial" w:hAnsi="Arial"/>
          <w:sz w:val="15"/>
          <w:szCs w:val="15"/>
          <w:color w:val="auto"/>
        </w:rPr>
        <w:t>We define Adjusted EBITDA Margin as Adjusted EBITDA divided by revenue. Management believes that the presentation of Adjusted EBITDA Margin provides useful information to investors regarding the performance of our business. The following table provides unaudited reconciliations of Adjusted EBITDA Margin: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60" w:type="dxa"/>
            <w:vAlign w:val="bottom"/>
            <w:shd w:val="clear" w:color="auto" w:fill="1D2758"/>
          </w:tcPr>
          <w:p>
            <w:pPr>
              <w:spacing w:after="0"/>
              <w:rPr>
                <w:sz w:val="14"/>
                <w:szCs w:val="14"/>
                <w:color w:val="auto"/>
              </w:rPr>
            </w:pPr>
          </w:p>
        </w:tc>
        <w:tc>
          <w:tcPr>
            <w:tcW w:w="440" w:type="dxa"/>
            <w:vAlign w:val="bottom"/>
            <w:shd w:val="clear" w:color="auto" w:fill="1D2758"/>
          </w:tcPr>
          <w:p>
            <w:pPr>
              <w:spacing w:after="0"/>
              <w:rPr>
                <w:sz w:val="14"/>
                <w:szCs w:val="14"/>
                <w:color w:val="auto"/>
              </w:rPr>
            </w:pPr>
          </w:p>
        </w:tc>
        <w:tc>
          <w:tcPr>
            <w:tcW w:w="23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140" w:type="dxa"/>
            <w:vAlign w:val="bottom"/>
            <w:shd w:val="clear" w:color="auto" w:fill="1D2758"/>
          </w:tcPr>
          <w:p>
            <w:pPr>
              <w:spacing w:after="0"/>
              <w:rPr>
                <w:sz w:val="14"/>
                <w:szCs w:val="14"/>
                <w:color w:val="auto"/>
              </w:rPr>
            </w:pPr>
          </w:p>
        </w:tc>
      </w:tr>
      <w:tr>
        <w:trPr>
          <w:trHeight w:val="206"/>
        </w:trPr>
        <w:tc>
          <w:tcPr>
            <w:tcW w:w="7360" w:type="dxa"/>
            <w:vAlign w:val="bottom"/>
            <w:shd w:val="clear" w:color="auto" w:fill="1D2758"/>
          </w:tcPr>
          <w:p>
            <w:pPr>
              <w:spacing w:after="0"/>
              <w:rPr>
                <w:sz w:val="17"/>
                <w:szCs w:val="17"/>
                <w:color w:val="auto"/>
              </w:rPr>
            </w:pPr>
          </w:p>
        </w:tc>
        <w:tc>
          <w:tcPr>
            <w:tcW w:w="440" w:type="dxa"/>
            <w:vAlign w:val="bottom"/>
            <w:shd w:val="clear" w:color="auto" w:fill="1D2758"/>
          </w:tcPr>
          <w:p>
            <w:pPr>
              <w:spacing w:after="0"/>
              <w:rPr>
                <w:sz w:val="17"/>
                <w:szCs w:val="17"/>
                <w:color w:val="auto"/>
              </w:rPr>
            </w:pPr>
          </w:p>
        </w:tc>
        <w:tc>
          <w:tcPr>
            <w:tcW w:w="2300" w:type="dxa"/>
            <w:vAlign w:val="bottom"/>
            <w:gridSpan w:val="3"/>
            <w:shd w:val="clear" w:color="auto" w:fill="1D2758"/>
          </w:tcPr>
          <w:p>
            <w:pPr>
              <w:jc w:val="right"/>
              <w:ind w:right="363"/>
              <w:spacing w:after="0"/>
              <w:rPr>
                <w:sz w:val="20"/>
                <w:szCs w:val="20"/>
                <w:color w:val="auto"/>
              </w:rPr>
            </w:pPr>
            <w:r>
              <w:rPr>
                <w:rFonts w:ascii="Arial" w:cs="Arial" w:eastAsia="Arial" w:hAnsi="Arial"/>
                <w:sz w:val="15"/>
                <w:szCs w:val="15"/>
                <w:b w:val="1"/>
                <w:bCs w:val="1"/>
                <w:color w:val="FFFFFF"/>
              </w:rPr>
              <w:t>March 31,</w:t>
            </w:r>
          </w:p>
        </w:tc>
        <w:tc>
          <w:tcPr>
            <w:tcW w:w="1140" w:type="dxa"/>
            <w:vAlign w:val="bottom"/>
            <w:shd w:val="clear" w:color="auto" w:fill="1D2758"/>
          </w:tcPr>
          <w:p>
            <w:pPr>
              <w:spacing w:after="0"/>
              <w:rPr>
                <w:sz w:val="17"/>
                <w:szCs w:val="17"/>
                <w:color w:val="auto"/>
              </w:rPr>
            </w:pPr>
          </w:p>
        </w:tc>
      </w:tr>
      <w:tr>
        <w:trPr>
          <w:trHeight w:val="206"/>
        </w:trPr>
        <w:tc>
          <w:tcPr>
            <w:tcW w:w="73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40" w:type="dxa"/>
            <w:vAlign w:val="bottom"/>
            <w:shd w:val="clear" w:color="auto" w:fill="1D2758"/>
          </w:tcPr>
          <w:p>
            <w:pPr>
              <w:spacing w:after="0"/>
              <w:rPr>
                <w:sz w:val="17"/>
                <w:szCs w:val="17"/>
                <w:color w:val="auto"/>
              </w:rPr>
            </w:pPr>
          </w:p>
        </w:tc>
        <w:tc>
          <w:tcPr>
            <w:tcW w:w="1440" w:type="dxa"/>
            <w:vAlign w:val="bottom"/>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760" w:type="dxa"/>
            <w:vAlign w:val="bottom"/>
            <w:shd w:val="clear" w:color="auto" w:fill="1D2758"/>
          </w:tcPr>
          <w:p>
            <w:pPr>
              <w:spacing w:after="0"/>
              <w:rPr>
                <w:sz w:val="17"/>
                <w:szCs w:val="17"/>
                <w:color w:val="auto"/>
              </w:rPr>
            </w:pPr>
          </w:p>
        </w:tc>
        <w:tc>
          <w:tcPr>
            <w:tcW w:w="1140" w:type="dxa"/>
            <w:vAlign w:val="bottom"/>
            <w:shd w:val="clear" w:color="auto" w:fill="1D2758"/>
          </w:tcPr>
          <w:p>
            <w:pPr>
              <w:jc w:val="right"/>
              <w:ind w:right="703"/>
              <w:spacing w:after="0"/>
              <w:rPr>
                <w:sz w:val="20"/>
                <w:szCs w:val="20"/>
                <w:color w:val="auto"/>
              </w:rPr>
            </w:pPr>
            <w:r>
              <w:rPr>
                <w:rFonts w:ascii="Arial" w:cs="Arial" w:eastAsia="Arial" w:hAnsi="Arial"/>
                <w:sz w:val="15"/>
                <w:szCs w:val="15"/>
                <w:b w:val="1"/>
                <w:bCs w:val="1"/>
                <w:color w:val="FFFFFF"/>
              </w:rPr>
              <w:t>2022</w:t>
            </w:r>
          </w:p>
        </w:tc>
      </w:tr>
      <w:tr>
        <w:trPr>
          <w:trHeight w:val="206"/>
        </w:trPr>
        <w:tc>
          <w:tcPr>
            <w:tcW w:w="736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 from continuing operations (A)</w:t>
            </w:r>
          </w:p>
        </w:tc>
        <w:tc>
          <w:tcPr>
            <w:tcW w:w="440" w:type="dxa"/>
            <w:vAlign w:val="bottom"/>
            <w:shd w:val="clear" w:color="auto" w:fill="DBDBDB"/>
          </w:tcPr>
          <w:p>
            <w:pPr>
              <w:jc w:val="right"/>
              <w:ind w:right="26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246,842</w:t>
            </w: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jc w:val="right"/>
              <w:ind w:right="58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167,773</w:t>
            </w:r>
          </w:p>
        </w:tc>
      </w:tr>
      <w:tr>
        <w:trPr>
          <w:trHeight w:val="205"/>
        </w:trPr>
        <w:tc>
          <w:tcPr>
            <w:tcW w:w="73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Revenue (B)</w:t>
            </w: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565,468</w:t>
            </w:r>
          </w:p>
        </w:tc>
        <w:tc>
          <w:tcPr>
            <w:tcW w:w="100" w:type="dxa"/>
            <w:vAlign w:val="bottom"/>
            <w:tcBorders>
              <w:bottom w:val="single" w:sz="8" w:color="DBDBDB"/>
            </w:tcBorders>
          </w:tcPr>
          <w:p>
            <w:pPr>
              <w:spacing w:after="0"/>
              <w:rPr>
                <w:sz w:val="17"/>
                <w:szCs w:val="17"/>
                <w:color w:val="auto"/>
              </w:rPr>
            </w:pPr>
          </w:p>
        </w:tc>
        <w:tc>
          <w:tcPr>
            <w:tcW w:w="76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451,171</w:t>
            </w:r>
          </w:p>
        </w:tc>
      </w:tr>
      <w:tr>
        <w:trPr>
          <w:trHeight w:val="200"/>
        </w:trPr>
        <w:tc>
          <w:tcPr>
            <w:tcW w:w="73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Adjusted EBITDA Margin from Continuing Operations (A/B)</w:t>
            </w:r>
          </w:p>
        </w:tc>
        <w:tc>
          <w:tcPr>
            <w:tcW w:w="440" w:type="dxa"/>
            <w:vAlign w:val="bottom"/>
            <w:tcBorders>
              <w:bottom w:val="single" w:sz="8" w:color="auto"/>
            </w:tcBorders>
            <w:shd w:val="clear" w:color="auto" w:fill="DBDBDB"/>
          </w:tcPr>
          <w:p>
            <w:pPr>
              <w:spacing w:after="0"/>
              <w:rPr>
                <w:sz w:val="17"/>
                <w:szCs w:val="17"/>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43.7 %</w:t>
            </w:r>
          </w:p>
        </w:tc>
        <w:tc>
          <w:tcPr>
            <w:tcW w:w="100" w:type="dxa"/>
            <w:vAlign w:val="bottom"/>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37.2 %</w:t>
            </w:r>
          </w:p>
        </w:tc>
      </w:tr>
      <w:tr>
        <w:trPr>
          <w:trHeight w:val="198"/>
        </w:trPr>
        <w:tc>
          <w:tcPr>
            <w:tcW w:w="7360" w:type="dxa"/>
            <w:vAlign w:val="bottom"/>
          </w:tcPr>
          <w:p>
            <w:pPr>
              <w:ind w:left="20"/>
              <w:spacing w:after="0"/>
              <w:rPr>
                <w:sz w:val="20"/>
                <w:szCs w:val="20"/>
                <w:color w:val="auto"/>
              </w:rPr>
            </w:pPr>
            <w:r>
              <w:rPr>
                <w:rFonts w:ascii="Arial" w:cs="Arial" w:eastAsia="Arial" w:hAnsi="Arial"/>
                <w:sz w:val="15"/>
                <w:szCs w:val="15"/>
                <w:color w:val="auto"/>
              </w:rPr>
              <w:t>Income from continuing operations (C)</w:t>
            </w: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123"/>
              <w:spacing w:after="0"/>
              <w:rPr>
                <w:sz w:val="20"/>
                <w:szCs w:val="20"/>
                <w:color w:val="auto"/>
              </w:rPr>
            </w:pPr>
            <w:r>
              <w:rPr>
                <w:rFonts w:ascii="Arial" w:cs="Arial" w:eastAsia="Arial" w:hAnsi="Arial"/>
                <w:sz w:val="15"/>
                <w:szCs w:val="15"/>
                <w:color w:val="auto"/>
              </w:rPr>
              <w:t>76,271</w:t>
            </w:r>
          </w:p>
        </w:tc>
        <w:tc>
          <w:tcPr>
            <w:tcW w:w="100" w:type="dxa"/>
            <w:vAlign w:val="bottom"/>
          </w:tcPr>
          <w:p>
            <w:pPr>
              <w:spacing w:after="0"/>
              <w:rPr>
                <w:sz w:val="17"/>
                <w:szCs w:val="17"/>
                <w:color w:val="auto"/>
              </w:rPr>
            </w:pPr>
          </w:p>
        </w:tc>
        <w:tc>
          <w:tcPr>
            <w:tcW w:w="760" w:type="dxa"/>
            <w:vAlign w:val="bottom"/>
          </w:tcPr>
          <w:p>
            <w:pPr>
              <w:jc w:val="right"/>
              <w:ind w:right="5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123"/>
              <w:spacing w:after="0"/>
              <w:rPr>
                <w:sz w:val="20"/>
                <w:szCs w:val="20"/>
                <w:color w:val="auto"/>
              </w:rPr>
            </w:pPr>
            <w:r>
              <w:rPr>
                <w:rFonts w:ascii="Arial" w:cs="Arial" w:eastAsia="Arial" w:hAnsi="Arial"/>
                <w:sz w:val="15"/>
                <w:szCs w:val="15"/>
                <w:color w:val="auto"/>
              </w:rPr>
              <w:t>39,048</w:t>
            </w:r>
          </w:p>
        </w:tc>
      </w:tr>
      <w:tr>
        <w:trPr>
          <w:trHeight w:val="207"/>
        </w:trPr>
        <w:tc>
          <w:tcPr>
            <w:tcW w:w="73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from Continuing Operations Margin (C/B)</w:t>
            </w:r>
          </w:p>
        </w:tc>
        <w:tc>
          <w:tcPr>
            <w:tcW w:w="44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13.5 %</w:t>
            </w:r>
          </w:p>
        </w:tc>
        <w:tc>
          <w:tcPr>
            <w:tcW w:w="10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8.7 %</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CAPEX</w:t>
      </w:r>
    </w:p>
    <w:p>
      <w:pPr>
        <w:spacing w:after="0" w:line="69"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We define Net CAPEX as purchases of rental equipment and refurbishments and purchases of property, plant and equipment (collectively, "Total Capital Expenditures"), less proceeds from the sale of rental equipment and proceeds from the sale of property, plant and equipment (collectively, "Total Proceeds"), which are all included in cash flows from investing activities. Management believes that the presentation of Net CAPEX provides useful information regarding the net capital invested in our rental fleet and property, plant and equipment each year to assist in analyzing the performance of our business. As presented below, Net CAPEX includes amounts for the former Tank and Pump segment through September 30, 2022 and the former UK Storage Solutions segment through January 31, 2023.</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tables provide unaudited reconciliations of Net CAPEX:</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40" w:type="dxa"/>
            <w:vAlign w:val="bottom"/>
            <w:shd w:val="clear" w:color="auto" w:fill="1D2758"/>
          </w:tcPr>
          <w:p>
            <w:pPr>
              <w:spacing w:after="0"/>
              <w:rPr>
                <w:sz w:val="15"/>
                <w:szCs w:val="15"/>
                <w:color w:val="auto"/>
              </w:rPr>
            </w:pPr>
          </w:p>
        </w:tc>
        <w:tc>
          <w:tcPr>
            <w:tcW w:w="420" w:type="dxa"/>
            <w:vAlign w:val="bottom"/>
            <w:shd w:val="clear" w:color="auto" w:fill="1D2758"/>
          </w:tcPr>
          <w:p>
            <w:pPr>
              <w:spacing w:after="0"/>
              <w:rPr>
                <w:sz w:val="15"/>
                <w:szCs w:val="15"/>
                <w:color w:val="auto"/>
              </w:rPr>
            </w:pPr>
          </w:p>
        </w:tc>
        <w:tc>
          <w:tcPr>
            <w:tcW w:w="22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080" w:type="dxa"/>
            <w:vAlign w:val="bottom"/>
            <w:shd w:val="clear" w:color="auto" w:fill="1D2758"/>
          </w:tcPr>
          <w:p>
            <w:pPr>
              <w:spacing w:after="0"/>
              <w:rPr>
                <w:sz w:val="15"/>
                <w:szCs w:val="15"/>
                <w:color w:val="auto"/>
              </w:rPr>
            </w:pPr>
          </w:p>
        </w:tc>
      </w:tr>
      <w:tr>
        <w:trPr>
          <w:trHeight w:val="206"/>
        </w:trPr>
        <w:tc>
          <w:tcPr>
            <w:tcW w:w="754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200" w:type="dxa"/>
            <w:vAlign w:val="bottom"/>
            <w:gridSpan w:val="3"/>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March 31,</w:t>
            </w:r>
          </w:p>
        </w:tc>
        <w:tc>
          <w:tcPr>
            <w:tcW w:w="1080" w:type="dxa"/>
            <w:vAlign w:val="bottom"/>
            <w:shd w:val="clear" w:color="auto" w:fill="1D2758"/>
          </w:tcPr>
          <w:p>
            <w:pPr>
              <w:spacing w:after="0"/>
              <w:rPr>
                <w:sz w:val="17"/>
                <w:szCs w:val="17"/>
                <w:color w:val="auto"/>
              </w:rPr>
            </w:pPr>
          </w:p>
        </w:tc>
      </w:tr>
      <w:tr>
        <w:trPr>
          <w:trHeight w:val="206"/>
        </w:trPr>
        <w:tc>
          <w:tcPr>
            <w:tcW w:w="75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720" w:type="dxa"/>
            <w:vAlign w:val="bottom"/>
            <w:shd w:val="clear" w:color="auto" w:fill="1D2758"/>
          </w:tcPr>
          <w:p>
            <w:pPr>
              <w:spacing w:after="0"/>
              <w:rPr>
                <w:sz w:val="17"/>
                <w:szCs w:val="17"/>
                <w:color w:val="auto"/>
              </w:rPr>
            </w:pPr>
          </w:p>
        </w:tc>
        <w:tc>
          <w:tcPr>
            <w:tcW w:w="10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r>
      <w:tr>
        <w:trPr>
          <w:trHeight w:val="206"/>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purchases of rental equipment and refurbishments</w:t>
            </w: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(47,128)</w:t>
            </w:r>
          </w:p>
        </w:tc>
        <w:tc>
          <w:tcPr>
            <w:tcW w:w="100" w:type="dxa"/>
            <w:vAlign w:val="bottom"/>
            <w:shd w:val="clear" w:color="auto" w:fill="DBDBDB"/>
          </w:tcPr>
          <w:p>
            <w:pPr>
              <w:spacing w:after="0"/>
              <w:rPr>
                <w:sz w:val="17"/>
                <w:szCs w:val="17"/>
                <w:color w:val="auto"/>
              </w:rPr>
            </w:pPr>
          </w:p>
        </w:tc>
        <w:tc>
          <w:tcPr>
            <w:tcW w:w="720" w:type="dxa"/>
            <w:vAlign w:val="bottom"/>
            <w:shd w:val="clear" w:color="auto" w:fill="DBDBDB"/>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(95,236)</w:t>
            </w:r>
          </w:p>
        </w:tc>
      </w:tr>
      <w:tr>
        <w:trPr>
          <w:trHeight w:val="205"/>
        </w:trPr>
        <w:tc>
          <w:tcPr>
            <w:tcW w:w="75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Total proceeds from sale of rental equipment</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7,781</w:t>
            </w:r>
          </w:p>
        </w:tc>
        <w:tc>
          <w:tcPr>
            <w:tcW w:w="100" w:type="dxa"/>
            <w:vAlign w:val="bottom"/>
            <w:tcBorders>
              <w:bottom w:val="single" w:sz="8" w:color="DBDBDB"/>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14,554</w:t>
            </w:r>
          </w:p>
        </w:tc>
      </w:tr>
      <w:tr>
        <w:trPr>
          <w:trHeight w:val="200"/>
        </w:trPr>
        <w:tc>
          <w:tcPr>
            <w:tcW w:w="7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CAPEX for Rental Equipment</w:t>
            </w:r>
          </w:p>
        </w:tc>
        <w:tc>
          <w:tcPr>
            <w:tcW w:w="42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(39,347)</w:t>
            </w:r>
          </w:p>
        </w:tc>
        <w:tc>
          <w:tcPr>
            <w:tcW w:w="10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(80,682)</w:t>
            </w:r>
          </w:p>
        </w:tc>
      </w:tr>
      <w:tr>
        <w:trPr>
          <w:trHeight w:val="205"/>
        </w:trPr>
        <w:tc>
          <w:tcPr>
            <w:tcW w:w="7540" w:type="dxa"/>
            <w:vAlign w:val="bottom"/>
          </w:tcPr>
          <w:p>
            <w:pPr>
              <w:ind w:left="20"/>
              <w:spacing w:after="0"/>
              <w:rPr>
                <w:sz w:val="20"/>
                <w:szCs w:val="20"/>
                <w:color w:val="auto"/>
              </w:rPr>
            </w:pPr>
            <w:r>
              <w:rPr>
                <w:rFonts w:ascii="Arial" w:cs="Arial" w:eastAsia="Arial" w:hAnsi="Arial"/>
                <w:sz w:val="15"/>
                <w:szCs w:val="15"/>
                <w:color w:val="auto"/>
              </w:rPr>
              <w:t>Purchase of property, plant and equipment</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(6,736)</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(10,481)</w:t>
            </w:r>
          </w:p>
        </w:tc>
      </w:tr>
      <w:tr>
        <w:trPr>
          <w:trHeight w:val="207"/>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property, plant and equipment</w:t>
            </w:r>
          </w:p>
        </w:tc>
        <w:tc>
          <w:tcPr>
            <w:tcW w:w="420" w:type="dxa"/>
            <w:vAlign w:val="bottom"/>
            <w:tcBorders>
              <w:bottom w:val="single" w:sz="8" w:color="auto"/>
            </w:tcBorders>
            <w:shd w:val="clear" w:color="auto" w:fill="DBDBDB"/>
          </w:tcPr>
          <w:p>
            <w:pPr>
              <w:spacing w:after="0"/>
              <w:rPr>
                <w:sz w:val="18"/>
                <w:szCs w:val="18"/>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258</w:t>
            </w:r>
          </w:p>
        </w:tc>
        <w:tc>
          <w:tcPr>
            <w:tcW w:w="100" w:type="dxa"/>
            <w:vAlign w:val="bottom"/>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260</w:t>
            </w:r>
          </w:p>
        </w:tc>
      </w:tr>
      <w:tr>
        <w:trPr>
          <w:trHeight w:val="198"/>
        </w:trPr>
        <w:tc>
          <w:tcPr>
            <w:tcW w:w="7540" w:type="dxa"/>
            <w:vAlign w:val="bottom"/>
          </w:tcPr>
          <w:p>
            <w:pPr>
              <w:ind w:left="220"/>
              <w:spacing w:after="0"/>
              <w:rPr>
                <w:sz w:val="20"/>
                <w:szCs w:val="20"/>
                <w:color w:val="auto"/>
              </w:rPr>
            </w:pPr>
            <w:r>
              <w:rPr>
                <w:rFonts w:ascii="Arial" w:cs="Arial" w:eastAsia="Arial" w:hAnsi="Arial"/>
                <w:sz w:val="15"/>
                <w:szCs w:val="15"/>
                <w:color w:val="auto"/>
              </w:rPr>
              <w:t>Net CAPEX</w:t>
            </w: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(45,825)</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(90,903)</w:t>
            </w:r>
          </w:p>
        </w:tc>
      </w:tr>
      <w:tr>
        <w:trPr>
          <w:trHeight w:val="20"/>
        </w:trPr>
        <w:tc>
          <w:tcPr>
            <w:tcW w:w="7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4" w:name="page35"/>
    <w:bookmarkEnd w:id="34"/>
    <w:p>
      <w:pPr>
        <w:spacing w:after="0"/>
        <w:rPr>
          <w:sz w:val="20"/>
          <w:szCs w:val="20"/>
          <w:color w:val="auto"/>
        </w:rPr>
      </w:pPr>
      <w:r>
        <w:rPr>
          <w:rFonts w:ascii="Arial" w:cs="Arial" w:eastAsia="Arial" w:hAnsi="Arial"/>
          <w:sz w:val="22"/>
          <w:szCs w:val="22"/>
          <w:color w:val="1D2758"/>
        </w:rPr>
        <w:t>Liquidity and Capital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1"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WillScot Mobile Mini is a holding company that derives its operating cash flow from its operating subsidiaries. Our principal sources of liquidity include cash generated by operating activities from our subsidiaries, borrowings under our ABL Facility, and sales of equity and debt securities. We believe that our liquidity sources and operating cash flows are sufficient to address our operating, debt service and capital requirements over the next twelve months.</w:t>
      </w:r>
    </w:p>
    <w:p>
      <w:pPr>
        <w:jc w:val="both"/>
        <w:ind w:firstLine="619"/>
        <w:spacing w:after="0" w:line="281" w:lineRule="auto"/>
        <w:rPr>
          <w:sz w:val="20"/>
          <w:szCs w:val="20"/>
          <w:color w:val="auto"/>
        </w:rPr>
      </w:pPr>
      <w:r>
        <w:rPr>
          <w:rFonts w:ascii="Arial" w:cs="Arial" w:eastAsia="Arial" w:hAnsi="Arial"/>
          <w:sz w:val="15"/>
          <w:szCs w:val="15"/>
          <w:color w:val="auto"/>
        </w:rPr>
        <w:t>We have consistently accessed the debt and equity capital markets both opportunistically and as necessary to support the growth of our business, desired leverage levels, and other capital allocation priorities. We believe we have ample liquidity in the ABL Facility and are generating substantial free cash flow, which together support both organic operations and other capital allocation priorities as they arise.</w:t>
      </w:r>
    </w:p>
    <w:p>
      <w:pPr>
        <w:jc w:val="both"/>
        <w:ind w:firstLine="619"/>
        <w:spacing w:after="0" w:line="265" w:lineRule="auto"/>
        <w:rPr>
          <w:sz w:val="20"/>
          <w:szCs w:val="20"/>
          <w:color w:val="auto"/>
        </w:rPr>
      </w:pPr>
      <w:r>
        <w:rPr>
          <w:rFonts w:ascii="Arial" w:cs="Arial" w:eastAsia="Arial" w:hAnsi="Arial"/>
          <w:sz w:val="15"/>
          <w:szCs w:val="15"/>
          <w:color w:val="auto"/>
        </w:rPr>
        <w:t>We continue to review available acquisition opportunities with the awareness that any such acquisition may require us to incur additional debt to finance the acquisition and/or to issue shares of our Common Stock or other equity securities as acquisition consideration or as part of an overall financing plan. In addition, we will continue to evaluate alternatives to optimize our capital structure, which could include the issuance or repurchase of additional unsecured and secured debt, equity securities and/or equity-linked securities. There can be no assurance as to the timing of any such issuance or repurchase. If we obtain additional capital by issuing equity, the interests of our existing stockholders will be diluted. If we incur additional indebtedness, that indebtedness may contain significant financial and other covenants that may significantly restrict our operations. Availability of financing and the associated terms are inherently dependent on the debt and equity capital markets and subject to change. From time to time, we may also seek to streamline our capital structure and improve our financial position through refinancing or restructuring our existing debt or retiring certain of our securities for cash or other consideration.</w:t>
      </w:r>
    </w:p>
    <w:p>
      <w:pPr>
        <w:spacing w:after="0" w:line="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Our revolving credit facility provides an aggregate principal amount of up to $3.7 billion, consisting of: (i) a senior secured asset-based US dollar revolving credit facility in the aggregate principal amount of $3.3 billion (the “US Facility”) and (ii) a $400.0 million senior secured asset-based multicurrency revolving credit facility (the "Multicurrency Facility," and together with the US Facility, the “ABL Facility”). Borrowing availability under the ABL Facility is equal to the lesser of $3.7 billion and the applicable borrowing bases. The borrowing bases are a function of, among other things, the value of the assets in the relevant collateral pool, of which our rental equipment represents the largest component. At March 31, 2023, we had $1.1 billion of available borrowing capacity under the ABL Facility.</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 Comparison of the Three Months Ended March 31, 2023 and 2022</w:t>
      </w:r>
    </w:p>
    <w:p>
      <w:pPr>
        <w:spacing w:after="0" w:line="121"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Significant factors driving our liquidity include cash flows generated from operating activities and capital expenditures. Our ability to fund our capital needs will be affected by our ongoing ability to generate cash from operations and access to capital markets.</w:t>
      </w:r>
    </w:p>
    <w:p>
      <w:pPr>
        <w:spacing w:after="0" w:line="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The consolidated statements of cash flows include amounts for the former Tank and Pump segment through September 30, 2022 and the former UK Storage Solutions segment through January 31, 2023. See Note 3 to the financial statements for disclosure of significant operating and investing items related to the</w:t>
      </w:r>
    </w:p>
    <w:p>
      <w:pPr>
        <w:sectPr>
          <w:pgSz w:w="11900" w:h="16838" w:orient="portrait"/>
          <w:cols w:equalWidth="0" w:num="1">
            <w:col w:w="11240"/>
          </w:cols>
          <w:pgMar w:left="320" w:top="1050" w:right="33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former Tank and Pump and former UK Storage Solutions segments.</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summarizes our change in cash and cash equivalents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138670" cy="417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670" cy="41719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FFFFFF"/>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7138670" cy="1308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cash provided by operating activities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138670" cy="1308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cash (used in) provided by financing activities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713867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670" cy="188595"/>
                    </a:xfrm>
                    <a:prstGeom prst="rect">
                      <a:avLst/>
                    </a:prstGeom>
                    <a:noFill/>
                  </pic:spPr>
                </pic:pic>
              </a:graphicData>
            </a:graphic>
          </wp:anchor>
        </w:drawing>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Net change in cash and cash equivalents</w:t>
      </w: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FFFFFF"/>
        </w:rPr>
        <w:t>Three Months Ended</w:t>
      </w:r>
    </w:p>
    <w:p>
      <w:pPr>
        <w:jc w:val="center"/>
        <w:spacing w:after="0"/>
        <w:rPr>
          <w:sz w:val="20"/>
          <w:szCs w:val="20"/>
          <w:color w:val="auto"/>
        </w:rPr>
      </w:pPr>
      <w:r>
        <w:rPr>
          <w:rFonts w:ascii="Arial" w:cs="Arial" w:eastAsia="Arial" w:hAnsi="Arial"/>
          <w:sz w:val="15"/>
          <w:szCs w:val="15"/>
          <w:b w:val="1"/>
          <w:bCs w:val="1"/>
          <w:color w:val="FFFFFF"/>
        </w:rPr>
        <w:t>March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20" w:type="dxa"/>
            <w:vAlign w:val="bottom"/>
            <w:shd w:val="clear" w:color="auto" w:fill="1D2758"/>
          </w:tcPr>
          <w:p>
            <w:pPr>
              <w:spacing w:after="0"/>
              <w:rPr>
                <w:sz w:val="24"/>
                <w:szCs w:val="24"/>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24"/>
                <w:szCs w:val="24"/>
                <w:color w:val="auto"/>
              </w:rPr>
            </w:pPr>
          </w:p>
        </w:tc>
        <w:tc>
          <w:tcPr>
            <w:tcW w:w="420" w:type="dxa"/>
            <w:vAlign w:val="bottom"/>
            <w:shd w:val="clear" w:color="auto" w:fill="1D2758"/>
          </w:tcPr>
          <w:p>
            <w:pPr>
              <w:spacing w:after="0"/>
              <w:rPr>
                <w:sz w:val="24"/>
                <w:szCs w:val="24"/>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r>
      <w:tr>
        <w:trPr>
          <w:trHeight w:val="205"/>
        </w:trPr>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148,765</w:t>
            </w:r>
          </w:p>
        </w:tc>
        <w:tc>
          <w:tcPr>
            <w:tcW w:w="10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145,527</w:t>
            </w:r>
          </w:p>
        </w:tc>
      </w:tr>
      <w:tr>
        <w:trPr>
          <w:trHeight w:val="206"/>
        </w:trPr>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271,949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(148,360)</w:t>
            </w:r>
          </w:p>
        </w:tc>
      </w:tr>
      <w:tr>
        <w:trPr>
          <w:trHeight w:val="206"/>
        </w:trPr>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(423,087)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1,586</w:t>
            </w:r>
          </w:p>
        </w:tc>
      </w:tr>
      <w:tr>
        <w:trPr>
          <w:trHeight w:val="297"/>
        </w:trPr>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517</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w:t>
            </w:r>
          </w:p>
        </w:tc>
      </w:tr>
      <w:tr>
        <w:trPr>
          <w:trHeight w:val="251"/>
        </w:trPr>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(1,856)</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(1,378)</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413" w:lineRule="exact"/>
        <w:rPr>
          <w:sz w:val="20"/>
          <w:szCs w:val="20"/>
          <w:color w:val="auto"/>
        </w:rPr>
      </w:pPr>
    </w:p>
    <w:p>
      <w:pPr>
        <w:sectPr>
          <w:pgSz w:w="11900" w:h="16838" w:orient="portrait"/>
          <w:cols w:equalWidth="0" w:num="2">
            <w:col w:w="7060" w:space="480"/>
            <w:col w:w="3700"/>
          </w:cols>
          <w:pgMar w:left="320" w:top="1050" w:right="339" w:bottom="1440" w:gutter="0" w:footer="0" w:header="0"/>
          <w:type w:val="continuous"/>
        </w:sectPr>
      </w:pPr>
    </w:p>
    <w:p>
      <w:pPr>
        <w:jc w:val="both"/>
        <w:ind w:firstLine="619"/>
        <w:spacing w:after="0" w:line="273" w:lineRule="auto"/>
        <w:rPr>
          <w:sz w:val="20"/>
          <w:szCs w:val="20"/>
          <w:color w:val="auto"/>
        </w:rPr>
      </w:pPr>
      <w:r>
        <w:rPr>
          <w:rFonts w:ascii="Arial" w:cs="Arial" w:eastAsia="Arial" w:hAnsi="Arial"/>
          <w:sz w:val="15"/>
          <w:szCs w:val="15"/>
          <w:color w:val="auto"/>
        </w:rPr>
        <w:t>Cash provided by operating activities for the three months ended March 31, 2023 was $148.8 million as compared to $145.5 million for the three months ended March 31, 2022, an increase of $3.2 million. The increase was due to an increase of $37.3 million of net income, adjusted for non-cash items, and a decrease of $34.1 million in the net movements of the operating assets and liabilities.</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Investing Activities</w:t>
      </w:r>
    </w:p>
    <w:p>
      <w:pPr>
        <w:spacing w:after="0" w:line="11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Cash provided by investing activities for the three months ended March 31, 2023 was $271.9 million as compared to cash used in investing activities of $148.4 million for the three months ended March 31, 2022, an increase of $420.3 million in cash provided by investing activities. The increase in cash provided by investing activities was driven by proceeds of $404.0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type w:val="continuous"/>
        </w:sectPr>
      </w:pPr>
    </w:p>
    <w:bookmarkStart w:id="35" w:name="page36"/>
    <w:bookmarkEnd w:id="35"/>
    <w:p>
      <w:pPr>
        <w:jc w:val="both"/>
        <w:spacing w:after="0" w:line="271" w:lineRule="auto"/>
        <w:rPr>
          <w:sz w:val="20"/>
          <w:szCs w:val="20"/>
          <w:color w:val="auto"/>
        </w:rPr>
      </w:pPr>
      <w:r>
        <w:rPr>
          <w:rFonts w:ascii="Arial" w:cs="Arial" w:eastAsia="Arial" w:hAnsi="Arial"/>
          <w:sz w:val="15"/>
          <w:szCs w:val="15"/>
          <w:color w:val="auto"/>
        </w:rPr>
        <w:t>million from the sale of discontinued operations, a $48.1 million decrease in cash used for the purchase of rental equipment and refurbishments, and a $3.7 million decrease in cash used for the purchase of property, plant and equipment. The increase was partially offset by a $21.0 million increase in cash used in acquisitions, net of cash acquired, a cash payment of $7.7 million for the settlement of the contingent foreign currency forward contract, and a $6.8 million decrease in proceeds from the sale of rental equipment.</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Financing Activities</w:t>
      </w:r>
    </w:p>
    <w:p>
      <w:pPr>
        <w:spacing w:after="0" w:line="11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Cash used in financing activities for the three months ended March 31, 2023 was $423.1 million as compared to cash provided by financing activities of $1.6 million for the three months ended March 31, 2022, a change of $424.7 million. The change was primarily due to a $499.3 million increase in repayments of borrowings and a $137.4 million increase in the repurchase of common stock offset by a $211.3 million increase in receipts from borrowings.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Free Cash Flow</w:t>
      </w:r>
    </w:p>
    <w:p>
      <w:pPr>
        <w:spacing w:after="0" w:line="12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Free Cash Flow is a non-GAAP measure. We define Free Cash Flow as net cash provided by operating activities, less purchases of, and proceeds from, rental equipment and property, plant and equipment, which are all included in cash flows from investing activities. Management believes that the presentation of Free Cash Flow provides useful additional information concerning cash flow available to fund our capital allocation alternatives. The following table provides a reconciliation of net cash provided by operating activities to Free Cash Flow.</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4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22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080" w:type="dxa"/>
            <w:vAlign w:val="bottom"/>
            <w:shd w:val="clear" w:color="auto" w:fill="1D2758"/>
          </w:tcPr>
          <w:p>
            <w:pPr>
              <w:spacing w:after="0"/>
              <w:rPr>
                <w:sz w:val="14"/>
                <w:szCs w:val="14"/>
                <w:color w:val="auto"/>
              </w:rPr>
            </w:pPr>
          </w:p>
        </w:tc>
      </w:tr>
      <w:tr>
        <w:trPr>
          <w:trHeight w:val="206"/>
        </w:trPr>
        <w:tc>
          <w:tcPr>
            <w:tcW w:w="754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200" w:type="dxa"/>
            <w:vAlign w:val="bottom"/>
            <w:gridSpan w:val="3"/>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March 31,</w:t>
            </w:r>
          </w:p>
        </w:tc>
        <w:tc>
          <w:tcPr>
            <w:tcW w:w="1080" w:type="dxa"/>
            <w:vAlign w:val="bottom"/>
            <w:shd w:val="clear" w:color="auto" w:fill="1D2758"/>
          </w:tcPr>
          <w:p>
            <w:pPr>
              <w:spacing w:after="0"/>
              <w:rPr>
                <w:sz w:val="17"/>
                <w:szCs w:val="17"/>
                <w:color w:val="auto"/>
              </w:rPr>
            </w:pPr>
          </w:p>
        </w:tc>
      </w:tr>
      <w:tr>
        <w:trPr>
          <w:trHeight w:val="206"/>
        </w:trPr>
        <w:tc>
          <w:tcPr>
            <w:tcW w:w="75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2023</w:t>
            </w:r>
          </w:p>
        </w:tc>
        <w:tc>
          <w:tcPr>
            <w:tcW w:w="100" w:type="dxa"/>
            <w:vAlign w:val="bottom"/>
            <w:shd w:val="clear" w:color="auto" w:fill="1D2758"/>
          </w:tcPr>
          <w:p>
            <w:pPr>
              <w:spacing w:after="0"/>
              <w:rPr>
                <w:sz w:val="17"/>
                <w:szCs w:val="17"/>
                <w:color w:val="auto"/>
              </w:rPr>
            </w:pPr>
          </w:p>
        </w:tc>
        <w:tc>
          <w:tcPr>
            <w:tcW w:w="720" w:type="dxa"/>
            <w:vAlign w:val="bottom"/>
            <w:shd w:val="clear" w:color="auto" w:fill="1D2758"/>
          </w:tcPr>
          <w:p>
            <w:pPr>
              <w:spacing w:after="0"/>
              <w:rPr>
                <w:sz w:val="17"/>
                <w:szCs w:val="17"/>
                <w:color w:val="auto"/>
              </w:rPr>
            </w:pPr>
          </w:p>
        </w:tc>
        <w:tc>
          <w:tcPr>
            <w:tcW w:w="10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r>
      <w:tr>
        <w:trPr>
          <w:trHeight w:val="206"/>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148,765</w:t>
            </w:r>
          </w:p>
        </w:tc>
        <w:tc>
          <w:tcPr>
            <w:tcW w:w="100" w:type="dxa"/>
            <w:vAlign w:val="bottom"/>
            <w:shd w:val="clear" w:color="auto" w:fill="DBDBDB"/>
          </w:tcPr>
          <w:p>
            <w:pPr>
              <w:spacing w:after="0"/>
              <w:rPr>
                <w:sz w:val="17"/>
                <w:szCs w:val="17"/>
                <w:color w:val="auto"/>
              </w:rPr>
            </w:pPr>
          </w:p>
        </w:tc>
        <w:tc>
          <w:tcPr>
            <w:tcW w:w="720" w:type="dxa"/>
            <w:vAlign w:val="bottom"/>
            <w:shd w:val="clear" w:color="auto" w:fill="DBDBDB"/>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145,527</w:t>
            </w:r>
          </w:p>
        </w:tc>
      </w:tr>
      <w:tr>
        <w:trPr>
          <w:trHeight w:val="205"/>
        </w:trPr>
        <w:tc>
          <w:tcPr>
            <w:tcW w:w="7540" w:type="dxa"/>
            <w:vAlign w:val="bottom"/>
          </w:tcPr>
          <w:p>
            <w:pPr>
              <w:ind w:left="20"/>
              <w:spacing w:after="0"/>
              <w:rPr>
                <w:sz w:val="20"/>
                <w:szCs w:val="20"/>
                <w:color w:val="auto"/>
              </w:rPr>
            </w:pPr>
            <w:r>
              <w:rPr>
                <w:rFonts w:ascii="Arial" w:cs="Arial" w:eastAsia="Arial" w:hAnsi="Arial"/>
                <w:sz w:val="15"/>
                <w:szCs w:val="15"/>
                <w:color w:val="auto"/>
              </w:rPr>
              <w:t>Purchase of rental equipment and refurbishments</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(47,128)</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(95,236)</w:t>
            </w:r>
          </w:p>
        </w:tc>
      </w:tr>
      <w:tr>
        <w:trPr>
          <w:trHeight w:val="207"/>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rental equipment</w:t>
            </w: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7,781</w:t>
            </w:r>
          </w:p>
        </w:tc>
        <w:tc>
          <w:tcPr>
            <w:tcW w:w="10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14,554</w:t>
            </w:r>
          </w:p>
        </w:tc>
      </w:tr>
      <w:tr>
        <w:trPr>
          <w:trHeight w:val="205"/>
        </w:trPr>
        <w:tc>
          <w:tcPr>
            <w:tcW w:w="7540" w:type="dxa"/>
            <w:vAlign w:val="bottom"/>
          </w:tcPr>
          <w:p>
            <w:pPr>
              <w:ind w:left="20"/>
              <w:spacing w:after="0"/>
              <w:rPr>
                <w:sz w:val="20"/>
                <w:szCs w:val="20"/>
                <w:color w:val="auto"/>
              </w:rPr>
            </w:pPr>
            <w:r>
              <w:rPr>
                <w:rFonts w:ascii="Arial" w:cs="Arial" w:eastAsia="Arial" w:hAnsi="Arial"/>
                <w:sz w:val="15"/>
                <w:szCs w:val="15"/>
                <w:color w:val="auto"/>
              </w:rPr>
              <w:t>Purchase of property, plant and equipment</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(6,736)</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(10,481)</w:t>
            </w:r>
          </w:p>
        </w:tc>
      </w:tr>
      <w:tr>
        <w:trPr>
          <w:trHeight w:val="206"/>
        </w:trPr>
        <w:tc>
          <w:tcPr>
            <w:tcW w:w="7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the sale of property, plant and equipment</w:t>
            </w:r>
          </w:p>
        </w:tc>
        <w:tc>
          <w:tcPr>
            <w:tcW w:w="42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258</w:t>
            </w:r>
          </w:p>
        </w:tc>
        <w:tc>
          <w:tcPr>
            <w:tcW w:w="100" w:type="dxa"/>
            <w:vAlign w:val="bottom"/>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260</w:t>
            </w:r>
          </w:p>
        </w:tc>
      </w:tr>
      <w:tr>
        <w:trPr>
          <w:trHeight w:val="200"/>
        </w:trPr>
        <w:tc>
          <w:tcPr>
            <w:tcW w:w="7540" w:type="dxa"/>
            <w:vAlign w:val="bottom"/>
          </w:tcPr>
          <w:p>
            <w:pPr>
              <w:ind w:left="220"/>
              <w:spacing w:after="0"/>
              <w:rPr>
                <w:sz w:val="20"/>
                <w:szCs w:val="20"/>
                <w:color w:val="auto"/>
              </w:rPr>
            </w:pPr>
            <w:r>
              <w:rPr>
                <w:rFonts w:ascii="Arial" w:cs="Arial" w:eastAsia="Arial" w:hAnsi="Arial"/>
                <w:sz w:val="15"/>
                <w:szCs w:val="15"/>
                <w:color w:val="auto"/>
              </w:rPr>
              <w:t>Free Cash Flow</w:t>
            </w: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102,940</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54,624</w:t>
            </w:r>
          </w:p>
        </w:tc>
      </w:tr>
      <w:tr>
        <w:trPr>
          <w:trHeight w:val="20"/>
        </w:trPr>
        <w:tc>
          <w:tcPr>
            <w:tcW w:w="7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Free Cash Flow for the three months ended March 31, 2023 was $102.9 million as compared to $54.6 million for the three months ended March 31, 2022, an increase of $48.3 million. Free Cash Flow increased year over year principally as a result of the $3.2 million increase in cash provided by operating activities and the $48.1 million decrease in cash used in the purchase of rental equipment and refurbishments, partially offset by the $6.8 million decrease in proceeds from the sale of rental equipment. The $148.8 million in cash provided by operating activities for the three months ended March 31, 2023 was returned to shareholders through repurchases and cancellations of $215.1 million of stock and reinvested into the business to support the purchase of rental equipment, including VAPS, and refurbishments.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Material cash requirements</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Company’s material cash requirements include the following contractual and other obligations:</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Debt</w:t>
      </w:r>
    </w:p>
    <w:p>
      <w:pPr>
        <w:spacing w:after="0" w:line="37"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5"/>
          <w:szCs w:val="15"/>
          <w:color w:val="auto"/>
        </w:rPr>
        <w:t>The Company has outstanding debt related to its ABL Facility, 2025 Secured Notes, 2028 Secured Notes and finance leases, including interest, totaling $2.9 billion as of March 31, 2023, $13.5 million of which is obligated to be repaid within the next twelve months. Refer to Note 9 for further information regarding outstanding debt.</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leases</w:t>
      </w:r>
    </w:p>
    <w:p>
      <w:pPr>
        <w:spacing w:after="0" w:line="62"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The Company has commitments for future minimum rental payments relating to operating leases, which are primarily for equipment and office space. As of March 31, 2023, the Company had lease obligations of $260.0 million, with $60.0 million payable within the next twelve months.</w:t>
      </w:r>
    </w:p>
    <w:p>
      <w:pPr>
        <w:spacing w:after="0" w:line="1"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In addition to the cash requirements described above, the Company has a share repurchase program authorized by the Board of Directors, which allows the Company to repurchase up to $1.0 billion of outstanding shares of Common Stock and equivalents. This program does not obligate the Company to repurchase any specific amount of shares. As of March 31, 2023, $415.1 million of the approved share repurchase pool remained available.</w:t>
      </w:r>
    </w:p>
    <w:p>
      <w:pPr>
        <w:jc w:val="both"/>
        <w:ind w:firstLine="619"/>
        <w:spacing w:after="0" w:line="312" w:lineRule="auto"/>
        <w:rPr>
          <w:sz w:val="20"/>
          <w:szCs w:val="20"/>
          <w:color w:val="auto"/>
        </w:rPr>
      </w:pPr>
      <w:r>
        <w:rPr>
          <w:rFonts w:ascii="Arial" w:cs="Arial" w:eastAsia="Arial" w:hAnsi="Arial"/>
          <w:sz w:val="15"/>
          <w:szCs w:val="15"/>
          <w:color w:val="auto"/>
        </w:rPr>
        <w:t>The Company believes its cash, cash flows generated from ongoing operations, and continued access to its revolving credit facility as well as access to debt markets are sufficient to satisfy its currently anticipated cash requirements over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36" w:name="page37"/>
    <w:bookmarkEnd w:id="36"/>
    <w:p>
      <w:pPr>
        <w:spacing w:after="0"/>
        <w:rPr>
          <w:sz w:val="20"/>
          <w:szCs w:val="20"/>
          <w:color w:val="auto"/>
        </w:rPr>
      </w:pPr>
      <w:r>
        <w:rPr>
          <w:rFonts w:ascii="Arial" w:cs="Arial" w:eastAsia="Arial" w:hAnsi="Arial"/>
          <w:sz w:val="22"/>
          <w:szCs w:val="22"/>
          <w:color w:val="1D2758"/>
        </w:rPr>
        <w:t>Critical Accounting Policies and Estimates</w:t>
      </w:r>
    </w:p>
    <w:p>
      <w:pPr>
        <w:spacing w:after="0" w:line="12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Our discussion and analysis of our financial condition, results of operations, liquidity and capital resources is based on our condensed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 For a complete discussion of our significant critical accounting policies, see the “Critical Accounting Policies and Estimates” section in Part II, Item 7 of our Annual Report on Form 10-K for the year ended December 31, 2022 (the "2022 Annual Report on Form 10-K").</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There were no significant changes to our critical accounting policies during the three months ended March 31, 2023.</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1D2758"/>
        </w:rPr>
        <w:t>Recently Issued Accounting Standards</w:t>
      </w:r>
    </w:p>
    <w:p>
      <w:pPr>
        <w:spacing w:after="0" w:line="75"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Refer to Part I, Item 1, Note 1 of the notes to our financial statements included in this Quarterly Report on Form 10-Q for our assessment of recently issued and adopted accounting standards.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1D2758"/>
        </w:rPr>
        <w:t>Cautionary Note Regarding Forward-Looking Statements</w:t>
      </w:r>
    </w:p>
    <w:p>
      <w:pPr>
        <w:spacing w:after="0" w:line="6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This Quarterly Report on Form 10-Q contains forward-looking statements within the meaning of the US Private Securities Litigation Reform Act of 1995 and Section 21E of the Securities Act of 1934, as amended.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 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WillScot Mobile Mini believes that these forward-looking statements are based on reasonable assumptions, it can give no assurance that any such forward-looking statement will materialize. Important factors that may affect actual results or outcomes include, among others:</w:t>
      </w:r>
    </w:p>
    <w:p>
      <w:pPr>
        <w:spacing w:after="0" w:line="201" w:lineRule="exact"/>
        <w:rPr>
          <w:sz w:val="20"/>
          <w:szCs w:val="20"/>
          <w:color w:val="auto"/>
        </w:rPr>
      </w:pPr>
    </w:p>
    <w:p>
      <w:pPr>
        <w:ind w:left="620" w:hanging="307"/>
        <w:spacing w:after="0" w:line="295" w:lineRule="auto"/>
        <w:tabs>
          <w:tab w:leader="none" w:pos="609" w:val="left"/>
        </w:tabs>
        <w:numPr>
          <w:ilvl w:val="0"/>
          <w:numId w:val="9"/>
        </w:numPr>
        <w:rPr>
          <w:rFonts w:ascii="Arial" w:cs="Arial" w:eastAsia="Arial" w:hAnsi="Arial"/>
          <w:sz w:val="15"/>
          <w:szCs w:val="15"/>
          <w:color w:val="auto"/>
        </w:rPr>
      </w:pPr>
      <w:r>
        <w:rPr>
          <w:rFonts w:ascii="Arial" w:cs="Arial" w:eastAsia="Arial" w:hAnsi="Arial"/>
          <w:sz w:val="15"/>
          <w:szCs w:val="15"/>
          <w:color w:val="auto"/>
        </w:rPr>
        <w:t>various laws and regulations and recent pronouncements related to laws and regulations governing antitrust, climate related disclosures, cybersecurity, privacy, government contracts, anti-corruption and the environment;</w:t>
      </w:r>
    </w:p>
    <w:p>
      <w:pPr>
        <w:spacing w:after="0" w:line="1"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successfully acquire and integrate new operations;</w:t>
      </w:r>
    </w:p>
    <w:p>
      <w:pPr>
        <w:spacing w:after="0" w:line="72" w:lineRule="exact"/>
        <w:rPr>
          <w:rFonts w:ascii="Arial" w:cs="Arial" w:eastAsia="Arial" w:hAnsi="Arial"/>
          <w:sz w:val="15"/>
          <w:szCs w:val="15"/>
          <w:color w:val="auto"/>
        </w:rPr>
      </w:pPr>
    </w:p>
    <w:p>
      <w:pPr>
        <w:ind w:left="620" w:hanging="307"/>
        <w:spacing w:after="0" w:line="287" w:lineRule="auto"/>
        <w:tabs>
          <w:tab w:leader="none" w:pos="609"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effect of global or local economic conditions in the industries and markets in which the Company operates and any changes therein, including financial market conditions and levels of end market demand;</w:t>
      </w:r>
    </w:p>
    <w:p>
      <w:pPr>
        <w:ind w:left="620" w:hanging="307"/>
        <w:spacing w:after="0" w:line="295" w:lineRule="auto"/>
        <w:tabs>
          <w:tab w:leader="none" w:pos="609" w:val="left"/>
        </w:tabs>
        <w:numPr>
          <w:ilvl w:val="0"/>
          <w:numId w:val="9"/>
        </w:numPr>
        <w:rPr>
          <w:rFonts w:ascii="Arial" w:cs="Arial" w:eastAsia="Arial" w:hAnsi="Arial"/>
          <w:sz w:val="15"/>
          <w:szCs w:val="15"/>
          <w:color w:val="auto"/>
        </w:rPr>
      </w:pPr>
      <w:r>
        <w:rPr>
          <w:rFonts w:ascii="Arial" w:cs="Arial" w:eastAsia="Arial" w:hAnsi="Arial"/>
          <w:sz w:val="15"/>
          <w:szCs w:val="15"/>
          <w:color w:val="auto"/>
        </w:rPr>
        <w:t>risks associated with cybersecurity and IT systems disruptions, including our ability to manage the business in the event a disaster shuts down our management information systems;</w:t>
      </w:r>
    </w:p>
    <w:p>
      <w:pPr>
        <w:spacing w:after="0" w:line="1"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trade policies and changes in trade policies, including the imposition of tariffs, their enforcement and downstream consequences;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effectively compete in the modular space and portable storage industries;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effectively manage our credit risk, collect on our accounts receivable, or recover our rental equipment;</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fluctuations in interest rates and commodity prices;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risks associated with labor relations, labor costs and labor disruptions;</w:t>
      </w:r>
    </w:p>
    <w:p>
      <w:pPr>
        <w:spacing w:after="0" w:line="59" w:lineRule="exact"/>
        <w:rPr>
          <w:rFonts w:ascii="Arial" w:cs="Arial" w:eastAsia="Arial" w:hAnsi="Arial"/>
          <w:sz w:val="15"/>
          <w:szCs w:val="15"/>
          <w:color w:val="auto"/>
        </w:rPr>
      </w:pPr>
    </w:p>
    <w:p>
      <w:pPr>
        <w:ind w:left="620" w:hanging="307"/>
        <w:spacing w:after="0" w:line="295" w:lineRule="auto"/>
        <w:tabs>
          <w:tab w:leader="none" w:pos="609" w:val="left"/>
        </w:tabs>
        <w:numPr>
          <w:ilvl w:val="0"/>
          <w:numId w:val="9"/>
        </w:numPr>
        <w:rPr>
          <w:rFonts w:ascii="Arial" w:cs="Arial" w:eastAsia="Arial" w:hAnsi="Arial"/>
          <w:sz w:val="15"/>
          <w:szCs w:val="15"/>
          <w:color w:val="auto"/>
        </w:rPr>
      </w:pPr>
      <w:r>
        <w:rPr>
          <w:rFonts w:ascii="Arial" w:cs="Arial" w:eastAsia="Arial" w:hAnsi="Arial"/>
          <w:sz w:val="15"/>
          <w:szCs w:val="15"/>
          <w:color w:val="auto"/>
        </w:rPr>
        <w:t>changes in the competitive environment of our customer base as a result of the global, national or local economic climate in which they operate and/or economic or financial disruptions to their industry;</w:t>
      </w:r>
    </w:p>
    <w:p>
      <w:pPr>
        <w:spacing w:after="0" w:line="1"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adequately protect our intellectual property and other proprietary rights that are material to our business;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natural disasters and other business disruptions such as pandemics, fires, floods, hurricanes, earthquakes and terrorism;</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establish and maintain the appropriate physical presence in our markets;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property, casualty or other losses not covered by our insurance;</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close our unit sales transactions;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maintain an effective system of internal controls and accurately report our financial results;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evolving public disclosure, financial reporting and corporate governance expectations;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achieve our environmental, social and governance goals;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operational, economic, political and regulatory risks;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effective management of our rental equipment;</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effect of changes in state building codes on our ability to remarket our buildings;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foreign currency exchange rate exposure;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37" w:name="page38"/>
    <w:bookmarkEnd w:id="37"/>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significant increases in the costs and restrictions on the availability of raw materials and labor;</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fluctuations in fuel costs or a reduction in fuel supplies;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reliance on third party manufacturers and suppliers;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impairment of our goodwill, intangible assets and indefinite-life intangible assets;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use our net operating loss carryforwards and other tax attributes;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recognize deferred tax assets such as those related to our tax loss carryforwards and, as a result, utilize future tax savings;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unanticipated changes in tax obligations, adoption of a new tax legislation, or exposure to additional income tax liabilities;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access the capital and credit markets or the ability of key counterparties to perform their obligations to us;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Times New Roman" w:cs="Times New Roman" w:eastAsia="Times New Roman" w:hAnsi="Times New Roman"/>
          <w:sz w:val="15"/>
          <w:szCs w:val="15"/>
          <w:color w:val="auto"/>
        </w:rPr>
      </w:pPr>
      <w:r>
        <w:rPr>
          <w:rFonts w:ascii="Arial" w:cs="Arial" w:eastAsia="Arial" w:hAnsi="Arial"/>
          <w:sz w:val="15"/>
          <w:szCs w:val="15"/>
          <w:color w:val="auto"/>
        </w:rPr>
        <w:t>our ability to service our debt and operate our business;</w:t>
      </w:r>
    </w:p>
    <w:p>
      <w:pPr>
        <w:spacing w:after="0" w:line="71"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0"/>
        </w:numPr>
        <w:rPr>
          <w:rFonts w:ascii="Times New Roman" w:cs="Times New Roman" w:eastAsia="Times New Roman" w:hAnsi="Times New Roman"/>
          <w:sz w:val="15"/>
          <w:szCs w:val="15"/>
          <w:color w:val="auto"/>
        </w:rPr>
      </w:pPr>
      <w:r>
        <w:rPr>
          <w:rFonts w:ascii="Arial" w:cs="Arial" w:eastAsia="Arial" w:hAnsi="Arial"/>
          <w:sz w:val="15"/>
          <w:szCs w:val="15"/>
          <w:color w:val="auto"/>
        </w:rPr>
        <w:t>our ability to incur significant additional amounts of debt, which could further exacerbate the risks associated with our substantial indebtedness;</w:t>
      </w:r>
    </w:p>
    <w:p>
      <w:pPr>
        <w:spacing w:after="0" w:line="58" w:lineRule="exact"/>
        <w:rPr>
          <w:rFonts w:ascii="Times New Roman" w:cs="Times New Roman" w:eastAsia="Times New Roman" w:hAnsi="Times New Roman"/>
          <w:sz w:val="15"/>
          <w:szCs w:val="15"/>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covenants that limit our operating and financial flexibility;</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0"/>
        </w:numPr>
        <w:rPr>
          <w:rFonts w:ascii="Times New Roman" w:cs="Times New Roman" w:eastAsia="Times New Roman" w:hAnsi="Times New Roman"/>
          <w:sz w:val="15"/>
          <w:szCs w:val="15"/>
          <w:color w:val="auto"/>
        </w:rPr>
      </w:pPr>
      <w:r>
        <w:rPr>
          <w:rFonts w:ascii="Arial" w:cs="Arial" w:eastAsia="Arial" w:hAnsi="Arial"/>
          <w:sz w:val="15"/>
          <w:szCs w:val="15"/>
          <w:color w:val="auto"/>
        </w:rPr>
        <w:t>our stock price volatility; and</w:t>
      </w:r>
    </w:p>
    <w:p>
      <w:pPr>
        <w:spacing w:after="0" w:line="71" w:lineRule="exact"/>
        <w:rPr>
          <w:rFonts w:ascii="Times New Roman" w:cs="Times New Roman" w:eastAsia="Times New Roman" w:hAnsi="Times New Roman"/>
          <w:sz w:val="15"/>
          <w:szCs w:val="15"/>
          <w:color w:val="auto"/>
        </w:rPr>
      </w:pPr>
    </w:p>
    <w:p>
      <w:pPr>
        <w:ind w:left="620" w:hanging="307"/>
        <w:spacing w:after="0" w:line="287" w:lineRule="auto"/>
        <w:tabs>
          <w:tab w:leader="none" w:pos="609" w:val="left"/>
        </w:tabs>
        <w:numPr>
          <w:ilvl w:val="0"/>
          <w:numId w:val="10"/>
        </w:numPr>
        <w:rPr>
          <w:rFonts w:ascii="Arial" w:cs="Arial" w:eastAsia="Arial" w:hAnsi="Arial"/>
          <w:sz w:val="15"/>
          <w:szCs w:val="15"/>
          <w:color w:val="auto"/>
        </w:rPr>
      </w:pPr>
      <w:r>
        <w:rPr>
          <w:rFonts w:ascii="Arial" w:cs="Arial" w:eastAsia="Arial" w:hAnsi="Arial"/>
          <w:sz w:val="15"/>
          <w:szCs w:val="15"/>
          <w:color w:val="auto"/>
        </w:rPr>
        <w:t>such other risks and uncertainties described in the periodic reports we file with the SEC from time to time (including our 2022 Annual Report on Form 10-K), which are available through the SEC’s EDGAR system at www.sec.gov and on our website.</w:t>
      </w:r>
    </w:p>
    <w:p>
      <w:pPr>
        <w:jc w:val="both"/>
        <w:ind w:firstLine="619"/>
        <w:spacing w:after="0" w:line="312" w:lineRule="auto"/>
        <w:rPr>
          <w:sz w:val="20"/>
          <w:szCs w:val="20"/>
          <w:color w:val="auto"/>
        </w:rPr>
      </w:pPr>
      <w:r>
        <w:rPr>
          <w:rFonts w:ascii="Arial" w:cs="Arial" w:eastAsia="Arial" w:hAnsi="Arial"/>
          <w:sz w:val="15"/>
          <w:szCs w:val="15"/>
          <w:color w:val="auto"/>
        </w:rPr>
        <w:t>Any forward-looking statement speaks only at the date which it is made, and WillScot Mobile Mini undertakes no obligation, and disclaims any obligation, to update or revise any forward-looking statements, whether as a result of new information, future events or otherwise, except as required by law.</w:t>
      </w:r>
    </w:p>
    <w:p>
      <w:pPr>
        <w:spacing w:after="0" w:line="150" w:lineRule="exact"/>
        <w:rPr>
          <w:sz w:val="20"/>
          <w:szCs w:val="20"/>
          <w:color w:val="auto"/>
        </w:rPr>
      </w:pPr>
    </w:p>
    <w:p>
      <w:pPr>
        <w:ind w:left="1740" w:right="1100" w:hanging="1855"/>
        <w:spacing w:after="0" w:line="281" w:lineRule="auto"/>
        <w:tabs>
          <w:tab w:leader="none" w:pos="1720" w:val="left"/>
        </w:tabs>
        <w:rPr>
          <w:sz w:val="20"/>
          <w:szCs w:val="20"/>
          <w:color w:val="auto"/>
        </w:rPr>
      </w:pPr>
      <w:r>
        <w:rPr>
          <w:rFonts w:ascii="Arial" w:cs="Arial" w:eastAsia="Arial" w:hAnsi="Arial"/>
          <w:sz w:val="38"/>
          <w:szCs w:val="38"/>
          <w:b w:val="1"/>
          <w:bCs w:val="1"/>
          <w:color w:val="auto"/>
        </w:rPr>
        <w:t>ITEM 3.</w:t>
        <w:tab/>
        <w:t>Quantitative and Qualitative Disclosures about Market Risk</w:t>
      </w:r>
    </w:p>
    <w:p>
      <w:pPr>
        <w:spacing w:after="0" w:line="2"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We are exposed to certain market risks from changes in foreign currency exchange rates and interest rates. Changes in these factors cause fluctuations in our earnings and cash flows. We evaluate and manage exposure to these market risks as follows: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21"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We are primarily exposed to interest rate risk through our ABL Facility, which bears interest at variable rates. We had $1.8 billion in outstanding principal under the ABL Facility at March 31, 2023.</w:t>
      </w:r>
    </w:p>
    <w:p>
      <w:pPr>
        <w:spacing w:after="0" w:line="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To manage interest rate risk, in January 2023, we executed interest rate swap agreements relating to an aggregate of $750.0 million in notional amount of variable-rate debt under our ABL Facility. The swap agreements provide for us to pay a weighted average effective fixed interest rate of 3.44% per annum and receive a variable interest rate equal to one-month term SOFR, with maturity dates of June 30, 2027. The swap agreements were designated and qualified as hedges of the Company's exposure to changes in interest payment cash flows created by fluctuations in variable interest rates on our ABL Facility.</w:t>
      </w:r>
    </w:p>
    <w:p>
      <w:pPr>
        <w:spacing w:after="0" w:line="20"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An increase in interest rates by 100 basis points on our ABL Facility, inclusive of the impact of our interest rate swaps, would increase our quarter to date interest expense by approximately $10.8 million based on current outstanding borrowings.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69"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We currently generate approximately 94% of our consolidated net revenues in the US, and the reporting currency for our consolidated financial statements is the US dollar. However, we are exposed to currency risk through our operations in Canada and Mexico. For the operations outside the US, we bill customers primarily in their local currency, which is subject to foreign currency rate changes.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212"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consolidated statements of operations. To date, we have not entered into any hedging arrangements with respect to foreign currency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38" w:name="page39"/>
    <w:bookmarkEnd w:id="38"/>
    <w:p>
      <w:pPr>
        <w:spacing w:after="0"/>
        <w:tabs>
          <w:tab w:leader="none" w:pos="1720" w:val="left"/>
        </w:tabs>
        <w:rPr>
          <w:sz w:val="20"/>
          <w:szCs w:val="20"/>
          <w:color w:val="auto"/>
        </w:rPr>
      </w:pPr>
      <w:r>
        <w:rPr>
          <w:rFonts w:ascii="Arial" w:cs="Arial" w:eastAsia="Arial" w:hAnsi="Arial"/>
          <w:sz w:val="38"/>
          <w:szCs w:val="38"/>
          <w:b w:val="1"/>
          <w:bCs w:val="1"/>
          <w:color w:val="auto"/>
        </w:rPr>
        <w:t>ITEM 4.</w:t>
      </w:r>
      <w:r>
        <w:rPr>
          <w:sz w:val="20"/>
          <w:szCs w:val="20"/>
          <w:color w:val="auto"/>
        </w:rPr>
        <w:tab/>
      </w:r>
      <w:r>
        <w:rPr>
          <w:rFonts w:ascii="Arial" w:cs="Arial" w:eastAsia="Arial" w:hAnsi="Arial"/>
          <w:sz w:val="37"/>
          <w:szCs w:val="37"/>
          <w:b w:val="1"/>
          <w:bCs w:val="1"/>
          <w:color w:val="auto"/>
        </w:rPr>
        <w:t>Controls and Procedures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2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Our management, with participation of our Chief Executive Officer and Chief Financial Officer, has evaluated the effectiveness of our disclosure controls and procedures as defined in Rule 13a-15(e) under the Securities Exchange Act of 1934 as amended (the "Exchange Act"), as of March 31, 2023. Based upon that evaluation, our Chief Executive Officer and Chief Financial Officer concluded that our disclosure controls and procedures were effective as of March 31, 2023.</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Controls</w:t>
      </w:r>
    </w:p>
    <w:p>
      <w:pPr>
        <w:spacing w:after="0" w:line="121"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There were no changes in our internal control over financial reporting that occurred during our quarter ended March 31, 2023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9" w:name="page40"/>
    <w:bookmarkEnd w:id="39"/>
    <w:p>
      <w:pPr>
        <w:ind w:left="4960"/>
        <w:spacing w:after="0"/>
        <w:rPr>
          <w:sz w:val="20"/>
          <w:szCs w:val="20"/>
          <w:color w:val="auto"/>
        </w:rPr>
      </w:pPr>
      <w:r>
        <w:rPr>
          <w:rFonts w:ascii="Arial" w:cs="Arial" w:eastAsia="Arial" w:hAnsi="Arial"/>
          <w:sz w:val="38"/>
          <w:szCs w:val="38"/>
          <w:b w:val="1"/>
          <w:bCs w:val="1"/>
          <w:color w:val="1D2758"/>
        </w:rPr>
        <w:t>PART II</w:t>
      </w:r>
    </w:p>
    <w:p>
      <w:pPr>
        <w:spacing w:after="0" w:line="337"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1.</w:t>
      </w:r>
      <w:r>
        <w:rPr>
          <w:sz w:val="20"/>
          <w:szCs w:val="20"/>
          <w:color w:val="auto"/>
        </w:rPr>
        <w:tab/>
      </w:r>
      <w:r>
        <w:rPr>
          <w:rFonts w:ascii="Arial" w:cs="Arial" w:eastAsia="Arial" w:hAnsi="Arial"/>
          <w:sz w:val="37"/>
          <w:szCs w:val="37"/>
          <w:b w:val="1"/>
          <w:bCs w:val="1"/>
          <w:color w:val="auto"/>
        </w:rPr>
        <w:t>Legal Proceedings</w:t>
      </w:r>
    </w:p>
    <w:p>
      <w:pPr>
        <w:spacing w:after="0" w:line="124"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March 31, 2023, with respect to these outstanding matters, the Company believes that the amount or range of reasonably possible loss will not, either individually or in the aggregate, have a material adverse effect on the consolidated financial position, results of operations, or cash flows of the Company. However, the outcome of such matters is inherently unpredictable and subject to significant uncertainties.</w:t>
      </w:r>
    </w:p>
    <w:p>
      <w:pPr>
        <w:spacing w:after="0" w:line="200" w:lineRule="exact"/>
        <w:rPr>
          <w:sz w:val="20"/>
          <w:szCs w:val="20"/>
          <w:color w:val="auto"/>
        </w:rPr>
      </w:pPr>
    </w:p>
    <w:p>
      <w:pPr>
        <w:spacing w:after="0" w:line="220" w:lineRule="exact"/>
        <w:rPr>
          <w:sz w:val="20"/>
          <w:szCs w:val="20"/>
          <w:color w:val="auto"/>
        </w:rPr>
      </w:pPr>
    </w:p>
    <w:p>
      <w:pPr>
        <w:spacing w:after="0"/>
        <w:tabs>
          <w:tab w:leader="none" w:pos="2000" w:val="left"/>
        </w:tabs>
        <w:rPr>
          <w:sz w:val="20"/>
          <w:szCs w:val="20"/>
          <w:color w:val="auto"/>
        </w:rPr>
      </w:pPr>
      <w:r>
        <w:rPr>
          <w:rFonts w:ascii="Arial" w:cs="Arial" w:eastAsia="Arial" w:hAnsi="Arial"/>
          <w:sz w:val="38"/>
          <w:szCs w:val="38"/>
          <w:b w:val="1"/>
          <w:bCs w:val="1"/>
          <w:color w:val="auto"/>
        </w:rPr>
        <w:t>ITEM 1A.</w:t>
      </w:r>
      <w:r>
        <w:rPr>
          <w:sz w:val="20"/>
          <w:szCs w:val="20"/>
          <w:color w:val="auto"/>
        </w:rPr>
        <w:tab/>
      </w:r>
      <w:r>
        <w:rPr>
          <w:rFonts w:ascii="Arial" w:cs="Arial" w:eastAsia="Arial" w:hAnsi="Arial"/>
          <w:sz w:val="37"/>
          <w:szCs w:val="37"/>
          <w:b w:val="1"/>
          <w:bCs w:val="1"/>
          <w:color w:val="auto"/>
        </w:rPr>
        <w:t>Risk Factors</w:t>
      </w:r>
    </w:p>
    <w:p>
      <w:pPr>
        <w:spacing w:after="0" w:line="124"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Company’s financial position, results of operations and cash flows are subject to various risks, many of which are not exclusively within the Company’s control, which may cause actual performance to differ materially from historical or projected future performance. In addition to the other information set forth in this report, you should carefully consider the risk factors discussed in Item 1A. of our 2022 Annual Report on Form 10-K, which have not materially changed.</w:t>
      </w:r>
    </w:p>
    <w:p>
      <w:pPr>
        <w:spacing w:after="0" w:line="326"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2.</w:t>
      </w:r>
      <w:r>
        <w:rPr>
          <w:sz w:val="20"/>
          <w:szCs w:val="20"/>
          <w:color w:val="auto"/>
        </w:rPr>
        <w:tab/>
      </w:r>
      <w:r>
        <w:rPr>
          <w:rFonts w:ascii="Arial" w:cs="Arial" w:eastAsia="Arial" w:hAnsi="Arial"/>
          <w:sz w:val="37"/>
          <w:szCs w:val="37"/>
          <w:b w:val="1"/>
          <w:bCs w:val="1"/>
          <w:color w:val="auto"/>
        </w:rPr>
        <w:t>Unregistered Sales of Equity Securities</w:t>
      </w:r>
    </w:p>
    <w:p>
      <w:pPr>
        <w:spacing w:after="0" w:line="86"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following table summarizes our purchase of Common Stock during the first quarter of 2023. No stock equivalents were purchased by the Company during the first quarter of 2023.</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80" w:type="dxa"/>
            <w:vAlign w:val="bottom"/>
            <w:shd w:val="clear" w:color="auto" w:fill="1D2758"/>
          </w:tcPr>
          <w:p>
            <w:pPr>
              <w:spacing w:after="0"/>
              <w:rPr>
                <w:sz w:val="14"/>
                <w:szCs w:val="14"/>
                <w:color w:val="auto"/>
              </w:rPr>
            </w:pPr>
          </w:p>
        </w:tc>
        <w:tc>
          <w:tcPr>
            <w:tcW w:w="148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Total Number of</w:t>
            </w:r>
          </w:p>
        </w:tc>
        <w:tc>
          <w:tcPr>
            <w:tcW w:w="340" w:type="dxa"/>
            <w:vAlign w:val="bottom"/>
            <w:shd w:val="clear" w:color="auto" w:fill="1D2758"/>
          </w:tcPr>
          <w:p>
            <w:pPr>
              <w:spacing w:after="0"/>
              <w:rPr>
                <w:sz w:val="14"/>
                <w:szCs w:val="14"/>
                <w:color w:val="auto"/>
              </w:rPr>
            </w:pPr>
          </w:p>
        </w:tc>
        <w:tc>
          <w:tcPr>
            <w:tcW w:w="1320" w:type="dxa"/>
            <w:vAlign w:val="bottom"/>
            <w:shd w:val="clear" w:color="auto" w:fill="1D2758"/>
          </w:tcPr>
          <w:p>
            <w:pPr>
              <w:spacing w:after="0"/>
              <w:rPr>
                <w:sz w:val="14"/>
                <w:szCs w:val="14"/>
                <w:color w:val="auto"/>
              </w:rPr>
            </w:pPr>
          </w:p>
        </w:tc>
        <w:tc>
          <w:tcPr>
            <w:tcW w:w="21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Total Number of Shares and</w:t>
            </w:r>
          </w:p>
        </w:tc>
        <w:tc>
          <w:tcPr>
            <w:tcW w:w="220" w:type="dxa"/>
            <w:vAlign w:val="bottom"/>
            <w:shd w:val="clear" w:color="auto" w:fill="1D2758"/>
          </w:tcPr>
          <w:p>
            <w:pPr>
              <w:spacing w:after="0"/>
              <w:rPr>
                <w:sz w:val="14"/>
                <w:szCs w:val="14"/>
                <w:color w:val="auto"/>
              </w:rPr>
            </w:pPr>
          </w:p>
        </w:tc>
        <w:tc>
          <w:tcPr>
            <w:tcW w:w="2000" w:type="dxa"/>
            <w:vAlign w:val="bottom"/>
            <w:vMerge w:val="restart"/>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Maximum Dollar Value of</w:t>
            </w:r>
          </w:p>
        </w:tc>
        <w:tc>
          <w:tcPr>
            <w:tcW w:w="0" w:type="dxa"/>
            <w:vAlign w:val="bottom"/>
          </w:tcPr>
          <w:p>
            <w:pPr>
              <w:spacing w:after="0"/>
              <w:rPr>
                <w:sz w:val="1"/>
                <w:szCs w:val="1"/>
                <w:color w:val="auto"/>
              </w:rPr>
            </w:pPr>
          </w:p>
        </w:tc>
      </w:tr>
      <w:tr>
        <w:trPr>
          <w:trHeight w:val="155"/>
        </w:trPr>
        <w:tc>
          <w:tcPr>
            <w:tcW w:w="3780" w:type="dxa"/>
            <w:vAlign w:val="bottom"/>
            <w:shd w:val="clear" w:color="auto" w:fill="1D2758"/>
          </w:tcPr>
          <w:p>
            <w:pPr>
              <w:spacing w:after="0"/>
              <w:rPr>
                <w:sz w:val="13"/>
                <w:szCs w:val="13"/>
                <w:color w:val="auto"/>
              </w:rPr>
            </w:pPr>
          </w:p>
        </w:tc>
        <w:tc>
          <w:tcPr>
            <w:tcW w:w="148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Shares and</w:t>
            </w:r>
          </w:p>
        </w:tc>
        <w:tc>
          <w:tcPr>
            <w:tcW w:w="340" w:type="dxa"/>
            <w:vAlign w:val="bottom"/>
            <w:shd w:val="clear" w:color="auto" w:fill="1D2758"/>
          </w:tcPr>
          <w:p>
            <w:pPr>
              <w:spacing w:after="0"/>
              <w:rPr>
                <w:sz w:val="13"/>
                <w:szCs w:val="13"/>
                <w:color w:val="auto"/>
              </w:rPr>
            </w:pPr>
          </w:p>
        </w:tc>
        <w:tc>
          <w:tcPr>
            <w:tcW w:w="1320" w:type="dxa"/>
            <w:vAlign w:val="bottom"/>
            <w:shd w:val="clear" w:color="auto" w:fill="1D2758"/>
          </w:tcPr>
          <w:p>
            <w:pPr>
              <w:spacing w:after="0"/>
              <w:rPr>
                <w:sz w:val="13"/>
                <w:szCs w:val="13"/>
                <w:color w:val="auto"/>
              </w:rPr>
            </w:pPr>
          </w:p>
        </w:tc>
        <w:tc>
          <w:tcPr>
            <w:tcW w:w="2100" w:type="dxa"/>
            <w:vAlign w:val="bottom"/>
            <w:vMerge w:val="continue"/>
            <w:shd w:val="clear" w:color="auto" w:fill="1D2758"/>
          </w:tcPr>
          <w:p>
            <w:pPr>
              <w:spacing w:after="0"/>
              <w:rPr>
                <w:sz w:val="13"/>
                <w:szCs w:val="13"/>
                <w:color w:val="auto"/>
              </w:rPr>
            </w:pPr>
          </w:p>
        </w:tc>
        <w:tc>
          <w:tcPr>
            <w:tcW w:w="220" w:type="dxa"/>
            <w:vAlign w:val="bottom"/>
            <w:shd w:val="clear" w:color="auto" w:fill="1D2758"/>
          </w:tcPr>
          <w:p>
            <w:pPr>
              <w:spacing w:after="0"/>
              <w:rPr>
                <w:sz w:val="13"/>
                <w:szCs w:val="13"/>
                <w:color w:val="auto"/>
              </w:rPr>
            </w:pPr>
          </w:p>
        </w:tc>
        <w:tc>
          <w:tcPr>
            <w:tcW w:w="200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80" w:type="dxa"/>
            <w:vAlign w:val="bottom"/>
            <w:shd w:val="clear" w:color="auto" w:fill="1D2758"/>
          </w:tcPr>
          <w:p>
            <w:pPr>
              <w:spacing w:after="0"/>
              <w:rPr>
                <w:sz w:val="13"/>
                <w:szCs w:val="13"/>
                <w:color w:val="auto"/>
              </w:rPr>
            </w:pPr>
          </w:p>
        </w:tc>
        <w:tc>
          <w:tcPr>
            <w:tcW w:w="148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Equivalents</w:t>
            </w:r>
          </w:p>
        </w:tc>
        <w:tc>
          <w:tcPr>
            <w:tcW w:w="1660" w:type="dxa"/>
            <w:vAlign w:val="bottom"/>
            <w:gridSpan w:val="2"/>
            <w:vMerge w:val="restart"/>
            <w:shd w:val="clear" w:color="auto" w:fill="1D2758"/>
          </w:tcPr>
          <w:p>
            <w:pPr>
              <w:ind w:left="140"/>
              <w:spacing w:after="0"/>
              <w:rPr>
                <w:sz w:val="20"/>
                <w:szCs w:val="20"/>
                <w:color w:val="auto"/>
              </w:rPr>
            </w:pPr>
            <w:r>
              <w:rPr>
                <w:rFonts w:ascii="Arial" w:cs="Arial" w:eastAsia="Arial" w:hAnsi="Arial"/>
                <w:sz w:val="15"/>
                <w:szCs w:val="15"/>
                <w:b w:val="1"/>
                <w:bCs w:val="1"/>
                <w:color w:val="FFFFFF"/>
              </w:rPr>
              <w:t>Average Price Paid</w:t>
            </w:r>
          </w:p>
        </w:tc>
        <w:tc>
          <w:tcPr>
            <w:tcW w:w="210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Equivalents Purchased as</w:t>
            </w:r>
          </w:p>
        </w:tc>
        <w:tc>
          <w:tcPr>
            <w:tcW w:w="2220" w:type="dxa"/>
            <w:vAlign w:val="bottom"/>
            <w:gridSpan w:val="2"/>
            <w:shd w:val="clear" w:color="auto" w:fill="1D2758"/>
          </w:tcPr>
          <w:p>
            <w:pPr>
              <w:ind w:left="120"/>
              <w:spacing w:after="0" w:line="155" w:lineRule="exact"/>
              <w:rPr>
                <w:sz w:val="20"/>
                <w:szCs w:val="20"/>
                <w:color w:val="auto"/>
              </w:rPr>
            </w:pPr>
            <w:r>
              <w:rPr>
                <w:rFonts w:ascii="Arial" w:cs="Arial" w:eastAsia="Arial" w:hAnsi="Arial"/>
                <w:sz w:val="15"/>
                <w:szCs w:val="15"/>
                <w:b w:val="1"/>
                <w:bCs w:val="1"/>
                <w:color w:val="FFFFFF"/>
              </w:rPr>
              <w:t>Shares and Equivalents that</w:t>
            </w:r>
          </w:p>
        </w:tc>
        <w:tc>
          <w:tcPr>
            <w:tcW w:w="0" w:type="dxa"/>
            <w:vAlign w:val="bottom"/>
          </w:tcPr>
          <w:p>
            <w:pPr>
              <w:spacing w:after="0"/>
              <w:rPr>
                <w:sz w:val="1"/>
                <w:szCs w:val="1"/>
                <w:color w:val="auto"/>
              </w:rPr>
            </w:pPr>
          </w:p>
        </w:tc>
      </w:tr>
      <w:tr>
        <w:trPr>
          <w:trHeight w:val="155"/>
        </w:trPr>
        <w:tc>
          <w:tcPr>
            <w:tcW w:w="3780" w:type="dxa"/>
            <w:vAlign w:val="bottom"/>
            <w:vMerge w:val="restart"/>
            <w:shd w:val="clear" w:color="auto" w:fill="1D2758"/>
          </w:tcPr>
          <w:p>
            <w:pPr>
              <w:ind w:left="1660"/>
              <w:spacing w:after="0"/>
              <w:rPr>
                <w:sz w:val="20"/>
                <w:szCs w:val="20"/>
                <w:color w:val="auto"/>
              </w:rPr>
            </w:pPr>
            <w:r>
              <w:rPr>
                <w:rFonts w:ascii="Arial" w:cs="Arial" w:eastAsia="Arial" w:hAnsi="Arial"/>
                <w:sz w:val="15"/>
                <w:szCs w:val="15"/>
                <w:b w:val="1"/>
                <w:bCs w:val="1"/>
                <w:color w:val="FFFFFF"/>
              </w:rPr>
              <w:t>Period</w:t>
            </w:r>
          </w:p>
        </w:tc>
        <w:tc>
          <w:tcPr>
            <w:tcW w:w="148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Purchased (in</w:t>
            </w:r>
          </w:p>
        </w:tc>
        <w:tc>
          <w:tcPr>
            <w:tcW w:w="1660" w:type="dxa"/>
            <w:vAlign w:val="bottom"/>
            <w:gridSpan w:val="2"/>
            <w:vMerge w:val="continue"/>
            <w:shd w:val="clear" w:color="auto" w:fill="1D2758"/>
          </w:tcPr>
          <w:p>
            <w:pPr>
              <w:spacing w:after="0"/>
              <w:rPr>
                <w:sz w:val="13"/>
                <w:szCs w:val="13"/>
                <w:color w:val="auto"/>
              </w:rPr>
            </w:pPr>
          </w:p>
        </w:tc>
        <w:tc>
          <w:tcPr>
            <w:tcW w:w="210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part of Publicly Announced</w:t>
            </w:r>
          </w:p>
        </w:tc>
        <w:tc>
          <w:tcPr>
            <w:tcW w:w="220" w:type="dxa"/>
            <w:vAlign w:val="bottom"/>
            <w:shd w:val="clear" w:color="auto" w:fill="1D2758"/>
          </w:tcPr>
          <w:p>
            <w:pPr>
              <w:spacing w:after="0"/>
              <w:rPr>
                <w:sz w:val="13"/>
                <w:szCs w:val="13"/>
                <w:color w:val="auto"/>
              </w:rPr>
            </w:pPr>
          </w:p>
        </w:tc>
        <w:tc>
          <w:tcPr>
            <w:tcW w:w="2000" w:type="dxa"/>
            <w:vAlign w:val="bottom"/>
            <w:shd w:val="clear" w:color="auto" w:fill="1D2758"/>
          </w:tcPr>
          <w:p>
            <w:pPr>
              <w:jc w:val="right"/>
              <w:ind w:right="163"/>
              <w:spacing w:after="0" w:line="155" w:lineRule="exact"/>
              <w:rPr>
                <w:sz w:val="20"/>
                <w:szCs w:val="20"/>
                <w:color w:val="auto"/>
              </w:rPr>
            </w:pPr>
            <w:r>
              <w:rPr>
                <w:rFonts w:ascii="Arial" w:cs="Arial" w:eastAsia="Arial" w:hAnsi="Arial"/>
                <w:sz w:val="15"/>
                <w:szCs w:val="15"/>
                <w:b w:val="1"/>
                <w:bCs w:val="1"/>
                <w:color w:val="FFFFFF"/>
              </w:rPr>
              <w:t>May Yet Be Purchased</w:t>
            </w:r>
          </w:p>
        </w:tc>
        <w:tc>
          <w:tcPr>
            <w:tcW w:w="0" w:type="dxa"/>
            <w:vAlign w:val="bottom"/>
          </w:tcPr>
          <w:p>
            <w:pPr>
              <w:spacing w:after="0"/>
              <w:rPr>
                <w:sz w:val="1"/>
                <w:szCs w:val="1"/>
                <w:color w:val="auto"/>
              </w:rPr>
            </w:pPr>
          </w:p>
        </w:tc>
      </w:tr>
      <w:tr>
        <w:trPr>
          <w:trHeight w:val="122"/>
        </w:trPr>
        <w:tc>
          <w:tcPr>
            <w:tcW w:w="3780" w:type="dxa"/>
            <w:vAlign w:val="bottom"/>
            <w:vMerge w:val="continue"/>
            <w:shd w:val="clear" w:color="auto" w:fill="1D2758"/>
          </w:tcPr>
          <w:p>
            <w:pPr>
              <w:spacing w:after="0"/>
              <w:rPr>
                <w:sz w:val="10"/>
                <w:szCs w:val="10"/>
                <w:color w:val="auto"/>
              </w:rPr>
            </w:pPr>
          </w:p>
        </w:tc>
        <w:tc>
          <w:tcPr>
            <w:tcW w:w="148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thousands)</w:t>
            </w:r>
          </w:p>
        </w:tc>
        <w:tc>
          <w:tcPr>
            <w:tcW w:w="340" w:type="dxa"/>
            <w:vAlign w:val="bottom"/>
            <w:shd w:val="clear" w:color="auto" w:fill="1D2758"/>
          </w:tcPr>
          <w:p>
            <w:pPr>
              <w:spacing w:after="0"/>
              <w:rPr>
                <w:sz w:val="10"/>
                <w:szCs w:val="10"/>
                <w:color w:val="auto"/>
              </w:rPr>
            </w:pPr>
          </w:p>
        </w:tc>
        <w:tc>
          <w:tcPr>
            <w:tcW w:w="1320" w:type="dxa"/>
            <w:vAlign w:val="bottom"/>
            <w:vMerge w:val="restart"/>
            <w:shd w:val="clear" w:color="auto" w:fill="1D2758"/>
          </w:tcPr>
          <w:p>
            <w:pPr>
              <w:jc w:val="right"/>
              <w:ind w:right="403"/>
              <w:spacing w:after="0"/>
              <w:rPr>
                <w:sz w:val="20"/>
                <w:szCs w:val="20"/>
                <w:color w:val="auto"/>
              </w:rPr>
            </w:pPr>
            <w:r>
              <w:rPr>
                <w:rFonts w:ascii="Arial" w:cs="Arial" w:eastAsia="Arial" w:hAnsi="Arial"/>
                <w:sz w:val="15"/>
                <w:szCs w:val="15"/>
                <w:b w:val="1"/>
                <w:bCs w:val="1"/>
                <w:color w:val="FFFFFF"/>
              </w:rPr>
              <w:t>per Share</w:t>
            </w:r>
          </w:p>
        </w:tc>
        <w:tc>
          <w:tcPr>
            <w:tcW w:w="21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Plan (in thousands)</w:t>
            </w:r>
          </w:p>
        </w:tc>
        <w:tc>
          <w:tcPr>
            <w:tcW w:w="2220" w:type="dxa"/>
            <w:vAlign w:val="bottom"/>
            <w:gridSpan w:val="2"/>
            <w:vMerge w:val="restart"/>
            <w:shd w:val="clear" w:color="auto" w:fill="1D2758"/>
          </w:tcPr>
          <w:p>
            <w:pPr>
              <w:ind w:left="120"/>
              <w:spacing w:after="0"/>
              <w:rPr>
                <w:sz w:val="20"/>
                <w:szCs w:val="20"/>
                <w:color w:val="auto"/>
              </w:rPr>
            </w:pPr>
            <w:r>
              <w:rPr>
                <w:rFonts w:ascii="Arial" w:cs="Arial" w:eastAsia="Arial" w:hAnsi="Arial"/>
                <w:sz w:val="15"/>
                <w:szCs w:val="15"/>
                <w:b w:val="1"/>
                <w:bCs w:val="1"/>
                <w:color w:val="FFFFFF"/>
              </w:rPr>
              <w:t>Under the Plans (in millions)</w:t>
            </w:r>
          </w:p>
        </w:tc>
        <w:tc>
          <w:tcPr>
            <w:tcW w:w="0" w:type="dxa"/>
            <w:vAlign w:val="bottom"/>
          </w:tcPr>
          <w:p>
            <w:pPr>
              <w:spacing w:after="0"/>
              <w:rPr>
                <w:sz w:val="1"/>
                <w:szCs w:val="1"/>
                <w:color w:val="auto"/>
              </w:rPr>
            </w:pPr>
          </w:p>
        </w:tc>
      </w:tr>
      <w:tr>
        <w:trPr>
          <w:trHeight w:val="84"/>
        </w:trPr>
        <w:tc>
          <w:tcPr>
            <w:tcW w:w="3780" w:type="dxa"/>
            <w:vAlign w:val="bottom"/>
            <w:shd w:val="clear" w:color="auto" w:fill="1D2758"/>
          </w:tcPr>
          <w:p>
            <w:pPr>
              <w:spacing w:after="0"/>
              <w:rPr>
                <w:sz w:val="7"/>
                <w:szCs w:val="7"/>
                <w:color w:val="auto"/>
              </w:rPr>
            </w:pPr>
          </w:p>
        </w:tc>
        <w:tc>
          <w:tcPr>
            <w:tcW w:w="1480" w:type="dxa"/>
            <w:vAlign w:val="bottom"/>
            <w:vMerge w:val="continue"/>
            <w:shd w:val="clear" w:color="auto" w:fill="1D2758"/>
          </w:tcPr>
          <w:p>
            <w:pPr>
              <w:spacing w:after="0"/>
              <w:rPr>
                <w:sz w:val="7"/>
                <w:szCs w:val="7"/>
                <w:color w:val="auto"/>
              </w:rPr>
            </w:pPr>
          </w:p>
        </w:tc>
        <w:tc>
          <w:tcPr>
            <w:tcW w:w="340" w:type="dxa"/>
            <w:vAlign w:val="bottom"/>
            <w:shd w:val="clear" w:color="auto" w:fill="1D2758"/>
          </w:tcPr>
          <w:p>
            <w:pPr>
              <w:spacing w:after="0"/>
              <w:rPr>
                <w:sz w:val="7"/>
                <w:szCs w:val="7"/>
                <w:color w:val="auto"/>
              </w:rPr>
            </w:pPr>
          </w:p>
        </w:tc>
        <w:tc>
          <w:tcPr>
            <w:tcW w:w="1320" w:type="dxa"/>
            <w:vAlign w:val="bottom"/>
            <w:vMerge w:val="continue"/>
            <w:shd w:val="clear" w:color="auto" w:fill="1D2758"/>
          </w:tcPr>
          <w:p>
            <w:pPr>
              <w:spacing w:after="0"/>
              <w:rPr>
                <w:sz w:val="7"/>
                <w:szCs w:val="7"/>
                <w:color w:val="auto"/>
              </w:rPr>
            </w:pPr>
          </w:p>
        </w:tc>
        <w:tc>
          <w:tcPr>
            <w:tcW w:w="2100" w:type="dxa"/>
            <w:vAlign w:val="bottom"/>
            <w:vMerge w:val="continue"/>
            <w:shd w:val="clear" w:color="auto" w:fill="1D2758"/>
          </w:tcPr>
          <w:p>
            <w:pPr>
              <w:spacing w:after="0"/>
              <w:rPr>
                <w:sz w:val="7"/>
                <w:szCs w:val="7"/>
                <w:color w:val="auto"/>
              </w:rPr>
            </w:pPr>
          </w:p>
        </w:tc>
        <w:tc>
          <w:tcPr>
            <w:tcW w:w="2220" w:type="dxa"/>
            <w:vAlign w:val="bottom"/>
            <w:gridSpan w:val="2"/>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January 1, 2023 to January 31, 2023</w:t>
            </w:r>
          </w:p>
        </w:tc>
        <w:tc>
          <w:tcPr>
            <w:tcW w:w="14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1,595.0</w:t>
            </w:r>
          </w:p>
        </w:tc>
        <w:tc>
          <w:tcPr>
            <w:tcW w:w="340" w:type="dxa"/>
            <w:vAlign w:val="bottom"/>
            <w:shd w:val="clear" w:color="auto" w:fill="DBDBDB"/>
          </w:tcPr>
          <w:p>
            <w:pPr>
              <w:ind w:left="120"/>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45.78</w:t>
            </w:r>
          </w:p>
        </w:tc>
        <w:tc>
          <w:tcPr>
            <w:tcW w:w="2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1,595.0</w:t>
            </w:r>
          </w:p>
        </w:tc>
        <w:tc>
          <w:tcPr>
            <w:tcW w:w="220" w:type="dxa"/>
            <w:vAlign w:val="bottom"/>
            <w:shd w:val="clear" w:color="auto" w:fill="DBDBDB"/>
          </w:tcPr>
          <w:p>
            <w:pPr>
              <w:ind w:left="120"/>
              <w:spacing w:after="0"/>
              <w:rPr>
                <w:sz w:val="20"/>
                <w:szCs w:val="20"/>
                <w:color w:val="auto"/>
              </w:rPr>
            </w:pPr>
            <w:r>
              <w:rPr>
                <w:rFonts w:ascii="Arial" w:cs="Arial" w:eastAsia="Arial" w:hAnsi="Arial"/>
                <w:sz w:val="15"/>
                <w:szCs w:val="15"/>
                <w:color w:val="auto"/>
                <w:w w:val="95"/>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557.8</w:t>
            </w:r>
          </w:p>
        </w:tc>
        <w:tc>
          <w:tcPr>
            <w:tcW w:w="0" w:type="dxa"/>
            <w:vAlign w:val="bottom"/>
          </w:tcPr>
          <w:p>
            <w:pPr>
              <w:spacing w:after="0"/>
              <w:rPr>
                <w:sz w:val="1"/>
                <w:szCs w:val="1"/>
                <w:color w:val="auto"/>
              </w:rPr>
            </w:pPr>
          </w:p>
        </w:tc>
      </w:tr>
      <w:tr>
        <w:trPr>
          <w:trHeight w:val="205"/>
        </w:trPr>
        <w:tc>
          <w:tcPr>
            <w:tcW w:w="3780" w:type="dxa"/>
            <w:vAlign w:val="bottom"/>
          </w:tcPr>
          <w:p>
            <w:pPr>
              <w:ind w:left="20"/>
              <w:spacing w:after="0"/>
              <w:rPr>
                <w:sz w:val="20"/>
                <w:szCs w:val="20"/>
                <w:color w:val="auto"/>
              </w:rPr>
            </w:pPr>
            <w:r>
              <w:rPr>
                <w:rFonts w:ascii="Arial" w:cs="Arial" w:eastAsia="Arial" w:hAnsi="Arial"/>
                <w:sz w:val="15"/>
                <w:szCs w:val="15"/>
                <w:color w:val="auto"/>
              </w:rPr>
              <w:t>February 1, 2023 to February 28, 2023</w:t>
            </w:r>
          </w:p>
        </w:tc>
        <w:tc>
          <w:tcPr>
            <w:tcW w:w="1480" w:type="dxa"/>
            <w:vAlign w:val="bottom"/>
          </w:tcPr>
          <w:p>
            <w:pPr>
              <w:jc w:val="right"/>
              <w:spacing w:after="0"/>
              <w:rPr>
                <w:sz w:val="20"/>
                <w:szCs w:val="20"/>
                <w:color w:val="auto"/>
              </w:rPr>
            </w:pPr>
            <w:r>
              <w:rPr>
                <w:rFonts w:ascii="Arial" w:cs="Arial" w:eastAsia="Arial" w:hAnsi="Arial"/>
                <w:sz w:val="15"/>
                <w:szCs w:val="15"/>
                <w:color w:val="auto"/>
              </w:rPr>
              <w:t>893.5</w:t>
            </w:r>
          </w:p>
        </w:tc>
        <w:tc>
          <w:tcPr>
            <w:tcW w:w="340" w:type="dxa"/>
            <w:vAlign w:val="bottom"/>
          </w:tcPr>
          <w:p>
            <w:pPr>
              <w:ind w:left="120"/>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83"/>
              <w:spacing w:after="0"/>
              <w:rPr>
                <w:sz w:val="20"/>
                <w:szCs w:val="20"/>
                <w:color w:val="auto"/>
              </w:rPr>
            </w:pPr>
            <w:r>
              <w:rPr>
                <w:rFonts w:ascii="Arial" w:cs="Arial" w:eastAsia="Arial" w:hAnsi="Arial"/>
                <w:sz w:val="15"/>
                <w:szCs w:val="15"/>
                <w:color w:val="auto"/>
              </w:rPr>
              <w:t>49.76</w:t>
            </w:r>
          </w:p>
        </w:tc>
        <w:tc>
          <w:tcPr>
            <w:tcW w:w="2100" w:type="dxa"/>
            <w:vAlign w:val="bottom"/>
          </w:tcPr>
          <w:p>
            <w:pPr>
              <w:jc w:val="right"/>
              <w:spacing w:after="0"/>
              <w:rPr>
                <w:sz w:val="20"/>
                <w:szCs w:val="20"/>
                <w:color w:val="auto"/>
              </w:rPr>
            </w:pPr>
            <w:r>
              <w:rPr>
                <w:rFonts w:ascii="Arial" w:cs="Arial" w:eastAsia="Arial" w:hAnsi="Arial"/>
                <w:sz w:val="15"/>
                <w:szCs w:val="15"/>
                <w:color w:val="auto"/>
              </w:rPr>
              <w:t>893.5</w:t>
            </w:r>
          </w:p>
        </w:tc>
        <w:tc>
          <w:tcPr>
            <w:tcW w:w="220" w:type="dxa"/>
            <w:vAlign w:val="bottom"/>
          </w:tcPr>
          <w:p>
            <w:pPr>
              <w:ind w:left="120"/>
              <w:spacing w:after="0"/>
              <w:rPr>
                <w:sz w:val="20"/>
                <w:szCs w:val="20"/>
                <w:color w:val="auto"/>
              </w:rPr>
            </w:pPr>
            <w:r>
              <w:rPr>
                <w:rFonts w:ascii="Arial" w:cs="Arial" w:eastAsia="Arial" w:hAnsi="Arial"/>
                <w:sz w:val="15"/>
                <w:szCs w:val="15"/>
                <w:color w:val="auto"/>
                <w:w w:val="95"/>
              </w:rPr>
              <w:t>$</w:t>
            </w:r>
          </w:p>
        </w:tc>
        <w:tc>
          <w:tcPr>
            <w:tcW w:w="2000" w:type="dxa"/>
            <w:vAlign w:val="bottom"/>
          </w:tcPr>
          <w:p>
            <w:pPr>
              <w:jc w:val="right"/>
              <w:spacing w:after="0"/>
              <w:rPr>
                <w:sz w:val="20"/>
                <w:szCs w:val="20"/>
                <w:color w:val="auto"/>
              </w:rPr>
            </w:pPr>
            <w:r>
              <w:rPr>
                <w:rFonts w:ascii="Arial" w:cs="Arial" w:eastAsia="Arial" w:hAnsi="Arial"/>
                <w:sz w:val="15"/>
                <w:szCs w:val="15"/>
                <w:color w:val="auto"/>
              </w:rPr>
              <w:t>513.3</w:t>
            </w:r>
          </w:p>
        </w:tc>
        <w:tc>
          <w:tcPr>
            <w:tcW w:w="0" w:type="dxa"/>
            <w:vAlign w:val="bottom"/>
          </w:tcPr>
          <w:p>
            <w:pPr>
              <w:spacing w:after="0"/>
              <w:rPr>
                <w:sz w:val="1"/>
                <w:szCs w:val="1"/>
                <w:color w:val="auto"/>
              </w:rPr>
            </w:pPr>
          </w:p>
        </w:tc>
      </w:tr>
      <w:tr>
        <w:trPr>
          <w:trHeight w:val="206"/>
        </w:trPr>
        <w:tc>
          <w:tcPr>
            <w:tcW w:w="3780" w:type="dxa"/>
            <w:vAlign w:val="bottom"/>
            <w:shd w:val="clear" w:color="auto" w:fill="DBDBDB"/>
          </w:tcPr>
          <w:p>
            <w:pPr>
              <w:ind w:left="20"/>
              <w:spacing w:after="0"/>
              <w:rPr>
                <w:sz w:val="20"/>
                <w:szCs w:val="20"/>
                <w:color w:val="auto"/>
              </w:rPr>
            </w:pPr>
            <w:r>
              <w:rPr>
                <w:rFonts w:ascii="Arial" w:cs="Arial" w:eastAsia="Arial" w:hAnsi="Arial"/>
                <w:sz w:val="15"/>
                <w:szCs w:val="15"/>
                <w:color w:val="auto"/>
              </w:rPr>
              <w:t>March 1, 2023 to March 31, 2023</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2,100.8</w:t>
            </w:r>
          </w:p>
        </w:tc>
        <w:tc>
          <w:tcPr>
            <w:tcW w:w="340" w:type="dxa"/>
            <w:vAlign w:val="bottom"/>
            <w:shd w:val="clear" w:color="auto" w:fill="DBDBDB"/>
          </w:tcPr>
          <w:p>
            <w:pPr>
              <w:ind w:left="120"/>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46.73</w:t>
            </w:r>
          </w:p>
        </w:tc>
        <w:tc>
          <w:tcPr>
            <w:tcW w:w="2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2,100.8</w:t>
            </w:r>
          </w:p>
        </w:tc>
        <w:tc>
          <w:tcPr>
            <w:tcW w:w="220" w:type="dxa"/>
            <w:vAlign w:val="bottom"/>
            <w:shd w:val="clear" w:color="auto" w:fill="DBDBDB"/>
          </w:tcPr>
          <w:p>
            <w:pPr>
              <w:ind w:left="120"/>
              <w:spacing w:after="0"/>
              <w:rPr>
                <w:sz w:val="20"/>
                <w:szCs w:val="20"/>
                <w:color w:val="auto"/>
              </w:rPr>
            </w:pPr>
            <w:r>
              <w:rPr>
                <w:rFonts w:ascii="Arial" w:cs="Arial" w:eastAsia="Arial" w:hAnsi="Arial"/>
                <w:sz w:val="15"/>
                <w:szCs w:val="15"/>
                <w:color w:val="auto"/>
                <w:w w:val="95"/>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415.1</w:t>
            </w:r>
          </w:p>
        </w:tc>
        <w:tc>
          <w:tcPr>
            <w:tcW w:w="0" w:type="dxa"/>
            <w:vAlign w:val="bottom"/>
          </w:tcPr>
          <w:p>
            <w:pPr>
              <w:spacing w:after="0"/>
              <w:rPr>
                <w:sz w:val="1"/>
                <w:szCs w:val="1"/>
                <w:color w:val="auto"/>
              </w:rPr>
            </w:pPr>
          </w:p>
        </w:tc>
      </w:tr>
      <w:tr>
        <w:trPr>
          <w:trHeight w:val="200"/>
        </w:trPr>
        <w:tc>
          <w:tcPr>
            <w:tcW w:w="3780" w:type="dxa"/>
            <w:vAlign w:val="bottom"/>
          </w:tcPr>
          <w:p>
            <w:pPr>
              <w:ind w:left="220"/>
              <w:spacing w:after="0"/>
              <w:rPr>
                <w:sz w:val="20"/>
                <w:szCs w:val="20"/>
                <w:color w:val="auto"/>
              </w:rPr>
            </w:pPr>
            <w:r>
              <w:rPr>
                <w:rFonts w:ascii="Arial" w:cs="Arial" w:eastAsia="Arial" w:hAnsi="Arial"/>
                <w:sz w:val="15"/>
                <w:szCs w:val="15"/>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4,589.3</w:t>
            </w:r>
          </w:p>
        </w:tc>
        <w:tc>
          <w:tcPr>
            <w:tcW w:w="340" w:type="dxa"/>
            <w:vAlign w:val="bottom"/>
          </w:tcPr>
          <w:p>
            <w:pPr>
              <w:ind w:left="120"/>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83"/>
              <w:spacing w:after="0"/>
              <w:rPr>
                <w:sz w:val="20"/>
                <w:szCs w:val="20"/>
                <w:color w:val="auto"/>
              </w:rPr>
            </w:pPr>
            <w:r>
              <w:rPr>
                <w:rFonts w:ascii="Arial" w:cs="Arial" w:eastAsia="Arial" w:hAnsi="Arial"/>
                <w:sz w:val="15"/>
                <w:szCs w:val="15"/>
                <w:color w:val="auto"/>
              </w:rPr>
              <w:t>46.99</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4,589.3</w:t>
            </w:r>
          </w:p>
        </w:tc>
        <w:tc>
          <w:tcPr>
            <w:tcW w:w="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A share repurchase program authorizes the Company to repurchase its outstanding shares of Common Stock and equivalents. As of March 31, 2023, $415.1 million of the $1.0 billion share repurchase authorization remained available for use.</w:t>
      </w:r>
    </w:p>
    <w:p>
      <w:pPr>
        <w:spacing w:after="0" w:line="228"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3.</w:t>
      </w:r>
      <w:r>
        <w:rPr>
          <w:sz w:val="20"/>
          <w:szCs w:val="20"/>
          <w:color w:val="auto"/>
        </w:rPr>
        <w:tab/>
      </w:r>
      <w:r>
        <w:rPr>
          <w:rFonts w:ascii="Arial" w:cs="Arial" w:eastAsia="Arial" w:hAnsi="Arial"/>
          <w:sz w:val="37"/>
          <w:szCs w:val="37"/>
          <w:b w:val="1"/>
          <w:bCs w:val="1"/>
          <w:color w:val="auto"/>
        </w:rPr>
        <w:t>Defaults Upon Senior Securities</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None.</w:t>
      </w:r>
    </w:p>
    <w:p>
      <w:pPr>
        <w:spacing w:after="0" w:line="233"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4.</w:t>
      </w:r>
      <w:r>
        <w:rPr>
          <w:sz w:val="20"/>
          <w:szCs w:val="20"/>
          <w:color w:val="auto"/>
        </w:rPr>
        <w:tab/>
      </w:r>
      <w:r>
        <w:rPr>
          <w:rFonts w:ascii="Arial" w:cs="Arial" w:eastAsia="Arial" w:hAnsi="Arial"/>
          <w:sz w:val="37"/>
          <w:szCs w:val="37"/>
          <w:b w:val="1"/>
          <w:bCs w:val="1"/>
          <w:color w:val="auto"/>
        </w:rPr>
        <w:t>Mine Safety Disclosures</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Not applicable.</w:t>
      </w:r>
    </w:p>
    <w:p>
      <w:pPr>
        <w:spacing w:after="0" w:line="233"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5.</w:t>
      </w:r>
      <w:r>
        <w:rPr>
          <w:sz w:val="20"/>
          <w:szCs w:val="20"/>
          <w:color w:val="auto"/>
        </w:rPr>
        <w:tab/>
      </w:r>
      <w:r>
        <w:rPr>
          <w:rFonts w:ascii="Arial" w:cs="Arial" w:eastAsia="Arial" w:hAnsi="Arial"/>
          <w:sz w:val="37"/>
          <w:szCs w:val="37"/>
          <w:b w:val="1"/>
          <w:bCs w:val="1"/>
          <w:color w:val="auto"/>
        </w:rPr>
        <w:t>Other Information</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496"/>
        </w:trPr>
        <w:tc>
          <w:tcPr>
            <w:tcW w:w="1540" w:type="dxa"/>
            <w:vAlign w:val="bottom"/>
            <w:gridSpan w:val="2"/>
          </w:tcPr>
          <w:p>
            <w:pPr>
              <w:spacing w:after="0"/>
              <w:rPr>
                <w:sz w:val="20"/>
                <w:szCs w:val="20"/>
                <w:color w:val="auto"/>
              </w:rPr>
            </w:pPr>
            <w:r>
              <w:rPr>
                <w:rFonts w:ascii="Arial" w:cs="Arial" w:eastAsia="Arial" w:hAnsi="Arial"/>
                <w:sz w:val="38"/>
                <w:szCs w:val="38"/>
                <w:b w:val="1"/>
                <w:bCs w:val="1"/>
                <w:color w:val="auto"/>
              </w:rPr>
              <w:t>ITEM 6.</w:t>
            </w:r>
          </w:p>
        </w:tc>
        <w:tc>
          <w:tcPr>
            <w:tcW w:w="9700" w:type="dxa"/>
            <w:vAlign w:val="bottom"/>
          </w:tcPr>
          <w:p>
            <w:pPr>
              <w:ind w:left="200"/>
              <w:spacing w:after="0"/>
              <w:rPr>
                <w:sz w:val="20"/>
                <w:szCs w:val="20"/>
                <w:color w:val="auto"/>
              </w:rPr>
            </w:pPr>
            <w:r>
              <w:rPr>
                <w:rFonts w:ascii="Arial" w:cs="Arial" w:eastAsia="Arial" w:hAnsi="Arial"/>
                <w:sz w:val="38"/>
                <w:szCs w:val="38"/>
                <w:b w:val="1"/>
                <w:bCs w:val="1"/>
                <w:color w:val="auto"/>
              </w:rPr>
              <w:t>Exhibits</w:t>
            </w:r>
          </w:p>
        </w:tc>
        <w:tc>
          <w:tcPr>
            <w:tcW w:w="0" w:type="dxa"/>
            <w:vAlign w:val="bottom"/>
          </w:tcPr>
          <w:p>
            <w:pPr>
              <w:spacing w:after="0"/>
              <w:rPr>
                <w:sz w:val="1"/>
                <w:szCs w:val="1"/>
                <w:color w:val="auto"/>
              </w:rPr>
            </w:pPr>
          </w:p>
        </w:tc>
      </w:tr>
      <w:tr>
        <w:trPr>
          <w:trHeight w:val="206"/>
        </w:trPr>
        <w:tc>
          <w:tcPr>
            <w:tcW w:w="1160" w:type="dxa"/>
            <w:vAlign w:val="bottom"/>
            <w:shd w:val="clear" w:color="auto" w:fill="1D2758"/>
          </w:tcPr>
          <w:p>
            <w:pPr>
              <w:ind w:left="220"/>
              <w:spacing w:after="0"/>
              <w:rPr>
                <w:sz w:val="20"/>
                <w:szCs w:val="20"/>
                <w:color w:val="auto"/>
              </w:rPr>
            </w:pPr>
            <w:r>
              <w:rPr>
                <w:rFonts w:ascii="Arial" w:cs="Arial" w:eastAsia="Arial" w:hAnsi="Arial"/>
                <w:sz w:val="15"/>
                <w:szCs w:val="15"/>
                <w:b w:val="1"/>
                <w:bCs w:val="1"/>
                <w:color w:val="FFFFFF"/>
              </w:rPr>
              <w:t>Exhibit No.</w:t>
            </w:r>
          </w:p>
        </w:tc>
        <w:tc>
          <w:tcPr>
            <w:tcW w:w="380" w:type="dxa"/>
            <w:vAlign w:val="bottom"/>
            <w:shd w:val="clear" w:color="auto" w:fill="1D2758"/>
          </w:tcPr>
          <w:p>
            <w:pPr>
              <w:spacing w:after="0"/>
              <w:rPr>
                <w:sz w:val="17"/>
                <w:szCs w:val="17"/>
                <w:color w:val="auto"/>
              </w:rPr>
            </w:pPr>
          </w:p>
        </w:tc>
        <w:tc>
          <w:tcPr>
            <w:tcW w:w="9700" w:type="dxa"/>
            <w:vAlign w:val="bottom"/>
            <w:shd w:val="clear" w:color="auto" w:fill="1D2758"/>
          </w:tcPr>
          <w:p>
            <w:pPr>
              <w:ind w:left="4000"/>
              <w:spacing w:after="0"/>
              <w:rPr>
                <w:sz w:val="20"/>
                <w:szCs w:val="20"/>
                <w:color w:val="auto"/>
              </w:rPr>
            </w:pPr>
            <w:r>
              <w:rPr>
                <w:rFonts w:ascii="Arial" w:cs="Arial" w:eastAsia="Arial" w:hAnsi="Arial"/>
                <w:sz w:val="15"/>
                <w:szCs w:val="15"/>
                <w:b w:val="1"/>
                <w:bCs w:val="1"/>
                <w:color w:val="FFFFFF"/>
              </w:rPr>
              <w:t>Exhibit Description</w:t>
            </w:r>
          </w:p>
        </w:tc>
        <w:tc>
          <w:tcPr>
            <w:tcW w:w="0" w:type="dxa"/>
            <w:vAlign w:val="bottom"/>
          </w:tcPr>
          <w:p>
            <w:pPr>
              <w:spacing w:after="0"/>
              <w:rPr>
                <w:sz w:val="1"/>
                <w:szCs w:val="1"/>
                <w:color w:val="auto"/>
              </w:rPr>
            </w:pPr>
          </w:p>
        </w:tc>
      </w:tr>
      <w:tr>
        <w:trPr>
          <w:trHeight w:val="206"/>
        </w:trPr>
        <w:tc>
          <w:tcPr>
            <w:tcW w:w="1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3.1*</w:t>
            </w:r>
          </w:p>
        </w:tc>
        <w:tc>
          <w:tcPr>
            <w:tcW w:w="10080" w:type="dxa"/>
            <w:vAlign w:val="bottom"/>
            <w:gridSpan w:val="2"/>
            <w:shd w:val="clear" w:color="auto" w:fill="DBDBDB"/>
          </w:tcPr>
          <w:p>
            <w:pPr>
              <w:ind w:left="120"/>
              <w:spacing w:after="0"/>
              <w:rPr>
                <w:sz w:val="20"/>
                <w:szCs w:val="20"/>
                <w:color w:val="auto"/>
              </w:rPr>
            </w:pPr>
            <w:r>
              <w:rPr>
                <w:rFonts w:ascii="Arial" w:cs="Arial" w:eastAsia="Arial" w:hAnsi="Arial"/>
                <w:sz w:val="15"/>
                <w:szCs w:val="15"/>
                <w:color w:val="auto"/>
              </w:rPr>
              <w:t>Amended and Restated Certificate of Incorporation of WillScot Mobile Mini Holdings Corp., Amended as of June 3, 2022</w:t>
            </w:r>
          </w:p>
        </w:tc>
        <w:tc>
          <w:tcPr>
            <w:tcW w:w="0" w:type="dxa"/>
            <w:vAlign w:val="bottom"/>
          </w:tcPr>
          <w:p>
            <w:pPr>
              <w:spacing w:after="0"/>
              <w:rPr>
                <w:sz w:val="1"/>
                <w:szCs w:val="1"/>
                <w:color w:val="auto"/>
              </w:rPr>
            </w:pPr>
          </w:p>
        </w:tc>
      </w:tr>
      <w:tr>
        <w:trPr>
          <w:trHeight w:val="205"/>
        </w:trPr>
        <w:tc>
          <w:tcPr>
            <w:tcW w:w="1160" w:type="dxa"/>
            <w:vAlign w:val="bottom"/>
          </w:tcPr>
          <w:p>
            <w:pPr>
              <w:ind w:left="20"/>
              <w:spacing w:after="0"/>
              <w:rPr>
                <w:sz w:val="20"/>
                <w:szCs w:val="20"/>
                <w:color w:val="auto"/>
              </w:rPr>
            </w:pPr>
            <w:r>
              <w:rPr>
                <w:rFonts w:ascii="Arial" w:cs="Arial" w:eastAsia="Arial" w:hAnsi="Arial"/>
                <w:sz w:val="15"/>
                <w:szCs w:val="15"/>
                <w:color w:val="auto"/>
              </w:rPr>
              <w:t>31.1*</w:t>
            </w:r>
          </w:p>
        </w:tc>
        <w:tc>
          <w:tcPr>
            <w:tcW w:w="10080" w:type="dxa"/>
            <w:vAlign w:val="bottom"/>
            <w:gridSpan w:val="2"/>
          </w:tcPr>
          <w:p>
            <w:pPr>
              <w:ind w:left="120"/>
              <w:spacing w:after="0"/>
              <w:rPr>
                <w:sz w:val="20"/>
                <w:szCs w:val="20"/>
                <w:color w:val="auto"/>
              </w:rPr>
            </w:pPr>
            <w:r>
              <w:rPr>
                <w:rFonts w:ascii="Arial" w:cs="Arial" w:eastAsia="Arial" w:hAnsi="Arial"/>
                <w:sz w:val="15"/>
                <w:szCs w:val="15"/>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07"/>
        </w:trPr>
        <w:tc>
          <w:tcPr>
            <w:tcW w:w="1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31.2*</w:t>
            </w:r>
          </w:p>
        </w:tc>
        <w:tc>
          <w:tcPr>
            <w:tcW w:w="10080" w:type="dxa"/>
            <w:vAlign w:val="bottom"/>
            <w:gridSpan w:val="2"/>
            <w:shd w:val="clear" w:color="auto" w:fill="DBDBDB"/>
          </w:tcPr>
          <w:p>
            <w:pPr>
              <w:ind w:left="120"/>
              <w:spacing w:after="0"/>
              <w:rPr>
                <w:sz w:val="20"/>
                <w:szCs w:val="20"/>
                <w:color w:val="auto"/>
              </w:rPr>
            </w:pPr>
            <w:r>
              <w:rPr>
                <w:rFonts w:ascii="Arial" w:cs="Arial" w:eastAsia="Arial" w:hAnsi="Arial"/>
                <w:sz w:val="15"/>
                <w:szCs w:val="15"/>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5"/>
        </w:trPr>
        <w:tc>
          <w:tcPr>
            <w:tcW w:w="1160" w:type="dxa"/>
            <w:vAlign w:val="bottom"/>
          </w:tcPr>
          <w:p>
            <w:pPr>
              <w:ind w:left="20"/>
              <w:spacing w:after="0"/>
              <w:rPr>
                <w:sz w:val="20"/>
                <w:szCs w:val="20"/>
                <w:color w:val="auto"/>
              </w:rPr>
            </w:pPr>
            <w:r>
              <w:rPr>
                <w:rFonts w:ascii="Arial" w:cs="Arial" w:eastAsia="Arial" w:hAnsi="Arial"/>
                <w:sz w:val="15"/>
                <w:szCs w:val="15"/>
                <w:color w:val="auto"/>
              </w:rPr>
              <w:t>32.1**</w:t>
            </w:r>
          </w:p>
        </w:tc>
        <w:tc>
          <w:tcPr>
            <w:tcW w:w="10080" w:type="dxa"/>
            <w:vAlign w:val="bottom"/>
            <w:gridSpan w:val="2"/>
          </w:tcPr>
          <w:p>
            <w:pPr>
              <w:ind w:left="120"/>
              <w:spacing w:after="0"/>
              <w:rPr>
                <w:sz w:val="20"/>
                <w:szCs w:val="20"/>
                <w:color w:val="auto"/>
              </w:rPr>
            </w:pPr>
            <w:r>
              <w:rPr>
                <w:rFonts w:ascii="Arial" w:cs="Arial" w:eastAsia="Arial" w:hAnsi="Arial"/>
                <w:sz w:val="15"/>
                <w:szCs w:val="15"/>
                <w:color w:val="auto"/>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07"/>
        </w:trPr>
        <w:tc>
          <w:tcPr>
            <w:tcW w:w="1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32.2**</w:t>
            </w:r>
          </w:p>
        </w:tc>
        <w:tc>
          <w:tcPr>
            <w:tcW w:w="10080" w:type="dxa"/>
            <w:vAlign w:val="bottom"/>
            <w:gridSpan w:val="2"/>
            <w:shd w:val="clear" w:color="auto" w:fill="DBDBDB"/>
          </w:tcPr>
          <w:p>
            <w:pPr>
              <w:ind w:left="120"/>
              <w:spacing w:after="0"/>
              <w:rPr>
                <w:sz w:val="20"/>
                <w:szCs w:val="20"/>
                <w:color w:val="auto"/>
              </w:rPr>
            </w:pPr>
            <w:r>
              <w:rPr>
                <w:rFonts w:ascii="Arial" w:cs="Arial" w:eastAsia="Arial" w:hAnsi="Arial"/>
                <w:sz w:val="15"/>
                <w:szCs w:val="15"/>
                <w:color w:val="auto"/>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Arial" w:cs="Arial" w:eastAsia="Arial" w:hAnsi="Arial"/>
                <w:sz w:val="15"/>
                <w:szCs w:val="15"/>
                <w:color w:val="auto"/>
              </w:rPr>
              <w:t>101.INS</w:t>
            </w:r>
          </w:p>
        </w:tc>
        <w:tc>
          <w:tcPr>
            <w:tcW w:w="10080" w:type="dxa"/>
            <w:vAlign w:val="bottom"/>
            <w:gridSpan w:val="2"/>
          </w:tcPr>
          <w:p>
            <w:pPr>
              <w:ind w:left="120"/>
              <w:spacing w:after="0" w:line="156" w:lineRule="exact"/>
              <w:rPr>
                <w:sz w:val="20"/>
                <w:szCs w:val="20"/>
                <w:color w:val="auto"/>
              </w:rPr>
            </w:pPr>
            <w:r>
              <w:rPr>
                <w:rFonts w:ascii="Arial" w:cs="Arial" w:eastAsia="Arial" w:hAnsi="Arial"/>
                <w:sz w:val="15"/>
                <w:szCs w:val="15"/>
                <w:color w:val="auto"/>
              </w:rPr>
              <w:t>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205"/>
        </w:trPr>
        <w:tc>
          <w:tcPr>
            <w:tcW w:w="1160" w:type="dxa"/>
            <w:vAlign w:val="bottom"/>
            <w:vMerge w:val="continue"/>
          </w:tcPr>
          <w:p>
            <w:pPr>
              <w:spacing w:after="0"/>
              <w:rPr>
                <w:sz w:val="17"/>
                <w:szCs w:val="17"/>
                <w:color w:val="auto"/>
              </w:rPr>
            </w:pPr>
          </w:p>
        </w:tc>
        <w:tc>
          <w:tcPr>
            <w:tcW w:w="10080" w:type="dxa"/>
            <w:vAlign w:val="bottom"/>
            <w:gridSpan w:val="2"/>
          </w:tcPr>
          <w:p>
            <w:pPr>
              <w:ind w:left="120"/>
              <w:spacing w:after="0"/>
              <w:rPr>
                <w:sz w:val="20"/>
                <w:szCs w:val="20"/>
                <w:color w:val="auto"/>
              </w:rPr>
            </w:pPr>
            <w:r>
              <w:rPr>
                <w:rFonts w:ascii="Arial" w:cs="Arial" w:eastAsia="Arial" w:hAnsi="Arial"/>
                <w:sz w:val="15"/>
                <w:szCs w:val="15"/>
                <w:color w:val="auto"/>
              </w:rPr>
              <w:t>Inline XBRL document</w:t>
            </w:r>
          </w:p>
        </w:tc>
        <w:tc>
          <w:tcPr>
            <w:tcW w:w="0" w:type="dxa"/>
            <w:vAlign w:val="bottom"/>
          </w:tcPr>
          <w:p>
            <w:pPr>
              <w:spacing w:after="0"/>
              <w:rPr>
                <w:sz w:val="1"/>
                <w:szCs w:val="1"/>
                <w:color w:val="auto"/>
              </w:rPr>
            </w:pPr>
          </w:p>
        </w:tc>
      </w:tr>
      <w:tr>
        <w:trPr>
          <w:trHeight w:val="207"/>
        </w:trPr>
        <w:tc>
          <w:tcPr>
            <w:tcW w:w="1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101.SCH</w:t>
            </w:r>
          </w:p>
        </w:tc>
        <w:tc>
          <w:tcPr>
            <w:tcW w:w="10080" w:type="dxa"/>
            <w:vAlign w:val="bottom"/>
            <w:gridSpan w:val="2"/>
            <w:shd w:val="clear" w:color="auto" w:fill="DBDBDB"/>
          </w:tcPr>
          <w:p>
            <w:pPr>
              <w:ind w:left="120"/>
              <w:spacing w:after="0"/>
              <w:rPr>
                <w:sz w:val="20"/>
                <w:szCs w:val="20"/>
                <w:color w:val="auto"/>
              </w:rPr>
            </w:pPr>
            <w:r>
              <w:rPr>
                <w:rFonts w:ascii="Arial" w:cs="Arial" w:eastAsia="Arial" w:hAnsi="Arial"/>
                <w:sz w:val="15"/>
                <w:szCs w:val="15"/>
                <w:color w:val="auto"/>
              </w:rPr>
              <w:t>XBRL Taxonomy Extension Schema Document</w:t>
            </w:r>
          </w:p>
        </w:tc>
        <w:tc>
          <w:tcPr>
            <w:tcW w:w="0" w:type="dxa"/>
            <w:vAlign w:val="bottom"/>
          </w:tcPr>
          <w:p>
            <w:pPr>
              <w:spacing w:after="0"/>
              <w:rPr>
                <w:sz w:val="1"/>
                <w:szCs w:val="1"/>
                <w:color w:val="auto"/>
              </w:rPr>
            </w:pPr>
          </w:p>
        </w:tc>
      </w:tr>
      <w:tr>
        <w:trPr>
          <w:trHeight w:val="205"/>
        </w:trPr>
        <w:tc>
          <w:tcPr>
            <w:tcW w:w="1160" w:type="dxa"/>
            <w:vAlign w:val="bottom"/>
          </w:tcPr>
          <w:p>
            <w:pPr>
              <w:ind w:left="20"/>
              <w:spacing w:after="0"/>
              <w:rPr>
                <w:sz w:val="20"/>
                <w:szCs w:val="20"/>
                <w:color w:val="auto"/>
              </w:rPr>
            </w:pPr>
            <w:r>
              <w:rPr>
                <w:rFonts w:ascii="Arial" w:cs="Arial" w:eastAsia="Arial" w:hAnsi="Arial"/>
                <w:sz w:val="15"/>
                <w:szCs w:val="15"/>
                <w:color w:val="auto"/>
              </w:rPr>
              <w:t>101.CAL</w:t>
            </w:r>
          </w:p>
        </w:tc>
        <w:tc>
          <w:tcPr>
            <w:tcW w:w="10080" w:type="dxa"/>
            <w:vAlign w:val="bottom"/>
            <w:gridSpan w:val="2"/>
          </w:tcPr>
          <w:p>
            <w:pPr>
              <w:ind w:left="120"/>
              <w:spacing w:after="0"/>
              <w:rPr>
                <w:sz w:val="20"/>
                <w:szCs w:val="20"/>
                <w:color w:val="auto"/>
              </w:rPr>
            </w:pPr>
            <w:r>
              <w:rPr>
                <w:rFonts w:ascii="Arial" w:cs="Arial" w:eastAsia="Arial" w:hAnsi="Arial"/>
                <w:sz w:val="15"/>
                <w:szCs w:val="15"/>
                <w:color w:val="auto"/>
              </w:rPr>
              <w:t>XBRL Taxonomy Extension Calculation Linkbase Document</w:t>
            </w:r>
          </w:p>
        </w:tc>
        <w:tc>
          <w:tcPr>
            <w:tcW w:w="0" w:type="dxa"/>
            <w:vAlign w:val="bottom"/>
          </w:tcPr>
          <w:p>
            <w:pPr>
              <w:spacing w:after="0"/>
              <w:rPr>
                <w:sz w:val="1"/>
                <w:szCs w:val="1"/>
                <w:color w:val="auto"/>
              </w:rPr>
            </w:pPr>
          </w:p>
        </w:tc>
      </w:tr>
      <w:tr>
        <w:trPr>
          <w:trHeight w:val="207"/>
        </w:trPr>
        <w:tc>
          <w:tcPr>
            <w:tcW w:w="1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101.DEF</w:t>
            </w:r>
          </w:p>
        </w:tc>
        <w:tc>
          <w:tcPr>
            <w:tcW w:w="10080" w:type="dxa"/>
            <w:vAlign w:val="bottom"/>
            <w:gridSpan w:val="2"/>
            <w:shd w:val="clear" w:color="auto" w:fill="DBDBDB"/>
          </w:tcPr>
          <w:p>
            <w:pPr>
              <w:ind w:left="120"/>
              <w:spacing w:after="0"/>
              <w:rPr>
                <w:sz w:val="20"/>
                <w:szCs w:val="20"/>
                <w:color w:val="auto"/>
              </w:rPr>
            </w:pPr>
            <w:r>
              <w:rPr>
                <w:rFonts w:ascii="Arial" w:cs="Arial" w:eastAsia="Arial" w:hAnsi="Arial"/>
                <w:sz w:val="15"/>
                <w:szCs w:val="15"/>
                <w:color w:val="auto"/>
              </w:rPr>
              <w:t>XBRL Taxonomy Extension Definition Linkbase Document</w:t>
            </w:r>
          </w:p>
        </w:tc>
        <w:tc>
          <w:tcPr>
            <w:tcW w:w="0" w:type="dxa"/>
            <w:vAlign w:val="bottom"/>
          </w:tcPr>
          <w:p>
            <w:pPr>
              <w:spacing w:after="0"/>
              <w:rPr>
                <w:sz w:val="1"/>
                <w:szCs w:val="1"/>
                <w:color w:val="auto"/>
              </w:rPr>
            </w:pPr>
          </w:p>
        </w:tc>
      </w:tr>
      <w:tr>
        <w:trPr>
          <w:trHeight w:val="205"/>
        </w:trPr>
        <w:tc>
          <w:tcPr>
            <w:tcW w:w="1160" w:type="dxa"/>
            <w:vAlign w:val="bottom"/>
          </w:tcPr>
          <w:p>
            <w:pPr>
              <w:ind w:left="20"/>
              <w:spacing w:after="0"/>
              <w:rPr>
                <w:sz w:val="20"/>
                <w:szCs w:val="20"/>
                <w:color w:val="auto"/>
              </w:rPr>
            </w:pPr>
            <w:r>
              <w:rPr>
                <w:rFonts w:ascii="Arial" w:cs="Arial" w:eastAsia="Arial" w:hAnsi="Arial"/>
                <w:sz w:val="15"/>
                <w:szCs w:val="15"/>
                <w:color w:val="auto"/>
              </w:rPr>
              <w:t>101.LAB</w:t>
            </w:r>
          </w:p>
        </w:tc>
        <w:tc>
          <w:tcPr>
            <w:tcW w:w="10080" w:type="dxa"/>
            <w:vAlign w:val="bottom"/>
            <w:gridSpan w:val="2"/>
          </w:tcPr>
          <w:p>
            <w:pPr>
              <w:ind w:left="120"/>
              <w:spacing w:after="0"/>
              <w:rPr>
                <w:sz w:val="20"/>
                <w:szCs w:val="20"/>
                <w:color w:val="auto"/>
              </w:rPr>
            </w:pPr>
            <w:r>
              <w:rPr>
                <w:rFonts w:ascii="Arial" w:cs="Arial" w:eastAsia="Arial" w:hAnsi="Arial"/>
                <w:sz w:val="15"/>
                <w:szCs w:val="15"/>
                <w:color w:val="auto"/>
              </w:rPr>
              <w:t>XBRL Taxonomy Extension Label Linkbase Document</w:t>
            </w:r>
          </w:p>
        </w:tc>
        <w:tc>
          <w:tcPr>
            <w:tcW w:w="0" w:type="dxa"/>
            <w:vAlign w:val="bottom"/>
          </w:tcPr>
          <w:p>
            <w:pPr>
              <w:spacing w:after="0"/>
              <w:rPr>
                <w:sz w:val="1"/>
                <w:szCs w:val="1"/>
                <w:color w:val="auto"/>
              </w:rPr>
            </w:pPr>
          </w:p>
        </w:tc>
      </w:tr>
      <w:tr>
        <w:trPr>
          <w:trHeight w:val="207"/>
        </w:trPr>
        <w:tc>
          <w:tcPr>
            <w:tcW w:w="1160" w:type="dxa"/>
            <w:vAlign w:val="bottom"/>
            <w:shd w:val="clear" w:color="auto" w:fill="DBDBDB"/>
          </w:tcPr>
          <w:p>
            <w:pPr>
              <w:ind w:left="20"/>
              <w:spacing w:after="0"/>
              <w:rPr>
                <w:sz w:val="20"/>
                <w:szCs w:val="20"/>
                <w:color w:val="auto"/>
              </w:rPr>
            </w:pPr>
            <w:r>
              <w:rPr>
                <w:rFonts w:ascii="Arial" w:cs="Arial" w:eastAsia="Arial" w:hAnsi="Arial"/>
                <w:sz w:val="15"/>
                <w:szCs w:val="15"/>
                <w:color w:val="auto"/>
              </w:rPr>
              <w:t>101.PRE</w:t>
            </w:r>
          </w:p>
        </w:tc>
        <w:tc>
          <w:tcPr>
            <w:tcW w:w="10080" w:type="dxa"/>
            <w:vAlign w:val="bottom"/>
            <w:gridSpan w:val="2"/>
            <w:shd w:val="clear" w:color="auto" w:fill="DBDBDB"/>
          </w:tcPr>
          <w:p>
            <w:pPr>
              <w:ind w:left="120"/>
              <w:spacing w:after="0"/>
              <w:rPr>
                <w:sz w:val="20"/>
                <w:szCs w:val="20"/>
                <w:color w:val="auto"/>
              </w:rPr>
            </w:pPr>
            <w:r>
              <w:rPr>
                <w:rFonts w:ascii="Arial" w:cs="Arial" w:eastAsia="Arial" w:hAnsi="Arial"/>
                <w:sz w:val="15"/>
                <w:szCs w:val="15"/>
                <w:color w:val="auto"/>
              </w:rPr>
              <w:t>XBRL Taxonomy Extension Presentation Linkbase Document</w:t>
            </w:r>
          </w:p>
        </w:tc>
        <w:tc>
          <w:tcPr>
            <w:tcW w:w="0" w:type="dxa"/>
            <w:vAlign w:val="bottom"/>
          </w:tcPr>
          <w:p>
            <w:pPr>
              <w:spacing w:after="0"/>
              <w:rPr>
                <w:sz w:val="1"/>
                <w:szCs w:val="1"/>
                <w:color w:val="auto"/>
              </w:rPr>
            </w:pPr>
          </w:p>
        </w:tc>
      </w:tr>
      <w:tr>
        <w:trPr>
          <w:trHeight w:val="205"/>
        </w:trPr>
        <w:tc>
          <w:tcPr>
            <w:tcW w:w="1160" w:type="dxa"/>
            <w:vAlign w:val="bottom"/>
          </w:tcPr>
          <w:p>
            <w:pPr>
              <w:ind w:left="20"/>
              <w:spacing w:after="0"/>
              <w:rPr>
                <w:sz w:val="20"/>
                <w:szCs w:val="20"/>
                <w:color w:val="auto"/>
              </w:rPr>
            </w:pPr>
            <w:r>
              <w:rPr>
                <w:rFonts w:ascii="Arial" w:cs="Arial" w:eastAsia="Arial" w:hAnsi="Arial"/>
                <w:sz w:val="15"/>
                <w:szCs w:val="15"/>
                <w:color w:val="auto"/>
              </w:rPr>
              <w:t>104*</w:t>
            </w:r>
          </w:p>
        </w:tc>
        <w:tc>
          <w:tcPr>
            <w:tcW w:w="10080" w:type="dxa"/>
            <w:vAlign w:val="bottom"/>
            <w:gridSpan w:val="2"/>
          </w:tcPr>
          <w:p>
            <w:pPr>
              <w:ind w:left="120"/>
              <w:spacing w:after="0"/>
              <w:rPr>
                <w:sz w:val="20"/>
                <w:szCs w:val="20"/>
                <w:color w:val="auto"/>
              </w:rPr>
            </w:pPr>
            <w:r>
              <w:rPr>
                <w:rFonts w:ascii="Arial" w:cs="Arial" w:eastAsia="Arial" w:hAnsi="Arial"/>
                <w:sz w:val="15"/>
                <w:szCs w:val="15"/>
                <w:color w:val="auto"/>
              </w:rPr>
              <w:t>Inline XBRL for the cover page of this Quarterly Report on Form 10-Q, included in the Exhibit 101 Inline XBRL Document Set.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58" w:lineRule="exact"/>
        <w:rPr>
          <w:sz w:val="20"/>
          <w:szCs w:val="20"/>
          <w:color w:val="auto"/>
        </w:rPr>
      </w:pPr>
    </w:p>
    <w:p>
      <w:pPr>
        <w:ind w:left="140" w:hanging="137"/>
        <w:spacing w:after="0"/>
        <w:tabs>
          <w:tab w:leader="none" w:pos="1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Furnished (and not filed) herewith pursuant to Item 601(b)(32)(ii) of Regulation S-K under the Exchange Act</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50"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22"/>
          <w:szCs w:val="22"/>
          <w:color w:val="1D2758"/>
        </w:rPr>
        <w:t>Signature</w:t>
      </w:r>
    </w:p>
    <w:p>
      <w:pPr>
        <w:spacing w:after="0" w:line="101" w:lineRule="exact"/>
        <w:rPr>
          <w:sz w:val="20"/>
          <w:szCs w:val="20"/>
          <w:color w:val="auto"/>
        </w:rPr>
      </w:pPr>
    </w:p>
    <w:p>
      <w:pPr>
        <w:ind w:firstLine="619"/>
        <w:spacing w:after="0" w:line="312"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52" w:lineRule="exact"/>
        <w:rPr>
          <w:sz w:val="20"/>
          <w:szCs w:val="20"/>
          <w:color w:val="auto"/>
        </w:rPr>
      </w:pPr>
    </w:p>
    <w:tbl>
      <w:tblPr>
        <w:tblLayout w:type="fixed"/>
        <w:tblInd w:w="640" w:type="dxa"/>
        <w:tblCellMar>
          <w:top w:w="0" w:type="dxa"/>
          <w:left w:w="0" w:type="dxa"/>
          <w:bottom w:w="0" w:type="dxa"/>
          <w:right w:w="0" w:type="dxa"/>
        </w:tblCellMar>
      </w:tblPr>
      <w:tr>
        <w:trPr>
          <w:trHeight w:val="214"/>
        </w:trPr>
        <w:tc>
          <w:tcPr>
            <w:tcW w:w="660" w:type="dxa"/>
            <w:vAlign w:val="bottom"/>
          </w:tcPr>
          <w:p>
            <w:pPr>
              <w:spacing w:after="0"/>
              <w:rPr>
                <w:sz w:val="18"/>
                <w:szCs w:val="18"/>
                <w:color w:val="auto"/>
              </w:rPr>
            </w:pPr>
          </w:p>
        </w:tc>
        <w:tc>
          <w:tcPr>
            <w:tcW w:w="9760" w:type="dxa"/>
            <w:vAlign w:val="bottom"/>
            <w:gridSpan w:val="2"/>
          </w:tcPr>
          <w:p>
            <w:pPr>
              <w:ind w:left="3960"/>
              <w:spacing w:after="0"/>
              <w:rPr>
                <w:sz w:val="20"/>
                <w:szCs w:val="20"/>
                <w:color w:val="auto"/>
              </w:rPr>
            </w:pPr>
            <w:r>
              <w:rPr>
                <w:rFonts w:ascii="Arial" w:cs="Arial" w:eastAsia="Arial" w:hAnsi="Arial"/>
                <w:sz w:val="15"/>
                <w:szCs w:val="15"/>
                <w:b w:val="1"/>
                <w:bCs w:val="1"/>
                <w:color w:val="auto"/>
              </w:rPr>
              <w:t>WillScot Mobile Mini Holdings Corp.</w:t>
            </w:r>
          </w:p>
        </w:tc>
      </w:tr>
      <w:tr>
        <w:trPr>
          <w:trHeight w:val="405"/>
        </w:trPr>
        <w:tc>
          <w:tcPr>
            <w:tcW w:w="660" w:type="dxa"/>
            <w:vAlign w:val="bottom"/>
          </w:tcPr>
          <w:p>
            <w:pPr>
              <w:spacing w:after="0"/>
              <w:rPr>
                <w:sz w:val="24"/>
                <w:szCs w:val="24"/>
                <w:color w:val="auto"/>
              </w:rPr>
            </w:pPr>
          </w:p>
        </w:tc>
        <w:tc>
          <w:tcPr>
            <w:tcW w:w="4540" w:type="dxa"/>
            <w:vAlign w:val="bottom"/>
          </w:tcPr>
          <w:p>
            <w:pPr>
              <w:ind w:left="3960"/>
              <w:spacing w:after="0"/>
              <w:rPr>
                <w:sz w:val="20"/>
                <w:szCs w:val="20"/>
                <w:color w:val="auto"/>
              </w:rPr>
            </w:pPr>
            <w:r>
              <w:rPr>
                <w:rFonts w:ascii="Arial" w:cs="Arial" w:eastAsia="Arial" w:hAnsi="Arial"/>
                <w:sz w:val="15"/>
                <w:szCs w:val="15"/>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TIMOTHY D. BOSWELL</w:t>
            </w:r>
          </w:p>
        </w:tc>
      </w:tr>
      <w:tr>
        <w:trPr>
          <w:trHeight w:val="199"/>
        </w:trPr>
        <w:tc>
          <w:tcPr>
            <w:tcW w:w="660" w:type="dxa"/>
            <w:vAlign w:val="bottom"/>
          </w:tcPr>
          <w:p>
            <w:pPr>
              <w:spacing w:after="0"/>
              <w:rPr>
                <w:sz w:val="20"/>
                <w:szCs w:val="20"/>
                <w:color w:val="auto"/>
              </w:rPr>
            </w:pPr>
            <w:r>
              <w:rPr>
                <w:rFonts w:ascii="Arial" w:cs="Arial" w:eastAsia="Arial" w:hAnsi="Arial"/>
                <w:sz w:val="15"/>
                <w:szCs w:val="15"/>
                <w:color w:val="auto"/>
              </w:rPr>
              <w:t>Dated:</w:t>
            </w:r>
          </w:p>
        </w:tc>
        <w:tc>
          <w:tcPr>
            <w:tcW w:w="4540" w:type="dxa"/>
            <w:vAlign w:val="bottom"/>
          </w:tcPr>
          <w:p>
            <w:pPr>
              <w:ind w:left="200"/>
              <w:spacing w:after="0"/>
              <w:rPr>
                <w:sz w:val="20"/>
                <w:szCs w:val="20"/>
                <w:color w:val="auto"/>
              </w:rPr>
            </w:pPr>
            <w:r>
              <w:rPr>
                <w:rFonts w:ascii="Arial" w:cs="Arial" w:eastAsia="Arial" w:hAnsi="Arial"/>
                <w:sz w:val="15"/>
                <w:szCs w:val="15"/>
                <w:color w:val="auto"/>
              </w:rPr>
              <w:t>April 27, 2023</w:t>
            </w:r>
          </w:p>
        </w:tc>
        <w:tc>
          <w:tcPr>
            <w:tcW w:w="5220" w:type="dxa"/>
            <w:vAlign w:val="bottom"/>
          </w:tcPr>
          <w:p>
            <w:pPr>
              <w:spacing w:after="0"/>
              <w:rPr>
                <w:sz w:val="20"/>
                <w:szCs w:val="20"/>
                <w:color w:val="auto"/>
              </w:rPr>
            </w:pPr>
            <w:r>
              <w:rPr>
                <w:rFonts w:ascii="Arial" w:cs="Arial" w:eastAsia="Arial" w:hAnsi="Arial"/>
                <w:sz w:val="15"/>
                <w:szCs w:val="15"/>
                <w:color w:val="auto"/>
              </w:rPr>
              <w:t>Timothy D. Boswell</w:t>
            </w:r>
          </w:p>
        </w:tc>
      </w:tr>
      <w:tr>
        <w:trPr>
          <w:trHeight w:val="157"/>
        </w:trPr>
        <w:tc>
          <w:tcPr>
            <w:tcW w:w="66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5220" w:type="dxa"/>
            <w:vAlign w:val="bottom"/>
          </w:tcPr>
          <w:p>
            <w:pPr>
              <w:spacing w:after="0" w:line="157" w:lineRule="exact"/>
              <w:rPr>
                <w:sz w:val="20"/>
                <w:szCs w:val="20"/>
                <w:color w:val="auto"/>
              </w:rPr>
            </w:pPr>
            <w:r>
              <w:rPr>
                <w:rFonts w:ascii="Arial" w:cs="Arial" w:eastAsia="Arial" w:hAnsi="Arial"/>
                <w:sz w:val="15"/>
                <w:szCs w:val="15"/>
                <w:i w:val="1"/>
                <w:iCs w:val="1"/>
                <w:color w:val="auto"/>
              </w:rPr>
              <w:t>President &amp; Chief Financial Officer</w:t>
            </w:r>
          </w:p>
        </w:tc>
      </w:tr>
      <w:tr>
        <w:trPr>
          <w:trHeight w:val="204"/>
        </w:trPr>
        <w:tc>
          <w:tcPr>
            <w:tcW w:w="6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5"/>
                <w:szCs w:val="15"/>
                <w:i w:val="1"/>
                <w:iCs w:val="1"/>
                <w:color w:val="auto"/>
              </w:rPr>
              <w:t>(Principal Financial Officer and Duly Authorized Signing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40"/>
          </w:cols>
          <w:pgMar w:left="320" w:top="1050" w:right="339" w:bottom="1440" w:gutter="0" w:footer="0" w:header="0"/>
        </w:sectPr>
      </w:pPr>
    </w:p>
    <w:bookmarkStart w:id="42" w:name="page43"/>
    <w:bookmarkEnd w:id="42"/>
    <w:p>
      <w:pPr>
        <w:ind w:left="10220"/>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200" w:lineRule="exact"/>
        <w:rPr>
          <w:sz w:val="20"/>
          <w:szCs w:val="20"/>
          <w:color w:val="auto"/>
        </w:rPr>
      </w:pPr>
    </w:p>
    <w:p>
      <w:pPr>
        <w:spacing w:after="0" w:line="2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Composite</w:t>
      </w:r>
    </w:p>
    <w:p>
      <w:pPr>
        <w:spacing w:after="0" w:line="30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AMENDED AND RESTATED CERTIFICATE OF INCORPORATION</w:t>
      </w:r>
    </w:p>
    <w:p>
      <w:pPr>
        <w:spacing w:after="0" w:line="2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WILLSCOT MOBILE MINI HOLDINGS CORP., as amended</w:t>
      </w:r>
    </w:p>
    <w:p>
      <w:pPr>
        <w:spacing w:after="0" w:line="2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2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u w:val="single" w:color="auto"/>
          <w:color w:val="auto"/>
        </w:rPr>
        <w:t>Name</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name of the corporation is WillScot Mobile Mini Holdings Corp.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2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u w:val="single" w:color="auto"/>
          <w:color w:val="auto"/>
        </w:rPr>
        <w:t>Re</w:t>
      </w:r>
      <w:r>
        <w:rPr>
          <w:rFonts w:ascii="Times New Roman" w:cs="Times New Roman" w:eastAsia="Times New Roman" w:hAnsi="Times New Roman"/>
          <w:sz w:val="17"/>
          <w:szCs w:val="17"/>
          <w:color w:val="auto"/>
        </w:rPr>
        <w:t>g</w:t>
      </w:r>
      <w:r>
        <w:rPr>
          <w:rFonts w:ascii="Times New Roman" w:cs="Times New Roman" w:eastAsia="Times New Roman" w:hAnsi="Times New Roman"/>
          <w:sz w:val="17"/>
          <w:szCs w:val="17"/>
          <w:u w:val="single" w:color="auto"/>
          <w:color w:val="auto"/>
        </w:rPr>
        <w:t>istered Agent; Registered Office</w:t>
      </w:r>
    </w:p>
    <w:p>
      <w:pPr>
        <w:spacing w:after="0" w:line="230" w:lineRule="exact"/>
        <w:rPr>
          <w:sz w:val="20"/>
          <w:szCs w:val="20"/>
          <w:color w:val="auto"/>
        </w:rPr>
      </w:pPr>
    </w:p>
    <w:p>
      <w:pPr>
        <w:ind w:right="580" w:firstLine="619"/>
        <w:spacing w:after="0" w:line="287" w:lineRule="auto"/>
        <w:rPr>
          <w:sz w:val="20"/>
          <w:szCs w:val="20"/>
          <w:color w:val="auto"/>
        </w:rPr>
      </w:pPr>
      <w:r>
        <w:rPr>
          <w:rFonts w:ascii="Times New Roman" w:cs="Times New Roman" w:eastAsia="Times New Roman" w:hAnsi="Times New Roman"/>
          <w:sz w:val="17"/>
          <w:szCs w:val="17"/>
          <w:color w:val="auto"/>
        </w:rPr>
        <w:t>The address of the Corporation’s registered office in the State of Delaware is Corporation Trust Center, 1209 Orange Street, City of Wilmington, County of New Castle, Delaware 19801. The name of the Corporation’s registered agent at such address is The Corporation Trust Company.</w:t>
      </w:r>
    </w:p>
    <w:p>
      <w:pPr>
        <w:spacing w:after="0" w:line="1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2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u w:val="single" w:color="auto"/>
          <w:color w:val="auto"/>
        </w:rPr>
        <w:t>Purposes</w:t>
      </w:r>
    </w:p>
    <w:p>
      <w:pPr>
        <w:spacing w:after="0" w:line="230"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purpose of the Corporation is to engage in any lawful act or activity for which corporations may be organized under the General Corporation Law of the State of Delaware (the “DGCL”).</w:t>
      </w:r>
    </w:p>
    <w:p>
      <w:pPr>
        <w:spacing w:after="0" w:line="1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2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u w:val="single" w:color="auto"/>
          <w:color w:val="auto"/>
        </w:rPr>
        <w:t>[Reserved]</w:t>
      </w:r>
    </w:p>
    <w:p>
      <w:pPr>
        <w:spacing w:after="0" w:line="2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2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u w:val="single" w:color="auto"/>
          <w:color w:val="auto"/>
        </w:rPr>
        <w:t>Capital Stock</w:t>
      </w:r>
    </w:p>
    <w:p>
      <w:pPr>
        <w:spacing w:after="0" w:line="294" w:lineRule="exact"/>
        <w:rPr>
          <w:sz w:val="20"/>
          <w:szCs w:val="20"/>
          <w:color w:val="auto"/>
        </w:rPr>
      </w:pPr>
    </w:p>
    <w:p>
      <w:pPr>
        <w:ind w:left="700" w:hanging="154"/>
        <w:spacing w:after="0"/>
        <w:tabs>
          <w:tab w:leader="none" w:pos="7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Shares</w:t>
      </w:r>
      <w:r>
        <w:rPr>
          <w:rFonts w:ascii="Times New Roman" w:cs="Times New Roman" w:eastAsia="Times New Roman" w:hAnsi="Times New Roman"/>
          <w:sz w:val="17"/>
          <w:szCs w:val="17"/>
          <w:color w:val="auto"/>
        </w:rPr>
        <w:t>.</w:t>
      </w:r>
    </w:p>
    <w:p>
      <w:pPr>
        <w:spacing w:after="0" w:line="230" w:lineRule="exact"/>
        <w:rPr>
          <w:sz w:val="20"/>
          <w:szCs w:val="20"/>
          <w:color w:val="auto"/>
        </w:rPr>
      </w:pPr>
    </w:p>
    <w:p>
      <w:pPr>
        <w:ind w:right="440" w:firstLine="928"/>
        <w:spacing w:after="0" w:line="270" w:lineRule="auto"/>
        <w:rPr>
          <w:sz w:val="20"/>
          <w:szCs w:val="20"/>
          <w:color w:val="auto"/>
        </w:rPr>
      </w:pPr>
      <w:r>
        <w:rPr>
          <w:rFonts w:ascii="Times New Roman" w:cs="Times New Roman" w:eastAsia="Times New Roman" w:hAnsi="Times New Roman"/>
          <w:sz w:val="17"/>
          <w:szCs w:val="17"/>
          <w:color w:val="auto"/>
        </w:rPr>
        <w:t>(a)The total number of shares of all classes of stock that the Corporation is authorized to issue is 501,000,000 shares of stock, consisting of (i) 1,000,000 shares of Preferred Stock, par value $0.0001 per share (“</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 and (ii) 500,000,000 shares of common stock, par value $0.0001 per share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w:t>
      </w:r>
    </w:p>
    <w:p>
      <w:pPr>
        <w:spacing w:after="0" w:line="268" w:lineRule="exact"/>
        <w:rPr>
          <w:sz w:val="20"/>
          <w:szCs w:val="20"/>
          <w:color w:val="auto"/>
        </w:rPr>
      </w:pPr>
    </w:p>
    <w:p>
      <w:pPr>
        <w:ind w:right="160" w:firstLine="928"/>
        <w:spacing w:after="0" w:line="260" w:lineRule="auto"/>
        <w:rPr>
          <w:sz w:val="20"/>
          <w:szCs w:val="20"/>
          <w:color w:val="auto"/>
        </w:rPr>
      </w:pPr>
      <w:r>
        <w:rPr>
          <w:rFonts w:ascii="Times New Roman" w:cs="Times New Roman" w:eastAsia="Times New Roman" w:hAnsi="Times New Roman"/>
          <w:sz w:val="17"/>
          <w:szCs w:val="17"/>
          <w:color w:val="auto"/>
        </w:rPr>
        <w:t>(b)Immediately upon the effectiveness (the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of this Amended and Restated Certificate of Incorporation (as amended from time to time, the “</w:t>
      </w:r>
      <w:r>
        <w:rPr>
          <w:rFonts w:ascii="Times New Roman" w:cs="Times New Roman" w:eastAsia="Times New Roman" w:hAnsi="Times New Roman"/>
          <w:sz w:val="17"/>
          <w:szCs w:val="17"/>
          <w:u w:val="single" w:color="auto"/>
          <w:color w:val="auto"/>
        </w:rPr>
        <w:t>Certificate of Incorporation</w:t>
      </w:r>
      <w:r>
        <w:rPr>
          <w:rFonts w:ascii="Times New Roman" w:cs="Times New Roman" w:eastAsia="Times New Roman" w:hAnsi="Times New Roman"/>
          <w:sz w:val="17"/>
          <w:szCs w:val="17"/>
          <w:color w:val="auto"/>
        </w:rPr>
        <w:t>”), each share of Class A Common Stock, par value $0.0001 per share (the “</w:t>
      </w:r>
      <w:r>
        <w:rPr>
          <w:rFonts w:ascii="Times New Roman" w:cs="Times New Roman" w:eastAsia="Times New Roman" w:hAnsi="Times New Roman"/>
          <w:sz w:val="17"/>
          <w:szCs w:val="17"/>
          <w:u w:val="single" w:color="auto"/>
          <w:color w:val="auto"/>
        </w:rPr>
        <w:t>Class A Common Stock</w:t>
      </w:r>
      <w:r>
        <w:rPr>
          <w:rFonts w:ascii="Times New Roman" w:cs="Times New Roman" w:eastAsia="Times New Roman" w:hAnsi="Times New Roman"/>
          <w:sz w:val="17"/>
          <w:szCs w:val="17"/>
          <w:color w:val="auto"/>
        </w:rPr>
        <w:t>”) issued and outstanding or held as treasury stock immediately prior to the Effective Time shall, automatically and without the need for any further action, be reclassified as, and shall be converted into, one validly issued, fully paid and nonassessable share of Common Stock. Any stock certificate that immediately prior to the Effective Time represented shares of Class A Common Stock shall from and after the Effective Time be deemed to represent shares of Common Stock into which the shares formerly represented by such certificate have been reclassified and converted, without the need for surrender or exchange thereof.</w:t>
      </w:r>
    </w:p>
    <w:p>
      <w:pPr>
        <w:sectPr>
          <w:pgSz w:w="11900" w:h="16838" w:orient="portrait"/>
          <w:cols w:equalWidth="0" w:num="1">
            <w:col w:w="11140"/>
          </w:cols>
          <w:pgMar w:left="4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140"/>
          </w:cols>
          <w:pgMar w:left="420" w:top="1421" w:right="339" w:bottom="1440" w:gutter="0" w:footer="0" w:header="0"/>
          <w:type w:val="continuous"/>
        </w:sectPr>
      </w:pPr>
    </w:p>
    <w:bookmarkStart w:id="43" w:name="page44"/>
    <w:bookmarkEnd w:id="43"/>
    <w:p>
      <w:pPr>
        <w:spacing w:after="0" w:line="153" w:lineRule="exact"/>
        <w:rPr>
          <w:sz w:val="20"/>
          <w:szCs w:val="20"/>
          <w:color w:val="auto"/>
        </w:rPr>
      </w:pPr>
    </w:p>
    <w:p>
      <w:pPr>
        <w:ind w:firstLine="547"/>
        <w:spacing w:after="0" w:line="256" w:lineRule="auto"/>
        <w:tabs>
          <w:tab w:leader="none" w:pos="113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 Preferred Stock may be issued from time to time in one or more series pursuant to a resolution or resolutions providing for such issue duly adopted by the Board of Directors of the Corporation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and the filing of a certificate pursuant to the applicable law of the State of Delaware (a “</w:t>
      </w:r>
      <w:r>
        <w:rPr>
          <w:rFonts w:ascii="Times New Roman" w:cs="Times New Roman" w:eastAsia="Times New Roman" w:hAnsi="Times New Roman"/>
          <w:sz w:val="17"/>
          <w:szCs w:val="17"/>
          <w:u w:val="single" w:color="auto"/>
          <w:color w:val="auto"/>
        </w:rPr>
        <w:t>Preferred Desi</w:t>
      </w:r>
      <w:r>
        <w:rPr>
          <w:rFonts w:ascii="Times New Roman" w:cs="Times New Roman" w:eastAsia="Times New Roman" w:hAnsi="Times New Roman"/>
          <w:sz w:val="17"/>
          <w:szCs w:val="17"/>
          <w:color w:val="auto"/>
        </w:rPr>
        <w:t>g</w:t>
      </w:r>
      <w:r>
        <w:rPr>
          <w:rFonts w:ascii="Times New Roman" w:cs="Times New Roman" w:eastAsia="Times New Roman" w:hAnsi="Times New Roman"/>
          <w:sz w:val="17"/>
          <w:szCs w:val="17"/>
          <w:u w:val="single" w:color="auto"/>
          <w:color w:val="auto"/>
        </w:rPr>
        <w:t>nation</w:t>
      </w:r>
      <w:r>
        <w:rPr>
          <w:rFonts w:ascii="Times New Roman" w:cs="Times New Roman" w:eastAsia="Times New Roman" w:hAnsi="Times New Roman"/>
          <w:sz w:val="17"/>
          <w:szCs w:val="17"/>
          <w:color w:val="auto"/>
        </w:rPr>
        <w:t>”), authority to do so being hereby expressly vested in the Board. The Board is further authorized, subject to limitations prescribed by law, to fix by resolution or resolutions the designations, powers, preferences and rights, and the qualifications, limitations or restrictions thereof, of any wholly unissued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powers, preferences and relative, participating, optional and other special rights of each series of Preferred Stock, and the qualifications, limitations or restrictions thereof, if any, may differ from those of any and all other series at any time outstanding. The number of authorized shares of Preferred Stock may be increased or decreased (but not below the number of shares thereof then outstanding) by the affirmative vote of the holders of a majority of the voting power of all of the then-outstanding shares of capital stock of the Corporation entitled to vote thereon, irrespective of the provisions of Section 242(b)(2) of the DGCL, subject to obtaining a vote of the holders of any series of Preferred Stock, if such a vote is required pursuant to the terms of the Certificate of Incorporation (including any Preferred Designation).</w:t>
      </w:r>
    </w:p>
    <w:p>
      <w:pPr>
        <w:spacing w:after="0" w:line="200" w:lineRule="exact"/>
        <w:rPr>
          <w:rFonts w:ascii="Times New Roman" w:cs="Times New Roman" w:eastAsia="Times New Roman" w:hAnsi="Times New Roman"/>
          <w:sz w:val="17"/>
          <w:szCs w:val="17"/>
          <w:color w:val="auto"/>
        </w:rPr>
      </w:pPr>
    </w:p>
    <w:p>
      <w:pPr>
        <w:spacing w:after="0" w:line="211" w:lineRule="exact"/>
        <w:rPr>
          <w:rFonts w:ascii="Times New Roman" w:cs="Times New Roman" w:eastAsia="Times New Roman" w:hAnsi="Times New Roman"/>
          <w:sz w:val="17"/>
          <w:szCs w:val="17"/>
          <w:color w:val="auto"/>
        </w:rPr>
      </w:pPr>
    </w:p>
    <w:p>
      <w:pPr>
        <w:ind w:left="720" w:hanging="174"/>
        <w:spacing w:after="0"/>
        <w:tabs>
          <w:tab w:leader="none" w:pos="7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w:t>
      </w:r>
    </w:p>
    <w:p>
      <w:pPr>
        <w:spacing w:after="0" w:line="230" w:lineRule="exact"/>
        <w:rPr>
          <w:sz w:val="20"/>
          <w:szCs w:val="20"/>
          <w:color w:val="auto"/>
        </w:rPr>
      </w:pPr>
    </w:p>
    <w:p>
      <w:pPr>
        <w:ind w:right="180" w:firstLine="928"/>
        <w:spacing w:after="0" w:line="258" w:lineRule="auto"/>
        <w:rPr>
          <w:sz w:val="20"/>
          <w:szCs w:val="20"/>
          <w:color w:val="auto"/>
        </w:rPr>
      </w:pPr>
      <w:r>
        <w:rPr>
          <w:rFonts w:ascii="Times New Roman" w:cs="Times New Roman" w:eastAsia="Times New Roman" w:hAnsi="Times New Roman"/>
          <w:sz w:val="17"/>
          <w:szCs w:val="17"/>
          <w:color w:val="auto"/>
        </w:rPr>
        <w:t xml:space="preserve">(a)Except as otherwise required by law or the Certificate of Incorporation (including any Preferred Designation), the holders of the Common Stock shall possess all voting power with respect to the Corporation. The holders of shares of Common Stock shall be entitled to one vote for each such share on each matter properly submitted to the stockholders on which the holders of the Common Stock are entitled to vote; provided,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except as otherwise required by law, holders of Common Stock shall not be entitled to vote on any amendment to the Certificate of Incorporation (including any Preferred Designation) that relates solely to the terms of one or more outstanding series of Preferred Stock if the holders of such affected series are entitled, either separately or together as a class with the holders of one or more other such series, to vote thereon pursuant to the Certificate of Incorporation (including any Preferred Designation) or pursuant to the Section 242(b)(2) of the DGCL (or any other similar, successor provision thereof).</w:t>
      </w:r>
    </w:p>
    <w:p>
      <w:pPr>
        <w:spacing w:after="0" w:line="205" w:lineRule="exact"/>
        <w:rPr>
          <w:sz w:val="20"/>
          <w:szCs w:val="20"/>
          <w:color w:val="auto"/>
        </w:rPr>
      </w:pPr>
    </w:p>
    <w:p>
      <w:pPr>
        <w:ind w:right="220" w:firstLine="928"/>
        <w:spacing w:after="0" w:line="270" w:lineRule="auto"/>
        <w:rPr>
          <w:sz w:val="20"/>
          <w:szCs w:val="20"/>
          <w:color w:val="auto"/>
        </w:rPr>
      </w:pPr>
      <w:r>
        <w:rPr>
          <w:rFonts w:ascii="Times New Roman" w:cs="Times New Roman" w:eastAsia="Times New Roman" w:hAnsi="Times New Roman"/>
          <w:sz w:val="17"/>
          <w:szCs w:val="17"/>
          <w:color w:val="auto"/>
        </w:rPr>
        <w:t>(b)Except as otherwise required by law or the Certificate of Incorporation (including any Preferred Designation), at any annual or special meeting of the stockholders of the Corporation, the holders of the Common Stock shall have the exclusive right to vote for the election of directors and on all other matters properly submitted to a vote of the stockholders.</w:t>
      </w:r>
    </w:p>
    <w:p>
      <w:pPr>
        <w:spacing w:after="0" w:line="191" w:lineRule="exact"/>
        <w:rPr>
          <w:sz w:val="20"/>
          <w:szCs w:val="20"/>
          <w:color w:val="auto"/>
        </w:rPr>
      </w:pPr>
    </w:p>
    <w:p>
      <w:pPr>
        <w:jc w:val="both"/>
        <w:ind w:firstLine="928"/>
        <w:spacing w:after="0" w:line="270" w:lineRule="auto"/>
        <w:rPr>
          <w:sz w:val="20"/>
          <w:szCs w:val="20"/>
          <w:color w:val="auto"/>
        </w:rPr>
      </w:pPr>
      <w:r>
        <w:rPr>
          <w:rFonts w:ascii="Times New Roman" w:cs="Times New Roman" w:eastAsia="Times New Roman" w:hAnsi="Times New Roman"/>
          <w:sz w:val="17"/>
          <w:szCs w:val="17"/>
          <w:color w:val="auto"/>
        </w:rPr>
        <w:t>(c)Subject to the rights of the holders of any series of Preferred Stock,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36" w:lineRule="exact"/>
        <w:rPr>
          <w:sz w:val="20"/>
          <w:szCs w:val="20"/>
          <w:color w:val="auto"/>
        </w:rPr>
      </w:pPr>
    </w:p>
    <w:p>
      <w:pPr>
        <w:ind w:right="900" w:firstLine="928"/>
        <w:spacing w:after="0" w:line="287" w:lineRule="auto"/>
        <w:rPr>
          <w:sz w:val="20"/>
          <w:szCs w:val="20"/>
          <w:color w:val="auto"/>
        </w:rPr>
      </w:pPr>
      <w:r>
        <w:rPr>
          <w:rFonts w:ascii="Times New Roman" w:cs="Times New Roman" w:eastAsia="Times New Roman" w:hAnsi="Times New Roman"/>
          <w:sz w:val="17"/>
          <w:szCs w:val="17"/>
          <w:color w:val="auto"/>
        </w:rPr>
        <w:t>(d)Subject to the rights of the holders of any series of Preferred Stock, special meetings of the stockholders of the Corporation may be called only by the Board, the Chairman of the Board or the Chief Executive Officer of the Corporation.</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Bylaws</w:t>
      </w:r>
    </w:p>
    <w:p>
      <w:pPr>
        <w:spacing w:after="0" w:line="230"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In furtherance and not in limitation of the powers conferred by statute, the Board shall have the power to adopt, amend, repeal or otherwise alter the bylaws of the Corporation (the “</w:t>
      </w:r>
      <w:r>
        <w:rPr>
          <w:rFonts w:ascii="Times New Roman" w:cs="Times New Roman" w:eastAsia="Times New Roman" w:hAnsi="Times New Roman"/>
          <w:sz w:val="17"/>
          <w:szCs w:val="17"/>
          <w:u w:val="single" w:color="auto"/>
          <w:color w:val="auto"/>
        </w:rPr>
        <w:t>Bylaws</w:t>
      </w:r>
      <w:r>
        <w:rPr>
          <w:rFonts w:ascii="Times New Roman" w:cs="Times New Roman" w:eastAsia="Times New Roman" w:hAnsi="Times New Roman"/>
          <w:sz w:val="17"/>
          <w:szCs w:val="17"/>
          <w:color w:val="auto"/>
        </w:rPr>
        <w:t>”) without any action on the part of the stockholders. The Bylaws may also be amended, supplemented or repealed by the stockholders at an annual or special meeting of the stockholders, the notice for which designates that an amendment, supplement or repeal of one or more of such sections is to be considered, and only by an affirmative vote of the holders of a majority in voting power of the outstanding shares of stock entitled to vote upon such amendment, supplement or repeal, voting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040"/>
          </w:cols>
          <w:pgMar w:left="420" w:top="1440" w:right="439" w:bottom="1440" w:gutter="0" w:footer="0" w:header="0"/>
        </w:sectPr>
      </w:pPr>
    </w:p>
    <w:bookmarkStart w:id="44" w:name="page45"/>
    <w:bookmarkEnd w:id="44"/>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2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u w:val="single" w:color="auto"/>
          <w:color w:val="auto"/>
        </w:rPr>
        <w:t>Directors</w:t>
      </w:r>
    </w:p>
    <w:p>
      <w:pPr>
        <w:spacing w:after="0" w:line="230" w:lineRule="exact"/>
        <w:rPr>
          <w:sz w:val="20"/>
          <w:szCs w:val="20"/>
          <w:color w:val="auto"/>
        </w:rPr>
      </w:pPr>
    </w:p>
    <w:p>
      <w:pPr>
        <w:ind w:right="160" w:firstLine="541"/>
        <w:spacing w:after="0" w:line="270" w:lineRule="auto"/>
        <w:tabs>
          <w:tab w:leader="none" w:pos="9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The business and affairs of the Corporation shall be managed by or under the direction of the Board. In addition to the powers and authority expressly conferred upon them by statute or by the Certificate of Incorporation or the Bylaws, the directors are hereby empowered to exercise all such powers and do all such acts and things as may be exercised or done by the Corporation.</w:t>
      </w:r>
    </w:p>
    <w:p>
      <w:pPr>
        <w:spacing w:after="0" w:line="191" w:lineRule="exact"/>
        <w:rPr>
          <w:rFonts w:ascii="Times New Roman" w:cs="Times New Roman" w:eastAsia="Times New Roman" w:hAnsi="Times New Roman"/>
          <w:sz w:val="17"/>
          <w:szCs w:val="17"/>
          <w:color w:val="auto"/>
        </w:rPr>
      </w:pPr>
    </w:p>
    <w:p>
      <w:pPr>
        <w:ind w:firstLine="541"/>
        <w:spacing w:after="0" w:line="258" w:lineRule="auto"/>
        <w:tabs>
          <w:tab w:leader="none" w:pos="9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Number; Term; Election; Qualification</w:t>
      </w:r>
      <w:r>
        <w:rPr>
          <w:rFonts w:ascii="Times New Roman" w:cs="Times New Roman" w:eastAsia="Times New Roman" w:hAnsi="Times New Roman"/>
          <w:sz w:val="17"/>
          <w:szCs w:val="17"/>
          <w:color w:val="auto"/>
        </w:rPr>
        <w:t>. The number of directors that constitutes the Board shall be fixed from time to time by resolution of the Board in accordance with the Bylaws, and shall consist of not less than three or more than thirteen directors. Each director shall be elected at each annual meeting of stockholders and shall hold office until the following annual meeting of stockholders. The term of each director serving as of and immediately following the date of the 2021 annual meeting of stockholders shall expire at the 2022 annual meeting of stockholders, notwithstanding that such director may have been elected for a term that extended beyond the date of the 2022 annual meeting of stockholders. Each director shall serve until his or her successor is duly elected and qualified or until his or her death, resignation, or removal. If the number of directors is hereafter changed, no decrease in the number of directors constituting the Board shall shorten the term of any incumbent director.</w:t>
      </w:r>
    </w:p>
    <w:p>
      <w:pPr>
        <w:spacing w:after="0" w:line="217" w:lineRule="exact"/>
        <w:rPr>
          <w:rFonts w:ascii="Times New Roman" w:cs="Times New Roman" w:eastAsia="Times New Roman" w:hAnsi="Times New Roman"/>
          <w:sz w:val="17"/>
          <w:szCs w:val="17"/>
          <w:color w:val="auto"/>
        </w:rPr>
      </w:pPr>
    </w:p>
    <w:p>
      <w:pPr>
        <w:ind w:right="80" w:firstLine="541"/>
        <w:spacing w:after="0" w:line="258" w:lineRule="auto"/>
        <w:tabs>
          <w:tab w:leader="none" w:pos="9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Vacancies</w:t>
      </w:r>
      <w:r>
        <w:rPr>
          <w:rFonts w:ascii="Times New Roman" w:cs="Times New Roman" w:eastAsia="Times New Roman" w:hAnsi="Times New Roman"/>
          <w:sz w:val="17"/>
          <w:szCs w:val="17"/>
          <w:color w:val="auto"/>
        </w:rPr>
        <w:t>. Subject to the rights of the holders of any series of Preferred Stock, (x) any vacancies on the Board resulting from death, resignation, disqualification, removal or other causes shall be filled by the affirmative vote of a majority of the remaining directors then in office, even though less than a quorum of the Board and not by the stockholders and (y) newly created directorships resulting from any increase in the number of directors shall be filled by the affirmative vote of the directors then in office, even though less than a quorum of the Board and not by the stockholders. Any director elected in accordance with this Article VII shall hold office (i) in the event of a new directorship created or vacancy occurring prior to the 2024 annual meeting of stockholders, for the remainder of the full term of the class of directors in which the new directorship was created or the vacancy occurred and (ii) in the event of a new directorship created or vacancy occurring after the 2024 annual meeting of stockholders, until the next annual meeting of stockholders and, in each case, until such director’s successor shall have been elected and qualified.</w:t>
      </w:r>
    </w:p>
    <w:p>
      <w:pPr>
        <w:spacing w:after="0" w:line="201" w:lineRule="exact"/>
        <w:rPr>
          <w:rFonts w:ascii="Times New Roman" w:cs="Times New Roman" w:eastAsia="Times New Roman" w:hAnsi="Times New Roman"/>
          <w:sz w:val="17"/>
          <w:szCs w:val="17"/>
          <w:color w:val="auto"/>
        </w:rPr>
      </w:pPr>
    </w:p>
    <w:p>
      <w:pPr>
        <w:ind w:left="980" w:hanging="439"/>
        <w:spacing w:after="0"/>
        <w:tabs>
          <w:tab w:leader="none" w:pos="9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Written Ballot</w:t>
      </w:r>
      <w:r>
        <w:rPr>
          <w:rFonts w:ascii="Times New Roman" w:cs="Times New Roman" w:eastAsia="Times New Roman" w:hAnsi="Times New Roman"/>
          <w:sz w:val="17"/>
          <w:szCs w:val="17"/>
          <w:color w:val="auto"/>
        </w:rPr>
        <w:t>. Unless and except to the extent that the Bylaws shall so require, the election of directors of the Corporation need not be by</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written ballot.</w:t>
      </w:r>
    </w:p>
    <w:p>
      <w:pPr>
        <w:spacing w:after="0" w:line="5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2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u w:val="single" w:color="auto"/>
          <w:color w:val="auto"/>
        </w:rPr>
        <w:t>Limitation of Liability and Indemnification</w:t>
      </w:r>
    </w:p>
    <w:p>
      <w:pPr>
        <w:spacing w:after="0" w:line="230" w:lineRule="exact"/>
        <w:rPr>
          <w:sz w:val="20"/>
          <w:szCs w:val="20"/>
          <w:color w:val="auto"/>
        </w:rPr>
      </w:pPr>
    </w:p>
    <w:p>
      <w:pPr>
        <w:ind w:right="80" w:firstLine="541"/>
        <w:spacing w:after="0" w:line="264" w:lineRule="auto"/>
        <w:tabs>
          <w:tab w:leader="none" w:pos="9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of Liabilit</w:t>
      </w:r>
      <w:r>
        <w:rPr>
          <w:rFonts w:ascii="Times New Roman" w:cs="Times New Roman" w:eastAsia="Times New Roman" w:hAnsi="Times New Roman"/>
          <w:sz w:val="17"/>
          <w:szCs w:val="17"/>
          <w:color w:val="auto"/>
        </w:rPr>
        <w:t>y. To the fullest extent permitted by the DGCL as it presently exists or may hereafter be amended, a director of the Corporation shall not be personally liable to the Corporation or to its stockholders for monetary damages for any breach of fiduciary duty as a director. No amendment to, modification of, or repeal of this Article VIII, Section 1 shall apply to or have any effect on the liability or alleged liability of any director of the Corporation for or with respect to any acts or omissions of such director occurring prior to such amendment.</w:t>
      </w:r>
    </w:p>
    <w:p>
      <w:pPr>
        <w:spacing w:after="0" w:line="197" w:lineRule="exact"/>
        <w:rPr>
          <w:rFonts w:ascii="Times New Roman" w:cs="Times New Roman" w:eastAsia="Times New Roman" w:hAnsi="Times New Roman"/>
          <w:sz w:val="17"/>
          <w:szCs w:val="17"/>
          <w:color w:val="auto"/>
        </w:rPr>
      </w:pPr>
    </w:p>
    <w:p>
      <w:pPr>
        <w:ind w:firstLine="541"/>
        <w:spacing w:after="0" w:line="257" w:lineRule="auto"/>
        <w:tabs>
          <w:tab w:leader="none" w:pos="9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The Corporation shall, in accordance with this Certificate of Incorporation and the Bylaws, indemnify, advance expenses, and hold harmless, to the fullest extent permitted by applicable law as it presently exists or may hereafter be amended (but in the case of any such amendment, only to the extent that such amendment permits the Corporation), any person (a “Covered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Covered Person. Notwithstanding the preceding sentence, except for claims for indemnification (following the final disposition of such Proceeding) or advancement of expenses not paid in full, the Corporation shall be required to indemnify a Covered Person in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0800"/>
          </w:cols>
          <w:pgMar w:left="580" w:top="1344" w:right="519" w:bottom="1440" w:gutter="0" w:footer="0" w:header="0"/>
        </w:sectPr>
      </w:pPr>
    </w:p>
    <w:bookmarkStart w:id="45" w:name="page46"/>
    <w:bookmarkEnd w:id="45"/>
    <w:p>
      <w:pPr>
        <w:ind w:left="160"/>
        <w:spacing w:after="0" w:line="270" w:lineRule="auto"/>
        <w:rPr>
          <w:sz w:val="20"/>
          <w:szCs w:val="20"/>
          <w:color w:val="auto"/>
        </w:rPr>
      </w:pPr>
      <w:r>
        <w:rPr>
          <w:rFonts w:ascii="Times New Roman" w:cs="Times New Roman" w:eastAsia="Times New Roman" w:hAnsi="Times New Roman"/>
          <w:sz w:val="17"/>
          <w:szCs w:val="17"/>
          <w:color w:val="auto"/>
        </w:rPr>
        <w:t>connection with a Proceeding (or part thereof) commenced by such Covered Person only if the commencement of such Proceeding (or part thereof) by the Covered Person was authorized in the specific case by the Board. Any amendment, repeal or modification of this Section 2 shall not adversely affect any right or protection hereunder of any person in respect of any act or omission occurring prior to the time of such repeal or modification.</w:t>
      </w:r>
    </w:p>
    <w:p>
      <w:pPr>
        <w:spacing w:after="0" w:line="204" w:lineRule="exact"/>
        <w:rPr>
          <w:sz w:val="20"/>
          <w:szCs w:val="20"/>
          <w:color w:val="auto"/>
        </w:rPr>
      </w:pPr>
    </w:p>
    <w:p>
      <w:pPr>
        <w:jc w:val="both"/>
        <w:ind w:left="160" w:right="700" w:firstLine="541"/>
        <w:spacing w:after="0" w:line="270" w:lineRule="auto"/>
        <w:tabs>
          <w:tab w:leader="none" w:pos="11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The Corporation may maintain insurance, at its expense, to protect itself and any director, officer, employee or agent of the Corporation or another corporation, partnership, joint venture, trust or other enterprise against any such expense, liability or loss, whether or not the Corporation would have the power to indemnify such person against such expense, liability or loss under the DGCL.</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IX</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Exclusive Jurisdiction for Certain Actions</w:t>
      </w:r>
    </w:p>
    <w:p>
      <w:pPr>
        <w:spacing w:after="0" w:line="230" w:lineRule="exact"/>
        <w:rPr>
          <w:sz w:val="20"/>
          <w:szCs w:val="20"/>
          <w:color w:val="auto"/>
        </w:rPr>
      </w:pPr>
    </w:p>
    <w:p>
      <w:pPr>
        <w:ind w:left="160" w:right="60" w:firstLine="541"/>
        <w:spacing w:after="0" w:line="258" w:lineRule="auto"/>
        <w:tabs>
          <w:tab w:leader="none" w:pos="11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Exclusive Forum</w:t>
      </w:r>
      <w:r>
        <w:rPr>
          <w:rFonts w:ascii="Times New Roman" w:cs="Times New Roman" w:eastAsia="Times New Roman" w:hAnsi="Times New Roman"/>
          <w:sz w:val="17"/>
          <w:szCs w:val="17"/>
          <w:color w:val="auto"/>
        </w:rPr>
        <w:t>. Unless the Board or one of its duly authorized committees otherwise approves in writing, the selection of an alternate forum, the Court of Chancery of the State of Delaware (or, if the Court of Chancery of the State of Delaware does not have jurisdiction, the Superior Court of the State of Delaware, or, if the Superior Court of the State of Delaware also does not have jurisdiction, the United States District Court for the District of Delaware) shall, to the fullest extent permitted by applicable law, be the sole and exclusive forum for (i) any derivative action or proceeding brought on behalf of the Corporation, (ii) any action asserting a claim of breach of a fiduciary duty owed by any director, officer or other employee to the Corporation or the Corporation’s stockholders, (iii) any action asserting a claim against the Corporation arising pursuant to any provision of the DGCL or the Certificate of Incorporation or the Bylaws, (iv) any action to interpret, apply, enforce or determine the validity of the Certificate of Incorporation or the Bylaws or (v) any action asserting a claim against the Corporation governed by the internal affairs doctrine (each, a “</w:t>
      </w:r>
      <w:r>
        <w:rPr>
          <w:rFonts w:ascii="Times New Roman" w:cs="Times New Roman" w:eastAsia="Times New Roman" w:hAnsi="Times New Roman"/>
          <w:sz w:val="17"/>
          <w:szCs w:val="17"/>
          <w:u w:val="single" w:color="auto"/>
          <w:color w:val="auto"/>
        </w:rPr>
        <w:t>Covered Proceedin</w:t>
      </w:r>
      <w:r>
        <w:rPr>
          <w:rFonts w:ascii="Times New Roman" w:cs="Times New Roman" w:eastAsia="Times New Roman" w:hAnsi="Times New Roman"/>
          <w:sz w:val="17"/>
          <w:szCs w:val="17"/>
          <w:color w:val="auto"/>
        </w:rPr>
        <w:t>g”).</w:t>
      </w:r>
    </w:p>
    <w:p>
      <w:pPr>
        <w:spacing w:after="0" w:line="278" w:lineRule="exact"/>
        <w:rPr>
          <w:rFonts w:ascii="Times New Roman" w:cs="Times New Roman" w:eastAsia="Times New Roman" w:hAnsi="Times New Roman"/>
          <w:sz w:val="17"/>
          <w:szCs w:val="17"/>
          <w:color w:val="auto"/>
        </w:rPr>
      </w:pPr>
    </w:p>
    <w:p>
      <w:pPr>
        <w:ind w:left="160" w:firstLine="541"/>
        <w:spacing w:after="0" w:line="258" w:lineRule="auto"/>
        <w:tabs>
          <w:tab w:leader="none" w:pos="11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Personal Jurisdiction</w:t>
      </w:r>
      <w:r>
        <w:rPr>
          <w:rFonts w:ascii="Times New Roman" w:cs="Times New Roman" w:eastAsia="Times New Roman" w:hAnsi="Times New Roman"/>
          <w:sz w:val="17"/>
          <w:szCs w:val="17"/>
          <w:color w:val="auto"/>
        </w:rPr>
        <w:t>. If any action the subject matter of which is a Covered Proceeding is filed in a court other than the Court of Chancery of the State of Delaware, or, where permitted in accordance with Section 1 above, the Superior Court of the State of Delaware or the United States District Court for the District of Delaware, (each, a “</w:t>
      </w:r>
      <w:r>
        <w:rPr>
          <w:rFonts w:ascii="Times New Roman" w:cs="Times New Roman" w:eastAsia="Times New Roman" w:hAnsi="Times New Roman"/>
          <w:sz w:val="17"/>
          <w:szCs w:val="17"/>
          <w:u w:val="single" w:color="auto"/>
          <w:color w:val="auto"/>
        </w:rPr>
        <w:t>Forei</w:t>
      </w:r>
      <w:r>
        <w:rPr>
          <w:rFonts w:ascii="Times New Roman" w:cs="Times New Roman" w:eastAsia="Times New Roman" w:hAnsi="Times New Roman"/>
          <w:sz w:val="17"/>
          <w:szCs w:val="17"/>
          <w:color w:val="auto"/>
        </w:rPr>
        <w:t>g</w:t>
      </w:r>
      <w:r>
        <w:rPr>
          <w:rFonts w:ascii="Times New Roman" w:cs="Times New Roman" w:eastAsia="Times New Roman" w:hAnsi="Times New Roman"/>
          <w:sz w:val="17"/>
          <w:szCs w:val="17"/>
          <w:u w:val="single" w:color="auto"/>
          <w:color w:val="auto"/>
        </w:rPr>
        <w:t>n Action</w:t>
      </w:r>
      <w:r>
        <w:rPr>
          <w:rFonts w:ascii="Times New Roman" w:cs="Times New Roman" w:eastAsia="Times New Roman" w:hAnsi="Times New Roman"/>
          <w:sz w:val="17"/>
          <w:szCs w:val="17"/>
          <w:color w:val="auto"/>
        </w:rPr>
        <w:t>”) in the name of any person or entity (a “</w:t>
      </w:r>
      <w:r>
        <w:rPr>
          <w:rFonts w:ascii="Times New Roman" w:cs="Times New Roman" w:eastAsia="Times New Roman" w:hAnsi="Times New Roman"/>
          <w:sz w:val="17"/>
          <w:szCs w:val="17"/>
          <w:u w:val="single" w:color="auto"/>
          <w:color w:val="auto"/>
        </w:rPr>
        <w:t>Claimin</w:t>
      </w:r>
      <w:r>
        <w:rPr>
          <w:rFonts w:ascii="Times New Roman" w:cs="Times New Roman" w:eastAsia="Times New Roman" w:hAnsi="Times New Roman"/>
          <w:sz w:val="17"/>
          <w:szCs w:val="17"/>
          <w:color w:val="auto"/>
        </w:rPr>
        <w:t xml:space="preserve">g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without the prior written approval of the Board or one of its duly authorized committees, such Claiming Party shall, to the fullest extent permitted by law, be deemed to have consented to (i) the personal jurisdiction of the Court of Chancery of the State of Delaware, or, where applicable, the Superior Court of the State of Delaware and the United States District Court for the District of Delaware, in connection with any action brought in any such courts to enforce Section 1 above (an “</w:t>
      </w:r>
      <w:r>
        <w:rPr>
          <w:rFonts w:ascii="Times New Roman" w:cs="Times New Roman" w:eastAsia="Times New Roman" w:hAnsi="Times New Roman"/>
          <w:sz w:val="17"/>
          <w:szCs w:val="17"/>
          <w:u w:val="single" w:color="auto"/>
          <w:color w:val="auto"/>
        </w:rPr>
        <w:t>Enforcement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Action</w:t>
      </w:r>
      <w:r>
        <w:rPr>
          <w:rFonts w:ascii="Times New Roman" w:cs="Times New Roman" w:eastAsia="Times New Roman" w:hAnsi="Times New Roman"/>
          <w:sz w:val="17"/>
          <w:szCs w:val="17"/>
          <w:color w:val="auto"/>
        </w:rPr>
        <w:t>”) and (ii) having service of process made upon such Claiming Party in any such Enforcement Action by service upon such Claiming Party’s counsel in the Foreign Action as agent for such Claiming Party.</w:t>
      </w:r>
    </w:p>
    <w:p>
      <w:pPr>
        <w:spacing w:after="0" w:line="213" w:lineRule="exact"/>
        <w:rPr>
          <w:rFonts w:ascii="Times New Roman" w:cs="Times New Roman" w:eastAsia="Times New Roman" w:hAnsi="Times New Roman"/>
          <w:sz w:val="17"/>
          <w:szCs w:val="17"/>
          <w:color w:val="auto"/>
        </w:rPr>
      </w:pPr>
    </w:p>
    <w:p>
      <w:pPr>
        <w:ind w:left="160" w:right="240" w:firstLine="541"/>
        <w:spacing w:after="0" w:line="270" w:lineRule="auto"/>
        <w:tabs>
          <w:tab w:leader="none" w:pos="11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and Consent</w:t>
      </w:r>
      <w:r>
        <w:rPr>
          <w:rFonts w:ascii="Times New Roman" w:cs="Times New Roman" w:eastAsia="Times New Roman" w:hAnsi="Times New Roman"/>
          <w:sz w:val="17"/>
          <w:szCs w:val="17"/>
          <w:color w:val="auto"/>
        </w:rPr>
        <w:t xml:space="preserve">. Any person or entity purchasing or otherwise acquiring or holding any interest in the shares of capital stock of the Corporation shall be deemed to have notice of and consented to the provisions of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and waived any argument relating to the inconvenience of the forums reference above in connection with any Covered Proceeding.</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Severability</w:t>
      </w:r>
    </w:p>
    <w:p>
      <w:pPr>
        <w:spacing w:after="0" w:line="230"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If any provision or provisions of the Certificate of Incorporation shall be held to be invalid, illegal or unenforceable as applied to any circumstance for any reason whatsoever: (i) the validity, legality and enforceability of such provisions in any other circumstance and of the remaining provisions of the Certificate of Incorporation (including, without limitation, each portion of any section of the Certificate of Incorporation containing any such provision held to be invalid, illegal or unenforceable that is not itself held to be invalid, illegal or unenforceable) shall not in any way be affected or impaired thereby and (ii) to the fullest extent possible, the provisions of the Certificate of Incorporation (including, without limitation, each such portion of any section of the Certificate of Incorporation containing any such provision held to be invalid, illegal or unenforceable) shall be construed so as to permit the Corporation to protect its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040"/>
          </w:cols>
          <w:pgMar w:left="420" w:top="1361" w:right="439" w:bottom="1440" w:gutter="0" w:footer="0" w:header="0"/>
        </w:sectPr>
      </w:pPr>
    </w:p>
    <w:bookmarkStart w:id="46" w:name="page47"/>
    <w:bookmarkEnd w:id="46"/>
    <w:p>
      <w:pPr>
        <w:ind w:right="60"/>
        <w:spacing w:after="0" w:line="287" w:lineRule="auto"/>
        <w:rPr>
          <w:sz w:val="20"/>
          <w:szCs w:val="20"/>
          <w:color w:val="auto"/>
        </w:rPr>
      </w:pPr>
      <w:r>
        <w:rPr>
          <w:rFonts w:ascii="Times New Roman" w:cs="Times New Roman" w:eastAsia="Times New Roman" w:hAnsi="Times New Roman"/>
          <w:sz w:val="17"/>
          <w:szCs w:val="17"/>
          <w:color w:val="auto"/>
        </w:rPr>
        <w:t>directors, officers, employees and agents from personal liability in respect of their good faith service to or for the benefit of the Corporation to the fullest extent permitted by law.</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XI</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Corporate Opportunity</w:t>
      </w:r>
    </w:p>
    <w:p>
      <w:pPr>
        <w:spacing w:after="0" w:line="230"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The Corporation hereby renounces pursuant to Section 122(17) of the DGCL any interest or expectancy in, or being offered an opportunity to participate in, any business opportunity or classes or categories of business opportunities that are presented to any of the Corporation’s non-employee directors or any of their affiliates (together, an “Identified Person”) which may be a corporate opportunity for such Identified Person and the Corporation or any of its affiliates. In the event that any Identified Person acquires knowledge of a potential transaction or other business opportunity which may be a corporate opportunity for itself, herself or himself and the Corporation or any of its affiliates, such Identified Person shall, to the fullest extent permitted by the DGCL, have no duty to communicate or offer such transaction or other business opportunity to the Corporation or any of its affiliates and, to the fullest extent permitted by the DGCL, shall not be liable to the Company, its affiliates or its stockholders for breach of any fiduciary duty as a stockholder or director of the Company solely by reason of the fact that such Identified Person pursues or acquires such corporate opportunity for itself, herself or himself, or offers or directs such corporate opportunity to another Person or does not present such corporate opportunity to the Corporation or its affiliates. Notwithstanding the foregoing, the Corporation does not renounce its interest or expectancy in any corporate opportunity offered to any Identified Person if such opportunity is expressly offered to such Identified Person solely in his or her capacity as a director of the Corporation, and the foregoing provisions of this Article XI shall not apply to any such corporate opportunity. Notwithstanding anything to contrary herein, the provisions of this Article XI shall have no further force or effect from and after the earlier of such time as (i) TDR Capital LLP (“TDR”) ceases to beneficially own at least 5% of the outstanding shares of Common Stock and (ii) TDR is not entitled to designate one or more members of the Board in accordance with the Shareholders Agreement, by and among the Corporation, TDR and the other parties thereto (as amended from time to time).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XII</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Amendment</w:t>
      </w:r>
    </w:p>
    <w:p>
      <w:pPr>
        <w:spacing w:after="0" w:line="230"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Except as expressly provided herein, the Corporation reserves the right to amend, alter, change or repeal any provision contained in the Certificate of Incorporation, in the manner now or hereafter prescribed by the laws of the State of Delaware, and all rights conferred upon stockholders herein are granted subject to this reservation.</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020"/>
          </w:cols>
          <w:pgMar w:left="420" w:top="1361" w:right="459" w:bottom="1440" w:gutter="0" w:footer="0" w:header="0"/>
        </w:sectPr>
      </w:pPr>
    </w:p>
    <w:bookmarkStart w:id="47" w:name="page48"/>
    <w:bookmarkEnd w:id="47"/>
    <w:p>
      <w:pPr>
        <w:jc w:val="right"/>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I, Bradley L. Soultz, certify that:</w:t>
      </w:r>
    </w:p>
    <w:p>
      <w:pPr>
        <w:spacing w:after="0" w:line="279" w:lineRule="exact"/>
        <w:rPr>
          <w:sz w:val="20"/>
          <w:szCs w:val="20"/>
          <w:color w:val="auto"/>
        </w:rPr>
      </w:pPr>
    </w:p>
    <w:p>
      <w:pPr>
        <w:ind w:left="180" w:hanging="177"/>
        <w:spacing w:after="0"/>
        <w:tabs>
          <w:tab w:leader="none" w:pos="1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WillScot Mobile Mini Corp.;</w:t>
      </w:r>
    </w:p>
    <w:p>
      <w:pPr>
        <w:spacing w:after="0" w:line="98" w:lineRule="exact"/>
        <w:rPr>
          <w:rFonts w:ascii="Arial" w:cs="Arial" w:eastAsia="Arial" w:hAnsi="Arial"/>
          <w:sz w:val="15"/>
          <w:szCs w:val="15"/>
          <w:color w:val="auto"/>
        </w:rPr>
      </w:pPr>
    </w:p>
    <w:p>
      <w:pPr>
        <w:ind w:firstLine="3"/>
        <w:spacing w:after="0" w:line="376" w:lineRule="auto"/>
        <w:tabs>
          <w:tab w:leader="none" w:pos="181"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firstLine="3"/>
        <w:spacing w:after="0" w:line="376" w:lineRule="auto"/>
        <w:tabs>
          <w:tab w:leader="none" w:pos="197"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5"/>
          <w:szCs w:val="15"/>
          <w:color w:val="auto"/>
        </w:rPr>
      </w:pPr>
    </w:p>
    <w:p>
      <w:pPr>
        <w:ind w:firstLine="3"/>
        <w:spacing w:after="0" w:line="367" w:lineRule="auto"/>
        <w:tabs>
          <w:tab w:leader="none" w:pos="186"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5" w:val="left"/>
        </w:tabs>
        <w:numPr>
          <w:ilvl w:val="1"/>
          <w:numId w:val="18"/>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8" w:val="left"/>
        </w:tabs>
        <w:numPr>
          <w:ilvl w:val="1"/>
          <w:numId w:val="18"/>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5"/>
          <w:szCs w:val="15"/>
          <w:color w:val="auto"/>
        </w:rPr>
      </w:pPr>
    </w:p>
    <w:p>
      <w:pPr>
        <w:ind w:left="620" w:firstLine="2"/>
        <w:spacing w:after="0" w:line="367" w:lineRule="auto"/>
        <w:tabs>
          <w:tab w:leader="none" w:pos="795" w:val="left"/>
        </w:tabs>
        <w:numPr>
          <w:ilvl w:val="1"/>
          <w:numId w:val="1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21" w:val="left"/>
        </w:tabs>
        <w:numPr>
          <w:ilvl w:val="1"/>
          <w:numId w:val="18"/>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firstLine="3"/>
        <w:spacing w:after="0" w:line="376" w:lineRule="auto"/>
        <w:tabs>
          <w:tab w:leader="none" w:pos="183"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620" w:firstLine="2"/>
        <w:spacing w:after="0" w:line="367" w:lineRule="auto"/>
        <w:tabs>
          <w:tab w:leader="none" w:pos="810" w:val="left"/>
        </w:tabs>
        <w:numPr>
          <w:ilvl w:val="1"/>
          <w:numId w:val="1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620" w:firstLine="2"/>
        <w:spacing w:after="0" w:line="420" w:lineRule="auto"/>
        <w:tabs>
          <w:tab w:leader="none" w:pos="817" w:val="left"/>
        </w:tabs>
        <w:numPr>
          <w:ilvl w:val="1"/>
          <w:numId w:val="18"/>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Date: April 27, 2023</w:t>
      </w:r>
    </w:p>
    <w:p>
      <w:pPr>
        <w:spacing w:after="0" w:line="60"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20955</wp:posOffset>
            </wp:positionV>
            <wp:extent cx="28403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40355" cy="8255"/>
                    </a:xfrm>
                    <a:prstGeom prst="rect">
                      <a:avLst/>
                    </a:prstGeom>
                    <a:noFill/>
                  </pic:spPr>
                </pic:pic>
              </a:graphicData>
            </a:graphic>
          </wp:anchor>
        </w:drawing>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Bradley L. Soultz</w:t>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5"/>
          <w:szCs w:val="15"/>
          <w:i w:val="1"/>
          <w:iCs w:val="1"/>
          <w:color w:val="auto"/>
        </w:rPr>
        <w:t>Chief Executive Officer and Director</w:t>
      </w:r>
    </w:p>
    <w:p>
      <w:pPr>
        <w:ind w:left="6740"/>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5"/>
          <w:szCs w:val="15"/>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I, Timothy D. Boswell, certify that:</w:t>
      </w:r>
    </w:p>
    <w:p>
      <w:pPr>
        <w:spacing w:after="0" w:line="279" w:lineRule="exact"/>
        <w:rPr>
          <w:sz w:val="20"/>
          <w:szCs w:val="20"/>
          <w:color w:val="auto"/>
        </w:rPr>
      </w:pPr>
    </w:p>
    <w:p>
      <w:pPr>
        <w:ind w:left="180" w:hanging="177"/>
        <w:spacing w:after="0"/>
        <w:tabs>
          <w:tab w:leader="none" w:pos="1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WillScot Mobile Mini Corp.;</w:t>
      </w:r>
    </w:p>
    <w:p>
      <w:pPr>
        <w:spacing w:after="0" w:line="98" w:lineRule="exact"/>
        <w:rPr>
          <w:rFonts w:ascii="Arial" w:cs="Arial" w:eastAsia="Arial" w:hAnsi="Arial"/>
          <w:sz w:val="15"/>
          <w:szCs w:val="15"/>
          <w:color w:val="auto"/>
        </w:rPr>
      </w:pPr>
    </w:p>
    <w:p>
      <w:pPr>
        <w:ind w:firstLine="3"/>
        <w:spacing w:after="0" w:line="376" w:lineRule="auto"/>
        <w:tabs>
          <w:tab w:leader="none" w:pos="181"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firstLine="3"/>
        <w:spacing w:after="0" w:line="376" w:lineRule="auto"/>
        <w:tabs>
          <w:tab w:leader="none" w:pos="197"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5"/>
          <w:szCs w:val="15"/>
          <w:color w:val="auto"/>
        </w:rPr>
      </w:pPr>
    </w:p>
    <w:p>
      <w:pPr>
        <w:ind w:firstLine="3"/>
        <w:spacing w:after="0" w:line="367" w:lineRule="auto"/>
        <w:tabs>
          <w:tab w:leader="none" w:pos="186"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5" w:val="left"/>
        </w:tabs>
        <w:numPr>
          <w:ilvl w:val="1"/>
          <w:numId w:val="1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8" w:val="left"/>
        </w:tabs>
        <w:numPr>
          <w:ilvl w:val="1"/>
          <w:numId w:val="19"/>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5"/>
          <w:szCs w:val="15"/>
          <w:color w:val="auto"/>
        </w:rPr>
      </w:pPr>
    </w:p>
    <w:p>
      <w:pPr>
        <w:ind w:left="620" w:firstLine="2"/>
        <w:spacing w:after="0" w:line="367" w:lineRule="auto"/>
        <w:tabs>
          <w:tab w:leader="none" w:pos="795"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21" w:val="left"/>
        </w:tabs>
        <w:numPr>
          <w:ilvl w:val="1"/>
          <w:numId w:val="19"/>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firstLine="3"/>
        <w:spacing w:after="0" w:line="376" w:lineRule="auto"/>
        <w:tabs>
          <w:tab w:leader="none" w:pos="183"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620" w:firstLine="2"/>
        <w:spacing w:after="0" w:line="367" w:lineRule="auto"/>
        <w:tabs>
          <w:tab w:leader="none" w:pos="810" w:val="left"/>
        </w:tabs>
        <w:numPr>
          <w:ilvl w:val="1"/>
          <w:numId w:val="1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620" w:firstLine="2"/>
        <w:spacing w:after="0" w:line="420" w:lineRule="auto"/>
        <w:tabs>
          <w:tab w:leader="none" w:pos="817" w:val="left"/>
        </w:tabs>
        <w:numPr>
          <w:ilvl w:val="1"/>
          <w:numId w:val="19"/>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Date: April 27, 2023</w:t>
      </w:r>
    </w:p>
    <w:p>
      <w:pPr>
        <w:spacing w:after="0" w:line="60"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20955</wp:posOffset>
            </wp:positionV>
            <wp:extent cx="28403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40355" cy="8255"/>
                    </a:xfrm>
                    <a:prstGeom prst="rect">
                      <a:avLst/>
                    </a:prstGeom>
                    <a:noFill/>
                  </pic:spPr>
                </pic:pic>
              </a:graphicData>
            </a:graphic>
          </wp:anchor>
        </w:drawing>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Timothy D. Boswell</w:t>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5"/>
          <w:szCs w:val="15"/>
          <w:i w:val="1"/>
          <w:iCs w:val="1"/>
          <w:color w:val="auto"/>
        </w:rPr>
        <w:t>President and Chief Financial Officer</w:t>
      </w:r>
    </w:p>
    <w:p>
      <w:pPr>
        <w:ind w:left="6740"/>
        <w:spacing w:after="0"/>
        <w:rPr>
          <w:sz w:val="20"/>
          <w:szCs w:val="20"/>
          <w:color w:val="auto"/>
        </w:rPr>
      </w:pPr>
      <w:r>
        <w:rPr>
          <w:rFonts w:ascii="Arial" w:cs="Arial" w:eastAsia="Arial" w:hAnsi="Arial"/>
          <w:sz w:val="15"/>
          <w:szCs w:val="15"/>
          <w:i w:val="1"/>
          <w:iCs w:val="1"/>
          <w:color w:val="auto"/>
        </w:rPr>
        <w:t>(Principal Financial Officer)</w:t>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5"/>
          <w:szCs w:val="15"/>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384" w:lineRule="exact"/>
        <w:rPr>
          <w:sz w:val="20"/>
          <w:szCs w:val="20"/>
          <w:color w:val="auto"/>
        </w:rPr>
      </w:pPr>
    </w:p>
    <w:p>
      <w:pPr>
        <w:ind w:firstLine="309"/>
        <w:spacing w:after="0" w:line="367"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Mobile Mini Corp. (the “Company”) hereby certifies, to such officer's knowledge, that:</w:t>
      </w:r>
    </w:p>
    <w:p>
      <w:pPr>
        <w:spacing w:after="0" w:line="1" w:lineRule="exact"/>
        <w:rPr>
          <w:sz w:val="20"/>
          <w:szCs w:val="20"/>
          <w:color w:val="auto"/>
        </w:rPr>
      </w:pPr>
    </w:p>
    <w:p>
      <w:pPr>
        <w:ind w:left="620" w:firstLine="2"/>
        <w:spacing w:after="0" w:line="376" w:lineRule="auto"/>
        <w:tabs>
          <w:tab w:leader="none" w:pos="834"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period ended March 31, 2023 (the “Report”) fully complies with the requirements of Section 13(a) or Section 15(d), as applicable, of the Securities Exchange Act of 1934, as amended; and</w:t>
      </w:r>
    </w:p>
    <w:p>
      <w:pPr>
        <w:spacing w:after="0" w:line="1" w:lineRule="exact"/>
        <w:rPr>
          <w:rFonts w:ascii="Arial" w:cs="Arial" w:eastAsia="Arial" w:hAnsi="Arial"/>
          <w:sz w:val="15"/>
          <w:szCs w:val="15"/>
          <w:color w:val="auto"/>
        </w:rPr>
      </w:pPr>
    </w:p>
    <w:p>
      <w:pPr>
        <w:ind w:left="840" w:hanging="218"/>
        <w:spacing w:after="0"/>
        <w:tabs>
          <w:tab w:leader="none" w:pos="8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Date: April 27, 2023</w:t>
      </w:r>
    </w:p>
    <w:p>
      <w:pPr>
        <w:spacing w:after="0" w:line="98"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20955</wp:posOffset>
            </wp:positionV>
            <wp:extent cx="25215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7"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Bradley L. Soultz</w:t>
      </w:r>
    </w:p>
    <w:p>
      <w:pPr>
        <w:spacing w:after="0" w:line="30" w:lineRule="exact"/>
        <w:rPr>
          <w:sz w:val="20"/>
          <w:szCs w:val="20"/>
          <w:color w:val="auto"/>
        </w:rPr>
      </w:pPr>
    </w:p>
    <w:p>
      <w:pPr>
        <w:ind w:left="7260"/>
        <w:spacing w:after="0"/>
        <w:rPr>
          <w:sz w:val="20"/>
          <w:szCs w:val="20"/>
          <w:color w:val="auto"/>
        </w:rPr>
      </w:pPr>
      <w:r>
        <w:rPr>
          <w:rFonts w:ascii="Arial" w:cs="Arial" w:eastAsia="Arial" w:hAnsi="Arial"/>
          <w:sz w:val="15"/>
          <w:szCs w:val="15"/>
          <w:i w:val="1"/>
          <w:iCs w:val="1"/>
          <w:color w:val="auto"/>
        </w:rPr>
        <w:t>Chief Executive Officer and Director (Principal Executive</w:t>
      </w:r>
    </w:p>
    <w:p>
      <w:pPr>
        <w:ind w:left="7260"/>
        <w:spacing w:after="0"/>
        <w:rPr>
          <w:sz w:val="20"/>
          <w:szCs w:val="20"/>
          <w:color w:val="auto"/>
        </w:rPr>
      </w:pPr>
      <w:r>
        <w:rPr>
          <w:rFonts w:ascii="Arial" w:cs="Arial" w:eastAsia="Arial" w:hAnsi="Arial"/>
          <w:sz w:val="15"/>
          <w:szCs w:val="15"/>
          <w:i w:val="1"/>
          <w:iCs w:val="1"/>
          <w:color w:val="auto"/>
        </w:rPr>
        <w:t>Officer)</w:t>
      </w:r>
    </w:p>
    <w:p>
      <w:pPr>
        <w:sectPr>
          <w:pgSz w:w="11900" w:h="16838" w:orient="portrait"/>
          <w:cols w:equalWidth="0" w:num="1">
            <w:col w:w="11240"/>
          </w:cols>
          <w:pgMar w:left="320" w:top="12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5"/>
          <w:szCs w:val="15"/>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152" w:lineRule="exact"/>
        <w:rPr>
          <w:sz w:val="20"/>
          <w:szCs w:val="20"/>
          <w:color w:val="auto"/>
        </w:rPr>
      </w:pPr>
    </w:p>
    <w:p>
      <w:pPr>
        <w:ind w:firstLine="309"/>
        <w:spacing w:after="0" w:line="367"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Mobile Mini Corp. (the “Company”) hereby certifies, to such officer's knowledge, that:</w:t>
      </w:r>
    </w:p>
    <w:p>
      <w:pPr>
        <w:spacing w:after="0" w:line="1" w:lineRule="exact"/>
        <w:rPr>
          <w:sz w:val="20"/>
          <w:szCs w:val="20"/>
          <w:color w:val="auto"/>
        </w:rPr>
      </w:pPr>
    </w:p>
    <w:p>
      <w:pPr>
        <w:ind w:left="620" w:firstLine="2"/>
        <w:spacing w:after="0" w:line="376" w:lineRule="auto"/>
        <w:tabs>
          <w:tab w:leader="none" w:pos="834"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period ended March 31, 2023 (the “Report”) fully complies with the requirements of Section 13(a) or Section 15(d), as applicable, of the Securities Exchange Act of 1934, as amended; and</w:t>
      </w:r>
    </w:p>
    <w:p>
      <w:pPr>
        <w:spacing w:after="0" w:line="1" w:lineRule="exact"/>
        <w:rPr>
          <w:rFonts w:ascii="Arial" w:cs="Arial" w:eastAsia="Arial" w:hAnsi="Arial"/>
          <w:sz w:val="15"/>
          <w:szCs w:val="15"/>
          <w:color w:val="auto"/>
        </w:rPr>
      </w:pPr>
    </w:p>
    <w:p>
      <w:pPr>
        <w:ind w:left="840" w:hanging="218"/>
        <w:spacing w:after="0"/>
        <w:tabs>
          <w:tab w:leader="none" w:pos="8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Date: April 27, 2023</w:t>
      </w:r>
    </w:p>
    <w:p>
      <w:pPr>
        <w:spacing w:after="0" w:line="98"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20955</wp:posOffset>
            </wp:positionV>
            <wp:extent cx="25215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7"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Timothy D. Boswell</w:t>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5"/>
          <w:szCs w:val="15"/>
          <w:i w:val="1"/>
          <w:iCs w:val="1"/>
          <w:color w:val="auto"/>
        </w:rPr>
        <w:t>President and Chief Financial Officer (Principal Financial</w:t>
      </w:r>
    </w:p>
    <w:p>
      <w:pPr>
        <w:ind w:left="7240"/>
        <w:spacing w:after="0"/>
        <w:rPr>
          <w:sz w:val="20"/>
          <w:szCs w:val="20"/>
          <w:color w:val="auto"/>
        </w:rPr>
      </w:pPr>
      <w:r>
        <w:rPr>
          <w:rFonts w:ascii="Arial" w:cs="Arial" w:eastAsia="Arial" w:hAnsi="Arial"/>
          <w:sz w:val="15"/>
          <w:szCs w:val="15"/>
          <w:i w:val="1"/>
          <w:iCs w:val="1"/>
          <w:color w:val="auto"/>
        </w:rPr>
        <w:t>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
      <w:numFmt w:val="bullet"/>
      <w:start w:val="1"/>
    </w:lvl>
    <w:lvl w:ilvl="1">
      <w:lvlJc w:val="left"/>
      <w:lvlText w:val="•"/>
      <w:numFmt w:val="bullet"/>
      <w:start w:val="1"/>
    </w:lvl>
  </w:abstractNum>
  <w:abstractNum w:abstractNumId="5">
    <w:nsid w:val="109CF92E"/>
    <w:multiLevelType w:val="hybridMultilevel"/>
    <w:lvl w:ilvl="0">
      <w:lvlJc w:val="left"/>
      <w:lvlText w:val="•"/>
      <w:numFmt w:val="bullet"/>
      <w:start w:val="1"/>
    </w:lvl>
    <w:lvl w:ilvl="1">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2"/>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3"/>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lowerRoman"/>
      <w:start w:val="1"/>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2023-04-27T10:35:28Z</dcterms:created>
  <dcterms:modified xsi:type="dcterms:W3CDTF">2023-04-27T10:35:28Z</dcterms:modified>
</cp:coreProperties>
</file>