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9"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color w:val="auto"/>
        </w:rPr>
        <w:t>May 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88265</wp:posOffset>
            </wp:positionV>
            <wp:extent cx="1834515" cy="6172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34515"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WILLSCOT HOLDINGS CORPORATION</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427" w:right="339" w:bottom="1440" w:gutter="0" w:footer="0" w:header="0"/>
        </w:sectPr>
      </w:pPr>
    </w:p>
    <w:p>
      <w:pPr>
        <w:spacing w:after="0" w:line="302"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82"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7"/>
          <w:szCs w:val="17"/>
          <w:b w:val="1"/>
          <w:bCs w:val="1"/>
          <w:color w:val="auto"/>
        </w:rPr>
        <w:t>001-37552</w:t>
      </w:r>
    </w:p>
    <w:p>
      <w:pPr>
        <w:spacing w:after="0" w:line="20" w:lineRule="exact"/>
        <w:rPr>
          <w:sz w:val="24"/>
          <w:szCs w:val="24"/>
          <w:color w:val="auto"/>
        </w:rPr>
      </w:pPr>
      <w:r>
        <w:rPr>
          <w:sz w:val="24"/>
          <w:szCs w:val="24"/>
          <w:color w:val="auto"/>
        </w:rPr>
        <w:br w:type="column"/>
      </w:r>
    </w:p>
    <w:p>
      <w:pPr>
        <w:spacing w:after="0" w:line="2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82-3430194</w:t>
      </w:r>
    </w:p>
    <w:p>
      <w:pPr>
        <w:spacing w:after="0" w:line="67" w:lineRule="exact"/>
        <w:rPr>
          <w:sz w:val="24"/>
          <w:szCs w:val="24"/>
          <w:color w:val="auto"/>
        </w:rPr>
      </w:pPr>
    </w:p>
    <w:p>
      <w:pPr>
        <w:sectPr>
          <w:pgSz w:w="11900" w:h="16838" w:orient="portrait"/>
          <w:cols w:equalWidth="0" w:num="3">
            <w:col w:w="4640" w:space="720"/>
            <w:col w:w="2040" w:space="720"/>
            <w:col w:w="3120"/>
          </w:cols>
          <w:pgMar w:left="320" w:top="1427" w:right="339"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03" w:lineRule="exact"/>
        <w:rPr>
          <w:sz w:val="24"/>
          <w:szCs w:val="24"/>
          <w:color w:val="auto"/>
        </w:rPr>
      </w:pPr>
    </w:p>
    <w:p>
      <w:pPr>
        <w:sectPr>
          <w:pgSz w:w="11900" w:h="16838" w:orient="portrait"/>
          <w:cols w:equalWidth="0" w:num="3">
            <w:col w:w="4400" w:space="360"/>
            <w:col w:w="1980" w:space="520"/>
            <w:col w:w="3980"/>
          </w:cols>
          <w:pgMar w:left="320" w:top="1427" w:right="339" w:bottom="1440" w:gutter="0" w:footer="0" w:header="0"/>
          <w:type w:val="continuous"/>
        </w:sectPr>
      </w:pPr>
    </w:p>
    <w:p>
      <w:pPr>
        <w:ind w:left="4220"/>
        <w:spacing w:after="0"/>
        <w:rPr>
          <w:sz w:val="20"/>
          <w:szCs w:val="20"/>
          <w:color w:val="auto"/>
        </w:rPr>
      </w:pPr>
      <w:r>
        <w:rPr>
          <w:rFonts w:ascii="Times New Roman" w:cs="Times New Roman" w:eastAsia="Times New Roman" w:hAnsi="Times New Roman"/>
          <w:sz w:val="18"/>
          <w:szCs w:val="18"/>
          <w:b w:val="1"/>
          <w:bCs w:val="1"/>
          <w:color w:val="auto"/>
        </w:rPr>
        <w:t>6400 East McDowell Road, Suite 300</w:t>
      </w:r>
    </w:p>
    <w:p>
      <w:pPr>
        <w:ind w:left="4640"/>
        <w:spacing w:after="0"/>
        <w:rPr>
          <w:sz w:val="20"/>
          <w:szCs w:val="20"/>
          <w:color w:val="auto"/>
        </w:rPr>
      </w:pPr>
      <w:r>
        <w:rPr>
          <w:rFonts w:ascii="Times New Roman" w:cs="Times New Roman" w:eastAsia="Times New Roman" w:hAnsi="Times New Roman"/>
          <w:sz w:val="18"/>
          <w:szCs w:val="18"/>
          <w:b w:val="1"/>
          <w:bCs w:val="1"/>
          <w:color w:val="auto"/>
        </w:rPr>
        <w:t>Scottsdale, Arizona 85257</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of principal executive offices)</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(480) 894-6311</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spacing w:after="0" w:line="295" w:lineRule="exact"/>
        <w:rPr>
          <w:sz w:val="24"/>
          <w:szCs w:val="24"/>
          <w:color w:val="auto"/>
        </w:rPr>
      </w:pPr>
    </w:p>
    <w:p>
      <w:pPr>
        <w:ind w:left="140" w:right="560"/>
        <w:spacing w:after="0" w:line="24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ind w:left="940" w:hanging="198"/>
        <w:spacing w:after="0" w:line="227" w:lineRule="auto"/>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ind w:left="940" w:hanging="198"/>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40" w:hanging="198"/>
        <w:spacing w:after="0" w:line="234" w:lineRule="auto"/>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ind w:left="940" w:hanging="198"/>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 commencement communications pursuant to Rule 13e-4(c) under the Exchange Act (17 CFR 240.13e-4(c))</w:t>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64" w:lineRule="exact"/>
        <w:rPr>
          <w:sz w:val="24"/>
          <w:szCs w:val="24"/>
          <w:color w:val="auto"/>
        </w:rPr>
      </w:pPr>
    </w:p>
    <w:tbl>
      <w:tblPr>
        <w:tblLayout w:type="fixed"/>
        <w:tblInd w:w="10" w:type="dxa"/>
        <w:tblCellMar>
          <w:top w:w="0" w:type="dxa"/>
          <w:left w:w="0" w:type="dxa"/>
          <w:bottom w:w="0" w:type="dxa"/>
          <w:right w:w="0" w:type="dxa"/>
        </w:tblCellMar>
      </w:tblPr>
      <w:tr>
        <w:trPr>
          <w:trHeight w:val="270"/>
        </w:trPr>
        <w:tc>
          <w:tcPr>
            <w:tcW w:w="43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57"/>
        </w:trPr>
        <w:tc>
          <w:tcPr>
            <w:tcW w:w="43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WSC</w:t>
            </w:r>
          </w:p>
        </w:tc>
        <w:tc>
          <w:tcPr>
            <w:tcW w:w="4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Capital Markets</w:t>
            </w:r>
          </w:p>
        </w:tc>
      </w:tr>
    </w:tbl>
    <w:p>
      <w:pPr>
        <w:spacing w:after="0" w:line="319" w:lineRule="exact"/>
        <w:rPr>
          <w:sz w:val="24"/>
          <w:szCs w:val="24"/>
          <w:color w:val="auto"/>
        </w:rPr>
      </w:pPr>
    </w:p>
    <w:p>
      <w:pPr>
        <w:ind w:left="140" w:right="3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304" w:lineRule="exact"/>
        <w:rPr>
          <w:sz w:val="24"/>
          <w:szCs w:val="24"/>
          <w:color w:val="auto"/>
        </w:rPr>
      </w:pPr>
    </w:p>
    <w:p>
      <w:pPr>
        <w:ind w:left="140"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type w:val="continuous"/>
        </w:sectPr>
      </w:pPr>
    </w:p>
    <w:bookmarkStart w:id="1" w:name="page2"/>
    <w:bookmarkEnd w:id="1"/>
    <w:p>
      <w:pPr>
        <w:ind w:left="20"/>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364" w:lineRule="exact"/>
        <w:rPr>
          <w:sz w:val="20"/>
          <w:szCs w:val="20"/>
          <w:color w:val="auto"/>
        </w:rPr>
      </w:pPr>
    </w:p>
    <w:p>
      <w:pPr>
        <w:jc w:val="both"/>
        <w:ind w:left="140" w:right="100" w:firstLine="648"/>
        <w:spacing w:after="0" w:line="266" w:lineRule="auto"/>
        <w:rPr>
          <w:sz w:val="20"/>
          <w:szCs w:val="20"/>
          <w:color w:val="auto"/>
        </w:rPr>
      </w:pPr>
      <w:r>
        <w:rPr>
          <w:rFonts w:ascii="Times New Roman" w:cs="Times New Roman" w:eastAsia="Times New Roman" w:hAnsi="Times New Roman"/>
          <w:sz w:val="18"/>
          <w:szCs w:val="18"/>
          <w:color w:val="auto"/>
        </w:rPr>
        <w:t>On May 7, 2026, WillScot Holdings Corporation issued a press release announcing financial results for the first quarter ended March 31, 2026, a copy of which is attached as Exhibit 99.1 and incorporated by reference in this Item 2.02.</w:t>
      </w:r>
    </w:p>
    <w:p>
      <w:pPr>
        <w:spacing w:after="0" w:line="189" w:lineRule="exact"/>
        <w:rPr>
          <w:sz w:val="20"/>
          <w:szCs w:val="20"/>
          <w:color w:val="auto"/>
        </w:rPr>
      </w:pPr>
    </w:p>
    <w:p>
      <w:pPr>
        <w:jc w:val="both"/>
        <w:ind w:left="140" w:right="100" w:firstLine="648"/>
        <w:spacing w:after="0" w:line="250" w:lineRule="auto"/>
        <w:rPr>
          <w:sz w:val="20"/>
          <w:szCs w:val="20"/>
          <w:color w:val="auto"/>
        </w:rPr>
      </w:pPr>
      <w:r>
        <w:rPr>
          <w:rFonts w:ascii="Times New Roman" w:cs="Times New Roman" w:eastAsia="Times New Roman" w:hAnsi="Times New Roman"/>
          <w:sz w:val="18"/>
          <w:szCs w:val="18"/>
          <w:color w:val="auto"/>
        </w:rPr>
        <w:t>The information in this Item 2.02 and Exhibit 99.1 attached hereto shall not be deemed “filed” for purposes of Section 18 of the Securities Exchange Act of 1934, as amended, or otherwise subject to the liabilities of that Section, nor shall it be deemed incorporated by reference into any filing under the Securities Act of 1933, as amended, except as expressly set forth by specific reference in such filing.</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567"/>
        </w:trPr>
        <w:tc>
          <w:tcPr>
            <w:tcW w:w="11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i w:val="1"/>
                <w:iCs w:val="1"/>
                <w:color w:val="auto"/>
                <w:w w:val="99"/>
              </w:rPr>
              <w:t>(d) Exhibits</w:t>
            </w:r>
          </w:p>
        </w:tc>
        <w:tc>
          <w:tcPr>
            <w:tcW w:w="10060" w:type="dxa"/>
            <w:vAlign w:val="bottom"/>
          </w:tcPr>
          <w:p>
            <w:pPr>
              <w:spacing w:after="0"/>
              <w:rPr>
                <w:sz w:val="24"/>
                <w:szCs w:val="24"/>
                <w:color w:val="auto"/>
              </w:rPr>
            </w:pPr>
          </w:p>
        </w:tc>
      </w:tr>
      <w:tr>
        <w:trPr>
          <w:trHeight w:val="491"/>
        </w:trPr>
        <w:tc>
          <w:tcPr>
            <w:tcW w:w="11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60" w:type="dxa"/>
            <w:vAlign w:val="bottom"/>
          </w:tcPr>
          <w:p>
            <w:pPr>
              <w:spacing w:after="0"/>
              <w:rPr>
                <w:sz w:val="24"/>
                <w:szCs w:val="24"/>
                <w:color w:val="auto"/>
              </w:rPr>
            </w:pPr>
          </w:p>
        </w:tc>
      </w:tr>
      <w:tr>
        <w:trPr>
          <w:trHeight w:val="238"/>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0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27"/>
        </w:trPr>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60" w:type="dxa"/>
            <w:vAlign w:val="bottom"/>
            <w:tcBorders>
              <w:bottom w:val="single" w:sz="8" w:color="auto"/>
            </w:tcBorders>
          </w:tcPr>
          <w:p>
            <w:pPr>
              <w:spacing w:after="0"/>
              <w:rPr>
                <w:sz w:val="2"/>
                <w:szCs w:val="2"/>
                <w:color w:val="auto"/>
              </w:rPr>
            </w:pPr>
          </w:p>
        </w:tc>
      </w:tr>
      <w:tr>
        <w:trPr>
          <w:trHeight w:val="228"/>
        </w:trPr>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19"/>
                <w:szCs w:val="19"/>
                <w:color w:val="auto"/>
              </w:rPr>
            </w:pPr>
          </w:p>
        </w:tc>
        <w:tc>
          <w:tcPr>
            <w:tcW w:w="10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Press Release, dated May 7, 2026, announcing financial results for the first quarter ended March 31, 2026</w:t>
            </w:r>
          </w:p>
        </w:tc>
      </w:tr>
      <w:tr>
        <w:trPr>
          <w:trHeight w:val="238"/>
        </w:trPr>
        <w:tc>
          <w:tcPr>
            <w:tcW w:w="11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0"/>
                <w:szCs w:val="20"/>
                <w:color w:val="auto"/>
              </w:rPr>
            </w:pPr>
          </w:p>
        </w:tc>
        <w:tc>
          <w:tcPr>
            <w:tcW w:w="10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1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2" w:name="page3"/>
    <w:bookmarkEnd w:id="2"/>
    <w:p>
      <w:pPr>
        <w:ind w:left="496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3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WillScot Holdings Corporation</w:t>
      </w:r>
    </w:p>
    <w:p>
      <w:pPr>
        <w:spacing w:after="0" w:line="283" w:lineRule="exact"/>
        <w:rPr>
          <w:sz w:val="20"/>
          <w:szCs w:val="20"/>
          <w:color w:val="auto"/>
        </w:rPr>
      </w:pPr>
    </w:p>
    <w:p>
      <w:pPr>
        <w:ind w:left="5420"/>
        <w:spacing w:after="0"/>
        <w:tabs>
          <w:tab w:leader="none" w:pos="58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Matthew T. Jacobsen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3696335</wp:posOffset>
            </wp:positionH>
            <wp:positionV relativeFrom="paragraph">
              <wp:posOffset>34290</wp:posOffset>
            </wp:positionV>
            <wp:extent cx="2820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0670" cy="8255"/>
                    </a:xfrm>
                    <a:prstGeom prst="rect">
                      <a:avLst/>
                    </a:prstGeom>
                    <a:noFill/>
                  </pic:spPr>
                </pic:pic>
              </a:graphicData>
            </a:graphic>
          </wp:anchor>
        </w:drawing>
      </w:r>
    </w:p>
    <w:p>
      <w:pPr>
        <w:spacing w:after="0" w:line="57" w:lineRule="exact"/>
        <w:rPr>
          <w:sz w:val="20"/>
          <w:szCs w:val="20"/>
          <w:color w:val="auto"/>
        </w:rPr>
      </w:pPr>
    </w:p>
    <w:p>
      <w:pPr>
        <w:ind w:left="720"/>
        <w:spacing w:after="0"/>
        <w:tabs>
          <w:tab w:leader="none" w:pos="1360" w:val="left"/>
          <w:tab w:leader="none" w:pos="5820" w:val="left"/>
        </w:tabs>
        <w:rPr>
          <w:sz w:val="20"/>
          <w:szCs w:val="20"/>
          <w:color w:val="auto"/>
        </w:rPr>
      </w:pPr>
      <w:r>
        <w:rPr>
          <w:rFonts w:ascii="Times New Roman" w:cs="Times New Roman" w:eastAsia="Times New Roman" w:hAnsi="Times New Roman"/>
          <w:sz w:val="18"/>
          <w:szCs w:val="18"/>
          <w:color w:val="auto"/>
        </w:rPr>
        <w:t>Dated:</w:t>
        <w:tab/>
        <w:t>May 7, 2026</w:t>
      </w:r>
      <w:r>
        <w:rPr>
          <w:sz w:val="20"/>
          <w:szCs w:val="20"/>
          <w:color w:val="auto"/>
        </w:rPr>
        <w:tab/>
      </w:r>
      <w:r>
        <w:rPr>
          <w:rFonts w:ascii="Times New Roman" w:cs="Times New Roman" w:eastAsia="Times New Roman" w:hAnsi="Times New Roman"/>
          <w:sz w:val="17"/>
          <w:szCs w:val="17"/>
          <w:color w:val="auto"/>
        </w:rPr>
        <w:t>Name: Matthew T. Jacobsen</w:t>
      </w:r>
    </w:p>
    <w:p>
      <w:pPr>
        <w:spacing w:after="0" w:line="6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Title: Executive Vice President, Chief Financial Officer</w:t>
      </w:r>
    </w:p>
    <w:p>
      <w:pPr>
        <w:sectPr>
          <w:pgSz w:w="11900" w:h="16838" w:orient="portrait"/>
          <w:cols w:equalWidth="0" w:num="1">
            <w:col w:w="10280"/>
          </w:cols>
          <w:pgMar w:left="460" w:top="1238" w:right="1159" w:bottom="1440" w:gutter="0" w:footer="0" w:header="0"/>
        </w:sectPr>
      </w:pPr>
    </w:p>
    <w:bookmarkStart w:id="3" w:name="page4"/>
    <w:bookmarkEnd w:id="3"/>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3045460</wp:posOffset>
            </wp:positionH>
            <wp:positionV relativeFrom="page">
              <wp:posOffset>88900</wp:posOffset>
            </wp:positionV>
            <wp:extent cx="1466215" cy="488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466215" cy="48895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5"/>
          <w:szCs w:val="25"/>
          <w:b w:val="1"/>
          <w:bCs w:val="1"/>
          <w:color w:val="auto"/>
        </w:rPr>
        <w:t>WILLSCOT REPORTS FIRST QUARTER 2026 RESULTS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AND RAISES 2026 FULL YEAR OUTLOOK</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Exceeded Q1 2026 Outlook for Revenue and Adjusted EBITDA</w:t>
      </w:r>
    </w:p>
    <w:p>
      <w:pPr>
        <w:spacing w:after="0" w:line="248" w:lineRule="exact"/>
        <w:rPr>
          <w:sz w:val="20"/>
          <w:szCs w:val="20"/>
          <w:color w:val="auto"/>
        </w:rPr>
      </w:pPr>
    </w:p>
    <w:p>
      <w:pPr>
        <w:ind w:left="3400"/>
        <w:spacing w:after="0"/>
        <w:rPr>
          <w:sz w:val="20"/>
          <w:szCs w:val="20"/>
          <w:color w:val="auto"/>
        </w:rPr>
      </w:pPr>
      <w:r>
        <w:rPr>
          <w:rFonts w:ascii="Arial" w:cs="Arial" w:eastAsia="Arial" w:hAnsi="Arial"/>
          <w:sz w:val="16"/>
          <w:szCs w:val="16"/>
          <w:i w:val="1"/>
          <w:iCs w:val="1"/>
          <w:color w:val="auto"/>
        </w:rPr>
        <w:t>Raises 2026 Full Year Outlook for Revenue, Adjusted EBITDA</w:t>
      </w:r>
    </w:p>
    <w:p>
      <w:pPr>
        <w:spacing w:after="0" w:line="29" w:lineRule="exact"/>
        <w:rPr>
          <w:sz w:val="20"/>
          <w:szCs w:val="20"/>
          <w:color w:val="auto"/>
        </w:rPr>
      </w:pPr>
    </w:p>
    <w:p>
      <w:pPr>
        <w:ind w:left="3380"/>
        <w:spacing w:after="0"/>
        <w:rPr>
          <w:sz w:val="20"/>
          <w:szCs w:val="20"/>
          <w:color w:val="auto"/>
        </w:rPr>
      </w:pPr>
      <w:r>
        <w:rPr>
          <w:rFonts w:ascii="Arial" w:cs="Arial" w:eastAsia="Arial" w:hAnsi="Arial"/>
          <w:sz w:val="16"/>
          <w:szCs w:val="16"/>
          <w:i w:val="1"/>
          <w:iCs w:val="1"/>
          <w:color w:val="auto"/>
        </w:rPr>
        <w:t>and Net CAPEX on Continued Improving Commercial Demand</w:t>
      </w:r>
    </w:p>
    <w:p>
      <w:pPr>
        <w:spacing w:after="0" w:line="200" w:lineRule="exact"/>
        <w:rPr>
          <w:sz w:val="20"/>
          <w:szCs w:val="20"/>
          <w:color w:val="auto"/>
        </w:rPr>
      </w:pPr>
    </w:p>
    <w:p>
      <w:pPr>
        <w:spacing w:after="0" w:line="269" w:lineRule="exact"/>
        <w:rPr>
          <w:sz w:val="20"/>
          <w:szCs w:val="20"/>
          <w:color w:val="auto"/>
        </w:rPr>
      </w:pPr>
    </w:p>
    <w:p>
      <w:pPr>
        <w:spacing w:after="0" w:line="247" w:lineRule="auto"/>
        <w:rPr>
          <w:sz w:val="20"/>
          <w:szCs w:val="20"/>
          <w:color w:val="auto"/>
        </w:rPr>
      </w:pPr>
      <w:r>
        <w:rPr>
          <w:rFonts w:ascii="Arial" w:cs="Arial" w:eastAsia="Arial" w:hAnsi="Arial"/>
          <w:sz w:val="20"/>
          <w:szCs w:val="20"/>
          <w:b w:val="1"/>
          <w:bCs w:val="1"/>
          <w:color w:val="auto"/>
        </w:rPr>
        <w:t xml:space="preserve">SCOTTSDALE, May 7, 2026 </w:t>
      </w:r>
      <w:r>
        <w:rPr>
          <w:rFonts w:ascii="Arial" w:cs="Arial" w:eastAsia="Arial" w:hAnsi="Arial"/>
          <w:sz w:val="16"/>
          <w:szCs w:val="16"/>
          <w:color w:val="auto"/>
        </w:rPr>
        <w:t>- WillScot Holdings Corporation (“WillScot” or the “Company”) (Nasdaq: WSC), a leader in innovative temporary space</w:t>
      </w:r>
      <w:r>
        <w:rPr>
          <w:rFonts w:ascii="Arial" w:cs="Arial" w:eastAsia="Arial" w:hAnsi="Arial"/>
          <w:sz w:val="20"/>
          <w:szCs w:val="20"/>
          <w:b w:val="1"/>
          <w:bCs w:val="1"/>
          <w:color w:val="auto"/>
        </w:rPr>
        <w:t xml:space="preserve"> </w:t>
      </w:r>
      <w:r>
        <w:rPr>
          <w:rFonts w:ascii="Arial" w:cs="Arial" w:eastAsia="Arial" w:hAnsi="Arial"/>
          <w:sz w:val="16"/>
          <w:szCs w:val="16"/>
          <w:color w:val="auto"/>
        </w:rPr>
        <w:t>solutions, today announced first quarter 2026 results, including key performance highlights and market updates, and raised its 2026 full year outlook.</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Q1 2026</w:t>
      </w:r>
      <w:r>
        <w:rPr>
          <w:rFonts w:ascii="Arial" w:cs="Arial" w:eastAsia="Arial" w:hAnsi="Arial"/>
          <w:sz w:val="25"/>
          <w:szCs w:val="25"/>
          <w:b w:val="1"/>
          <w:bCs w:val="1"/>
          <w:color w:val="auto"/>
          <w:vertAlign w:val="superscript"/>
        </w:rPr>
        <w:t>1</w:t>
      </w:r>
    </w:p>
    <w:p>
      <w:pPr>
        <w:spacing w:after="0" w:line="35" w:lineRule="exact"/>
        <w:rPr>
          <w:sz w:val="20"/>
          <w:szCs w:val="20"/>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Generated revenue of $549 million, gross profit margin percentage of 52.1%, and net income of $28 million.</w:t>
      </w:r>
    </w:p>
    <w:p>
      <w:pPr>
        <w:spacing w:after="0" w:line="43"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Reported Adjusted Net Income of $39 million and Adjusted EBITDA of $211 million at a 38.5% margin.</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Reported diluted and Adjusted Diluted Earnings Per Share of $0.15 and $0.21, respectively.</w:t>
      </w:r>
    </w:p>
    <w:p>
      <w:pPr>
        <w:spacing w:after="0" w:line="72" w:lineRule="exact"/>
        <w:rPr>
          <w:rFonts w:ascii="Arial" w:cs="Arial" w:eastAsia="Arial" w:hAnsi="Arial"/>
          <w:sz w:val="16"/>
          <w:szCs w:val="16"/>
          <w:color w:val="auto"/>
        </w:rPr>
      </w:pPr>
    </w:p>
    <w:p>
      <w:pPr>
        <w:ind w:left="660" w:hanging="328"/>
        <w:spacing w:after="0" w:line="281"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auto"/>
        </w:rPr>
        <w:t>Leasing and services revenue of $525 million increased year-over-year, with a 2.0% decline in leasing revenue more than offset by a 12.3% increase in delivery and installation revenue driven by project activations during the quarter.</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Generated Net cash provided by operating activities of $191 million and Adjusted Free Cash Flow of $116 million at a 21.1% margin.</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Paid down $76 million of outstanding debt and returned $20 million to shareholders through our quarterly cash dividend and share repurchases.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Increased previously issued full year 2026 outlook for revenue, Adjusted EBITDA, and Net CAPEX given continued improving commercial demand.</w:t>
      </w:r>
    </w:p>
    <w:p>
      <w:pPr>
        <w:spacing w:after="0" w:line="37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Tim Boswell, President and Chief Executive Officer of WillScot, commented, "Our first quarter 2026 results were encouraging, with clear progress across our commercial and operational priorities for the year. We are seeing a steady increase in demand from larger project opportunities, most notably in the data center, power generation and utility, diversified manufacturing, and events sectors, that align well with both our value proposition and our strategic focus on enterprise accounts, new verticals, and our expanded offerings. Order and activation trends continued to strengthen through April, which combined with the growing volume of larger projects, is giving us better visibility into the second half of the year and is consistent with our longer-term strategy to drive higher quality revenue mix. Operationally, our teams are mobilizing to support increased activity levels by executing our previously announced Network Optimization Plan, rolling out our route optimization and dispatch platform in the field, continuing to optimize centralized shared services, and activating fleet to increase availability and minimize lead times across the network. Each of these initiatives supports our ability to capture immediate market opportunities while improving long-term profitability and the customer experience."</w:t>
      </w:r>
    </w:p>
    <w:p>
      <w:pPr>
        <w:spacing w:after="0" w:line="31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Boswell continued, "The strengthening commercial activity supports our increased 2026 outlook for Revenue, Adjusted EBITDA and capital expenditures, and we think there is a credible path to inflect leasing revenues to year-over-year growth in the second half of 2026. We remain focused on advancing initiatives that are within our control to strengthen our competitive positioning, serve our customers, and drive long-term shareholder value creation. I am incredibly grateful to our team for their focus on clean and consistent execution."</w:t>
      </w:r>
    </w:p>
    <w:p>
      <w:pPr>
        <w:spacing w:after="0" w:line="32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Matt Jacobsen, Chief Financial Officer of WillScot, commented, "First quarter 2026 revenues of $549 million and Adjusted EBITDA of $211 million exceeded our outlook entering the year. Large project demand drove outperformance in unit activations, which drove a year-over-year increase in variable costs, but also 12% year-over-year growth in delivery and installation revenues in the quarter. While these items naturally weigh on Adjusted EBITDA margins in the short-term, we expect that these activity levels will support units-on-rent and an increased lease revenue run-rate heading into the second half of the year."</w:t>
      </w:r>
    </w:p>
    <w:p>
      <w:pPr>
        <w:spacing w:after="0" w:line="30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Jacobsen concluded, "Based on first quarter results and our current order book levels, we are raising our 2026 outlook to $2.250 billion in revenue and $915 million in Adjusted EBITDA. We continue to see improving commercial demand stemming mainly from larger project activity in our modular space portfolio. In contrast, we have not seen improved demand across local</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7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3045460</wp:posOffset>
            </wp:positionH>
            <wp:positionV relativeFrom="page">
              <wp:posOffset>88900</wp:posOffset>
            </wp:positionV>
            <wp:extent cx="1466215" cy="488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66215" cy="488950"/>
                    </a:xfrm>
                    <a:prstGeom prst="rect">
                      <a:avLst/>
                    </a:prstGeom>
                    <a:noFill/>
                  </pic:spPr>
                </pic:pic>
              </a:graphicData>
            </a:graphic>
          </wp:anchor>
        </w:drawing>
        <w:t>markets, so while stabilizing, we remain cautious about the outlook. That said, we are raising our Net CAPEX outlook to $325 million for 2026 to support strong demand in select product lines tied to large scale projects. This increase speaks favorably to our competitive positioning and is expected to offset continued softness in other transactional product categories, supporting the second half 2026 leasing revenue inflection now implied in our current outlook."</w:t>
      </w: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2026 Results</w:t>
      </w:r>
      <w:r>
        <w:rPr>
          <w:rFonts w:ascii="Arial" w:cs="Arial" w:eastAsia="Arial" w:hAnsi="Arial"/>
          <w:sz w:val="25"/>
          <w:szCs w:val="25"/>
          <w:b w:val="1"/>
          <w:bCs w:val="1"/>
          <w:color w:val="auto"/>
          <w:vertAlign w:val="superscript"/>
        </w:rPr>
        <w:t>1</w:t>
      </w:r>
    </w:p>
    <w:tbl>
      <w:tblPr>
        <w:tblLayout w:type="fixed"/>
        <w:tblInd w:w="0" w:type="dxa"/>
        <w:tblCellMar>
          <w:top w:w="0" w:type="dxa"/>
          <w:left w:w="0" w:type="dxa"/>
          <w:bottom w:w="0" w:type="dxa"/>
          <w:right w:w="0" w:type="dxa"/>
        </w:tblCellMar>
      </w:tblPr>
      <w:tr>
        <w:trPr>
          <w:trHeight w:val="168"/>
        </w:trPr>
        <w:tc>
          <w:tcPr>
            <w:tcW w:w="7780" w:type="dxa"/>
            <w:vAlign w:val="bottom"/>
            <w:shd w:val="clear" w:color="auto" w:fill="1D2758"/>
          </w:tcPr>
          <w:p>
            <w:pPr>
              <w:spacing w:after="0"/>
              <w:rPr>
                <w:sz w:val="14"/>
                <w:szCs w:val="14"/>
                <w:color w:val="auto"/>
              </w:rPr>
            </w:pPr>
          </w:p>
        </w:tc>
        <w:tc>
          <w:tcPr>
            <w:tcW w:w="340" w:type="dxa"/>
            <w:vAlign w:val="bottom"/>
            <w:shd w:val="clear" w:color="auto" w:fill="1D2758"/>
          </w:tcPr>
          <w:p>
            <w:pPr>
              <w:spacing w:after="0"/>
              <w:rPr>
                <w:sz w:val="14"/>
                <w:szCs w:val="14"/>
                <w:color w:val="auto"/>
              </w:rPr>
            </w:pPr>
          </w:p>
        </w:tc>
        <w:tc>
          <w:tcPr>
            <w:tcW w:w="3120" w:type="dxa"/>
            <w:vAlign w:val="bottom"/>
            <w:gridSpan w:val="3"/>
            <w:shd w:val="clear" w:color="auto" w:fill="1D2758"/>
          </w:tcPr>
          <w:p>
            <w:pPr>
              <w:jc w:val="right"/>
              <w:ind w:right="859"/>
              <w:spacing w:after="0" w:line="168" w:lineRule="exact"/>
              <w:rPr>
                <w:sz w:val="20"/>
                <w:szCs w:val="20"/>
                <w:color w:val="auto"/>
              </w:rPr>
            </w:pPr>
            <w:r>
              <w:rPr>
                <w:rFonts w:ascii="Arial" w:cs="Arial" w:eastAsia="Arial" w:hAnsi="Arial"/>
                <w:sz w:val="16"/>
                <w:szCs w:val="16"/>
                <w:b w:val="1"/>
                <w:bCs w:val="1"/>
                <w:color w:val="FFFFFF"/>
              </w:rPr>
              <w:t>Three Months Ended</w:t>
            </w:r>
          </w:p>
        </w:tc>
      </w:tr>
      <w:tr>
        <w:trPr>
          <w:trHeight w:val="216"/>
        </w:trPr>
        <w:tc>
          <w:tcPr>
            <w:tcW w:w="7780" w:type="dxa"/>
            <w:vAlign w:val="bottom"/>
            <w:shd w:val="clear" w:color="auto" w:fill="1D2758"/>
          </w:tcPr>
          <w:p>
            <w:pPr>
              <w:spacing w:after="0"/>
              <w:rPr>
                <w:sz w:val="18"/>
                <w:szCs w:val="18"/>
                <w:color w:val="auto"/>
              </w:rPr>
            </w:pPr>
          </w:p>
        </w:tc>
        <w:tc>
          <w:tcPr>
            <w:tcW w:w="340" w:type="dxa"/>
            <w:vAlign w:val="bottom"/>
            <w:shd w:val="clear" w:color="auto" w:fill="1D2758"/>
          </w:tcPr>
          <w:p>
            <w:pPr>
              <w:spacing w:after="0"/>
              <w:rPr>
                <w:sz w:val="18"/>
                <w:szCs w:val="18"/>
                <w:color w:val="auto"/>
              </w:rPr>
            </w:pPr>
          </w:p>
        </w:tc>
        <w:tc>
          <w:tcPr>
            <w:tcW w:w="1880" w:type="dxa"/>
            <w:vAlign w:val="bottom"/>
            <w:gridSpan w:val="2"/>
            <w:shd w:val="clear" w:color="auto" w:fill="1D2758"/>
          </w:tcPr>
          <w:p>
            <w:pPr>
              <w:jc w:val="right"/>
              <w:ind w:right="39"/>
              <w:spacing w:after="0"/>
              <w:rPr>
                <w:sz w:val="20"/>
                <w:szCs w:val="20"/>
                <w:color w:val="auto"/>
              </w:rPr>
            </w:pPr>
            <w:r>
              <w:rPr>
                <w:rFonts w:ascii="Arial" w:cs="Arial" w:eastAsia="Arial" w:hAnsi="Arial"/>
                <w:sz w:val="16"/>
                <w:szCs w:val="16"/>
                <w:b w:val="1"/>
                <w:bCs w:val="1"/>
                <w:color w:val="FFFFFF"/>
              </w:rPr>
              <w:t>March 31,</w:t>
            </w:r>
          </w:p>
        </w:tc>
        <w:tc>
          <w:tcPr>
            <w:tcW w:w="1240" w:type="dxa"/>
            <w:vAlign w:val="bottom"/>
            <w:shd w:val="clear" w:color="auto" w:fill="1D2758"/>
          </w:tcPr>
          <w:p>
            <w:pPr>
              <w:spacing w:after="0"/>
              <w:rPr>
                <w:sz w:val="18"/>
                <w:szCs w:val="18"/>
                <w:color w:val="auto"/>
              </w:rPr>
            </w:pPr>
          </w:p>
        </w:tc>
      </w:tr>
      <w:tr>
        <w:trPr>
          <w:trHeight w:val="216"/>
        </w:trPr>
        <w:tc>
          <w:tcPr>
            <w:tcW w:w="778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 except share data)</w:t>
            </w:r>
          </w:p>
        </w:tc>
        <w:tc>
          <w:tcPr>
            <w:tcW w:w="340" w:type="dxa"/>
            <w:vAlign w:val="bottom"/>
            <w:shd w:val="clear" w:color="auto" w:fill="1D2758"/>
          </w:tcPr>
          <w:p>
            <w:pPr>
              <w:spacing w:after="0"/>
              <w:rPr>
                <w:sz w:val="18"/>
                <w:szCs w:val="18"/>
                <w:color w:val="auto"/>
              </w:rPr>
            </w:pPr>
          </w:p>
        </w:tc>
        <w:tc>
          <w:tcPr>
            <w:tcW w:w="1380" w:type="dxa"/>
            <w:vAlign w:val="bottom"/>
            <w:shd w:val="clear" w:color="auto" w:fill="1D2758"/>
          </w:tcPr>
          <w:p>
            <w:pPr>
              <w:jc w:val="right"/>
              <w:ind w:right="619"/>
              <w:spacing w:after="0"/>
              <w:rPr>
                <w:sz w:val="20"/>
                <w:szCs w:val="20"/>
                <w:color w:val="auto"/>
              </w:rPr>
            </w:pPr>
            <w:r>
              <w:rPr>
                <w:rFonts w:ascii="Arial" w:cs="Arial" w:eastAsia="Arial" w:hAnsi="Arial"/>
                <w:sz w:val="16"/>
                <w:szCs w:val="16"/>
                <w:b w:val="1"/>
                <w:bCs w:val="1"/>
                <w:color w:val="FFFFFF"/>
              </w:rPr>
              <w:t>2026</w:t>
            </w:r>
          </w:p>
        </w:tc>
        <w:tc>
          <w:tcPr>
            <w:tcW w:w="500" w:type="dxa"/>
            <w:vAlign w:val="bottom"/>
            <w:shd w:val="clear" w:color="auto" w:fill="1D2758"/>
          </w:tcPr>
          <w:p>
            <w:pPr>
              <w:spacing w:after="0"/>
              <w:rPr>
                <w:sz w:val="18"/>
                <w:szCs w:val="18"/>
                <w:color w:val="auto"/>
              </w:rPr>
            </w:pPr>
          </w:p>
        </w:tc>
        <w:tc>
          <w:tcPr>
            <w:tcW w:w="1240" w:type="dxa"/>
            <w:vAlign w:val="bottom"/>
            <w:shd w:val="clear" w:color="auto" w:fill="1D2758"/>
          </w:tcPr>
          <w:p>
            <w:pPr>
              <w:jc w:val="right"/>
              <w:ind w:right="579"/>
              <w:spacing w:after="0"/>
              <w:rPr>
                <w:sz w:val="20"/>
                <w:szCs w:val="20"/>
                <w:color w:val="auto"/>
              </w:rPr>
            </w:pPr>
            <w:r>
              <w:rPr>
                <w:rFonts w:ascii="Arial" w:cs="Arial" w:eastAsia="Arial" w:hAnsi="Arial"/>
                <w:sz w:val="16"/>
                <w:szCs w:val="16"/>
                <w:b w:val="1"/>
                <w:bCs w:val="1"/>
                <w:color w:val="FFFFFF"/>
              </w:rPr>
              <w:t>2025</w:t>
            </w:r>
          </w:p>
        </w:tc>
      </w:tr>
      <w:tr>
        <w:trPr>
          <w:trHeight w:val="216"/>
        </w:trPr>
        <w:tc>
          <w:tcPr>
            <w:tcW w:w="778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Revenue</w:t>
            </w:r>
          </w:p>
        </w:tc>
        <w:tc>
          <w:tcPr>
            <w:tcW w:w="34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548,628</w:t>
            </w:r>
          </w:p>
        </w:tc>
        <w:tc>
          <w:tcPr>
            <w:tcW w:w="500" w:type="dxa"/>
            <w:vAlign w:val="bottom"/>
            <w:shd w:val="clear" w:color="auto" w:fill="DBDBDB"/>
          </w:tcPr>
          <w:p>
            <w:pPr>
              <w:jc w:val="right"/>
              <w:ind w:right="2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559,551</w:t>
            </w: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59"/>
              <w:spacing w:after="0"/>
              <w:rPr>
                <w:sz w:val="20"/>
                <w:szCs w:val="20"/>
                <w:color w:val="auto"/>
              </w:rPr>
            </w:pPr>
            <w:r>
              <w:rPr>
                <w:rFonts w:ascii="Arial" w:cs="Arial" w:eastAsia="Arial" w:hAnsi="Arial"/>
                <w:sz w:val="16"/>
                <w:szCs w:val="16"/>
                <w:color w:val="auto"/>
              </w:rPr>
              <w:t>28,123</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43,055</w:t>
            </w:r>
          </w:p>
        </w:tc>
      </w:tr>
      <w:tr>
        <w:trPr>
          <w:trHeight w:val="217"/>
        </w:trPr>
        <w:tc>
          <w:tcPr>
            <w:tcW w:w="778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Adjusted Net Income</w:t>
            </w:r>
          </w:p>
        </w:tc>
        <w:tc>
          <w:tcPr>
            <w:tcW w:w="34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38,847</w:t>
            </w:r>
          </w:p>
        </w:tc>
        <w:tc>
          <w:tcPr>
            <w:tcW w:w="500" w:type="dxa"/>
            <w:vAlign w:val="bottom"/>
            <w:shd w:val="clear" w:color="auto" w:fill="DBDBDB"/>
          </w:tcPr>
          <w:p>
            <w:pPr>
              <w:jc w:val="right"/>
              <w:ind w:right="2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48,658</w:t>
            </w: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59"/>
              <w:spacing w:after="0"/>
              <w:rPr>
                <w:sz w:val="20"/>
                <w:szCs w:val="20"/>
                <w:color w:val="auto"/>
              </w:rPr>
            </w:pPr>
            <w:r>
              <w:rPr>
                <w:rFonts w:ascii="Arial" w:cs="Arial" w:eastAsia="Arial" w:hAnsi="Arial"/>
                <w:sz w:val="16"/>
                <w:szCs w:val="16"/>
                <w:color w:val="auto"/>
              </w:rPr>
              <w:t>211,014</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228,785</w:t>
            </w:r>
          </w:p>
        </w:tc>
      </w:tr>
      <w:tr>
        <w:trPr>
          <w:trHeight w:val="217"/>
        </w:trPr>
        <w:tc>
          <w:tcPr>
            <w:tcW w:w="7780" w:type="dxa"/>
            <w:vAlign w:val="bottom"/>
            <w:shd w:val="clear" w:color="auto" w:fill="DBDBDB"/>
          </w:tcPr>
          <w:p>
            <w:pPr>
              <w:ind w:left="20"/>
              <w:spacing w:after="0"/>
              <w:rPr>
                <w:sz w:val="20"/>
                <w:szCs w:val="20"/>
                <w:color w:val="auto"/>
              </w:rPr>
            </w:pPr>
            <w:r>
              <w:rPr>
                <w:rFonts w:ascii="Arial" w:cs="Arial" w:eastAsia="Arial" w:hAnsi="Arial"/>
                <w:sz w:val="16"/>
                <w:szCs w:val="16"/>
                <w:color w:val="auto"/>
              </w:rPr>
              <w:t>Gross profit margin</w:t>
            </w:r>
          </w:p>
        </w:tc>
        <w:tc>
          <w:tcPr>
            <w:tcW w:w="34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52.1 %</w:t>
            </w:r>
          </w:p>
        </w:tc>
        <w:tc>
          <w:tcPr>
            <w:tcW w:w="50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53.7 %</w:t>
            </w: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Adjusted EBITDA Margin (%)</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38.5 %</w:t>
            </w:r>
          </w:p>
        </w:tc>
        <w:tc>
          <w:tcPr>
            <w:tcW w:w="5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40.9 %</w:t>
            </w:r>
          </w:p>
        </w:tc>
      </w:tr>
      <w:tr>
        <w:trPr>
          <w:trHeight w:val="217"/>
        </w:trPr>
        <w:tc>
          <w:tcPr>
            <w:tcW w:w="778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191,058</w:t>
            </w:r>
          </w:p>
        </w:tc>
        <w:tc>
          <w:tcPr>
            <w:tcW w:w="500" w:type="dxa"/>
            <w:vAlign w:val="bottom"/>
            <w:shd w:val="clear" w:color="auto" w:fill="DBDBDB"/>
          </w:tcPr>
          <w:p>
            <w:pPr>
              <w:jc w:val="right"/>
              <w:ind w:right="2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206,627</w:t>
            </w: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Adjusted Free Cash Flow</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59"/>
              <w:spacing w:after="0"/>
              <w:rPr>
                <w:sz w:val="20"/>
                <w:szCs w:val="20"/>
                <w:color w:val="auto"/>
              </w:rPr>
            </w:pPr>
            <w:r>
              <w:rPr>
                <w:rFonts w:ascii="Arial" w:cs="Arial" w:eastAsia="Arial" w:hAnsi="Arial"/>
                <w:sz w:val="16"/>
                <w:szCs w:val="16"/>
                <w:color w:val="auto"/>
              </w:rPr>
              <w:t>115,556</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144,795</w:t>
            </w:r>
          </w:p>
        </w:tc>
      </w:tr>
      <w:tr>
        <w:trPr>
          <w:trHeight w:val="217"/>
        </w:trPr>
        <w:tc>
          <w:tcPr>
            <w:tcW w:w="7780" w:type="dxa"/>
            <w:vAlign w:val="bottom"/>
            <w:shd w:val="clear" w:color="auto" w:fill="DBDBDB"/>
          </w:tcPr>
          <w:p>
            <w:pPr>
              <w:ind w:left="20"/>
              <w:spacing w:after="0"/>
              <w:rPr>
                <w:sz w:val="20"/>
                <w:szCs w:val="20"/>
                <w:color w:val="auto"/>
              </w:rPr>
            </w:pPr>
            <w:r>
              <w:rPr>
                <w:rFonts w:ascii="Arial" w:cs="Arial" w:eastAsia="Arial" w:hAnsi="Arial"/>
                <w:sz w:val="16"/>
                <w:szCs w:val="16"/>
                <w:color w:val="auto"/>
              </w:rPr>
              <w:t>Diluted earnings per share</w:t>
            </w:r>
          </w:p>
        </w:tc>
        <w:tc>
          <w:tcPr>
            <w:tcW w:w="34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0.15</w:t>
            </w:r>
          </w:p>
        </w:tc>
        <w:tc>
          <w:tcPr>
            <w:tcW w:w="500" w:type="dxa"/>
            <w:vAlign w:val="bottom"/>
            <w:shd w:val="clear" w:color="auto" w:fill="DBDBDB"/>
          </w:tcPr>
          <w:p>
            <w:pPr>
              <w:jc w:val="right"/>
              <w:ind w:right="2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0.23</w:t>
            </w: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Adjusted Diluted Earnings Per Share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59"/>
              <w:spacing w:after="0"/>
              <w:rPr>
                <w:sz w:val="20"/>
                <w:szCs w:val="20"/>
                <w:color w:val="auto"/>
              </w:rPr>
            </w:pPr>
            <w:r>
              <w:rPr>
                <w:rFonts w:ascii="Arial" w:cs="Arial" w:eastAsia="Arial" w:hAnsi="Arial"/>
                <w:sz w:val="16"/>
                <w:szCs w:val="16"/>
                <w:color w:val="auto"/>
              </w:rPr>
              <w:t>0.21</w:t>
            </w:r>
          </w:p>
        </w:tc>
        <w:tc>
          <w:tcPr>
            <w:tcW w:w="5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0.26</w:t>
            </w:r>
          </w:p>
        </w:tc>
      </w:tr>
      <w:tr>
        <w:trPr>
          <w:trHeight w:val="217"/>
        </w:trPr>
        <w:tc>
          <w:tcPr>
            <w:tcW w:w="7780" w:type="dxa"/>
            <w:vAlign w:val="bottom"/>
            <w:shd w:val="clear" w:color="auto" w:fill="DBDBDB"/>
          </w:tcPr>
          <w:p>
            <w:pPr>
              <w:ind w:left="20"/>
              <w:spacing w:after="0"/>
              <w:rPr>
                <w:sz w:val="20"/>
                <w:szCs w:val="20"/>
                <w:color w:val="auto"/>
              </w:rPr>
            </w:pPr>
            <w:r>
              <w:rPr>
                <w:rFonts w:ascii="Arial" w:cs="Arial" w:eastAsia="Arial" w:hAnsi="Arial"/>
                <w:sz w:val="16"/>
                <w:szCs w:val="16"/>
                <w:color w:val="auto"/>
              </w:rPr>
              <w:t>Weighted average diluted shares outstanding</w:t>
            </w:r>
          </w:p>
        </w:tc>
        <w:tc>
          <w:tcPr>
            <w:tcW w:w="340" w:type="dxa"/>
            <w:vAlign w:val="bottom"/>
            <w:shd w:val="clear" w:color="auto" w:fill="DBDBDB"/>
          </w:tcPr>
          <w:p>
            <w:pPr>
              <w:spacing w:after="0"/>
              <w:rPr>
                <w:sz w:val="18"/>
                <w:szCs w:val="18"/>
                <w:color w:val="auto"/>
              </w:rPr>
            </w:pPr>
          </w:p>
        </w:tc>
        <w:tc>
          <w:tcPr>
            <w:tcW w:w="138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rPr>
              <w:t>181,463,605</w:t>
            </w:r>
          </w:p>
        </w:tc>
        <w:tc>
          <w:tcPr>
            <w:tcW w:w="500" w:type="dxa"/>
            <w:vAlign w:val="bottom"/>
            <w:shd w:val="clear" w:color="auto" w:fill="DBDBDB"/>
          </w:tcPr>
          <w:p>
            <w:pPr>
              <w:spacing w:after="0"/>
              <w:rPr>
                <w:sz w:val="18"/>
                <w:szCs w:val="18"/>
                <w:color w:val="auto"/>
              </w:rPr>
            </w:pPr>
          </w:p>
        </w:tc>
        <w:tc>
          <w:tcPr>
            <w:tcW w:w="124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185,301,787</w:t>
            </w: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Adjusted weighted average diluted shares outstanding</w:t>
            </w:r>
          </w:p>
        </w:tc>
        <w:tc>
          <w:tcPr>
            <w:tcW w:w="340" w:type="dxa"/>
            <w:vAlign w:val="bottom"/>
          </w:tcPr>
          <w:p>
            <w:pPr>
              <w:spacing w:after="0"/>
              <w:rPr>
                <w:sz w:val="18"/>
                <w:szCs w:val="18"/>
                <w:color w:val="auto"/>
              </w:rPr>
            </w:pPr>
          </w:p>
        </w:tc>
        <w:tc>
          <w:tcPr>
            <w:tcW w:w="1380" w:type="dxa"/>
            <w:vAlign w:val="bottom"/>
          </w:tcPr>
          <w:p>
            <w:pPr>
              <w:jc w:val="right"/>
              <w:ind w:right="159"/>
              <w:spacing w:after="0"/>
              <w:rPr>
                <w:sz w:val="20"/>
                <w:szCs w:val="20"/>
                <w:color w:val="auto"/>
              </w:rPr>
            </w:pPr>
            <w:r>
              <w:rPr>
                <w:rFonts w:ascii="Arial" w:cs="Arial" w:eastAsia="Arial" w:hAnsi="Arial"/>
                <w:sz w:val="16"/>
                <w:szCs w:val="16"/>
                <w:color w:val="auto"/>
              </w:rPr>
              <w:t>181,463,605</w:t>
            </w:r>
          </w:p>
        </w:tc>
        <w:tc>
          <w:tcPr>
            <w:tcW w:w="5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185,301,787</w:t>
            </w:r>
          </w:p>
        </w:tc>
      </w:tr>
      <w:tr>
        <w:trPr>
          <w:trHeight w:val="217"/>
        </w:trPr>
        <w:tc>
          <w:tcPr>
            <w:tcW w:w="778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cash provided by operating activities margin</w:t>
            </w:r>
          </w:p>
        </w:tc>
        <w:tc>
          <w:tcPr>
            <w:tcW w:w="34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34.8 %</w:t>
            </w:r>
          </w:p>
        </w:tc>
        <w:tc>
          <w:tcPr>
            <w:tcW w:w="50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36.9 %</w:t>
            </w: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Adjusted Free Cash Flow Margin (%)</w:t>
            </w: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21.1 %</w:t>
            </w:r>
          </w:p>
        </w:tc>
        <w:tc>
          <w:tcPr>
            <w:tcW w:w="5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25.9 %</w:t>
            </w:r>
          </w:p>
        </w:tc>
      </w:tr>
      <w:tr>
        <w:trPr>
          <w:trHeight w:val="217"/>
        </w:trPr>
        <w:tc>
          <w:tcPr>
            <w:tcW w:w="778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Return on Invested Capital</w:t>
            </w:r>
          </w:p>
        </w:tc>
        <w:tc>
          <w:tcPr>
            <w:tcW w:w="34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13.0 %</w:t>
            </w:r>
          </w:p>
        </w:tc>
        <w:tc>
          <w:tcPr>
            <w:tcW w:w="50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13.7 %</w:t>
            </w:r>
          </w:p>
        </w:tc>
      </w:tr>
    </w:tbl>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shd w:val="clear" w:color="auto" w:fill="1D2758"/>
          </w:tcPr>
          <w:p>
            <w:pPr>
              <w:spacing w:after="0"/>
              <w:rPr>
                <w:sz w:val="16"/>
                <w:szCs w:val="16"/>
                <w:color w:val="auto"/>
              </w:rPr>
            </w:pPr>
          </w:p>
        </w:tc>
        <w:tc>
          <w:tcPr>
            <w:tcW w:w="340" w:type="dxa"/>
            <w:vAlign w:val="bottom"/>
            <w:shd w:val="clear" w:color="auto" w:fill="1D2758"/>
          </w:tcPr>
          <w:p>
            <w:pPr>
              <w:spacing w:after="0"/>
              <w:rPr>
                <w:sz w:val="16"/>
                <w:szCs w:val="16"/>
                <w:color w:val="auto"/>
              </w:rPr>
            </w:pPr>
          </w:p>
        </w:tc>
        <w:tc>
          <w:tcPr>
            <w:tcW w:w="2880" w:type="dxa"/>
            <w:vAlign w:val="bottom"/>
            <w:gridSpan w:val="4"/>
            <w:shd w:val="clear" w:color="auto" w:fill="1D2758"/>
          </w:tcPr>
          <w:p>
            <w:pPr>
              <w:jc w:val="right"/>
              <w:ind w:right="739"/>
              <w:spacing w:after="0"/>
              <w:rPr>
                <w:sz w:val="20"/>
                <w:szCs w:val="20"/>
                <w:color w:val="auto"/>
              </w:rPr>
            </w:pPr>
            <w:r>
              <w:rPr>
                <w:rFonts w:ascii="Arial" w:cs="Arial" w:eastAsia="Arial" w:hAnsi="Arial"/>
                <w:sz w:val="16"/>
                <w:szCs w:val="16"/>
                <w:b w:val="1"/>
                <w:bCs w:val="1"/>
                <w:color w:val="FFFFFF"/>
              </w:rPr>
              <w:t>Three Months Ended</w:t>
            </w:r>
          </w:p>
        </w:tc>
      </w:tr>
      <w:tr>
        <w:trPr>
          <w:trHeight w:val="216"/>
        </w:trPr>
        <w:tc>
          <w:tcPr>
            <w:tcW w:w="8020" w:type="dxa"/>
            <w:vAlign w:val="bottom"/>
            <w:shd w:val="clear" w:color="auto" w:fill="1D2758"/>
          </w:tcPr>
          <w:p>
            <w:pPr>
              <w:spacing w:after="0"/>
              <w:rPr>
                <w:sz w:val="18"/>
                <w:szCs w:val="18"/>
                <w:color w:val="auto"/>
              </w:rPr>
            </w:pPr>
          </w:p>
        </w:tc>
        <w:tc>
          <w:tcPr>
            <w:tcW w:w="340" w:type="dxa"/>
            <w:vAlign w:val="bottom"/>
            <w:shd w:val="clear" w:color="auto" w:fill="1D2758"/>
          </w:tcPr>
          <w:p>
            <w:pPr>
              <w:spacing w:after="0"/>
              <w:rPr>
                <w:sz w:val="18"/>
                <w:szCs w:val="18"/>
                <w:color w:val="auto"/>
              </w:rPr>
            </w:pPr>
          </w:p>
        </w:tc>
        <w:tc>
          <w:tcPr>
            <w:tcW w:w="1780" w:type="dxa"/>
            <w:vAlign w:val="bottom"/>
            <w:gridSpan w:val="3"/>
            <w:shd w:val="clear" w:color="auto" w:fill="1D2758"/>
          </w:tcPr>
          <w:p>
            <w:pPr>
              <w:jc w:val="right"/>
              <w:ind w:right="59"/>
              <w:spacing w:after="0"/>
              <w:rPr>
                <w:sz w:val="20"/>
                <w:szCs w:val="20"/>
                <w:color w:val="auto"/>
              </w:rPr>
            </w:pPr>
            <w:r>
              <w:rPr>
                <w:rFonts w:ascii="Arial" w:cs="Arial" w:eastAsia="Arial" w:hAnsi="Arial"/>
                <w:sz w:val="16"/>
                <w:szCs w:val="16"/>
                <w:b w:val="1"/>
                <w:bCs w:val="1"/>
                <w:color w:val="FFFFFF"/>
              </w:rPr>
              <w:t>March 31,</w:t>
            </w:r>
          </w:p>
        </w:tc>
        <w:tc>
          <w:tcPr>
            <w:tcW w:w="1100" w:type="dxa"/>
            <w:vAlign w:val="bottom"/>
            <w:shd w:val="clear" w:color="auto" w:fill="1D2758"/>
          </w:tcPr>
          <w:p>
            <w:pPr>
              <w:spacing w:after="0"/>
              <w:rPr>
                <w:sz w:val="18"/>
                <w:szCs w:val="18"/>
                <w:color w:val="auto"/>
              </w:rPr>
            </w:pPr>
          </w:p>
        </w:tc>
      </w:tr>
      <w:tr>
        <w:trPr>
          <w:trHeight w:val="216"/>
        </w:trPr>
        <w:tc>
          <w:tcPr>
            <w:tcW w:w="802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40" w:type="dxa"/>
            <w:vAlign w:val="bottom"/>
            <w:shd w:val="clear" w:color="auto" w:fill="1D2758"/>
          </w:tcPr>
          <w:p>
            <w:pPr>
              <w:spacing w:after="0"/>
              <w:rPr>
                <w:sz w:val="18"/>
                <w:szCs w:val="18"/>
                <w:color w:val="auto"/>
              </w:rPr>
            </w:pPr>
          </w:p>
        </w:tc>
        <w:tc>
          <w:tcPr>
            <w:tcW w:w="1220" w:type="dxa"/>
            <w:vAlign w:val="bottom"/>
            <w:shd w:val="clear" w:color="auto" w:fill="1D2758"/>
          </w:tcPr>
          <w:p>
            <w:pPr>
              <w:jc w:val="right"/>
              <w:ind w:right="519"/>
              <w:spacing w:after="0"/>
              <w:rPr>
                <w:sz w:val="20"/>
                <w:szCs w:val="20"/>
                <w:color w:val="auto"/>
              </w:rPr>
            </w:pPr>
            <w:r>
              <w:rPr>
                <w:rFonts w:ascii="Arial" w:cs="Arial" w:eastAsia="Arial" w:hAnsi="Arial"/>
                <w:sz w:val="16"/>
                <w:szCs w:val="16"/>
                <w:b w:val="1"/>
                <w:bCs w:val="1"/>
                <w:color w:val="FFFFFF"/>
              </w:rPr>
              <w:t>2026</w:t>
            </w:r>
          </w:p>
        </w:tc>
        <w:tc>
          <w:tcPr>
            <w:tcW w:w="100" w:type="dxa"/>
            <w:vAlign w:val="bottom"/>
            <w:shd w:val="clear" w:color="auto" w:fill="1D2758"/>
          </w:tcPr>
          <w:p>
            <w:pPr>
              <w:spacing w:after="0"/>
              <w:rPr>
                <w:sz w:val="18"/>
                <w:szCs w:val="18"/>
                <w:color w:val="auto"/>
              </w:rPr>
            </w:pPr>
          </w:p>
        </w:tc>
        <w:tc>
          <w:tcPr>
            <w:tcW w:w="460" w:type="dxa"/>
            <w:vAlign w:val="bottom"/>
            <w:shd w:val="clear" w:color="auto" w:fill="1D2758"/>
          </w:tcPr>
          <w:p>
            <w:pPr>
              <w:spacing w:after="0"/>
              <w:rPr>
                <w:sz w:val="18"/>
                <w:szCs w:val="18"/>
                <w:color w:val="auto"/>
              </w:rPr>
            </w:pPr>
          </w:p>
        </w:tc>
        <w:tc>
          <w:tcPr>
            <w:tcW w:w="1100" w:type="dxa"/>
            <w:vAlign w:val="bottom"/>
            <w:shd w:val="clear" w:color="auto" w:fill="1D2758"/>
          </w:tcPr>
          <w:p>
            <w:pPr>
              <w:jc w:val="right"/>
              <w:ind w:right="519"/>
              <w:spacing w:after="0"/>
              <w:rPr>
                <w:sz w:val="20"/>
                <w:szCs w:val="20"/>
                <w:color w:val="auto"/>
              </w:rPr>
            </w:pPr>
            <w:r>
              <w:rPr>
                <w:rFonts w:ascii="Arial" w:cs="Arial" w:eastAsia="Arial" w:hAnsi="Arial"/>
                <w:sz w:val="16"/>
                <w:szCs w:val="16"/>
                <w:b w:val="1"/>
                <w:bCs w:val="1"/>
                <w:color w:val="FFFFFF"/>
              </w:rPr>
              <w:t>2025</w:t>
            </w:r>
          </w:p>
        </w:tc>
      </w:tr>
      <w:tr>
        <w:trPr>
          <w:trHeight w:val="216"/>
        </w:trPr>
        <w:tc>
          <w:tcPr>
            <w:tcW w:w="8020" w:type="dxa"/>
            <w:vAlign w:val="bottom"/>
            <w:shd w:val="clear" w:color="auto" w:fill="DDDDDD"/>
          </w:tcPr>
          <w:p>
            <w:pPr>
              <w:ind w:left="20"/>
              <w:spacing w:after="0" w:line="216" w:lineRule="exact"/>
              <w:rPr>
                <w:sz w:val="20"/>
                <w:szCs w:val="20"/>
                <w:color w:val="auto"/>
              </w:rPr>
            </w:pPr>
            <w:r>
              <w:rPr>
                <w:rFonts w:ascii="Arial" w:cs="Arial" w:eastAsia="Arial" w:hAnsi="Arial"/>
                <w:sz w:val="16"/>
                <w:szCs w:val="16"/>
                <w:color w:val="auto"/>
              </w:rPr>
              <w:t>Modular space leasing revenue</w:t>
            </w:r>
            <w:r>
              <w:rPr>
                <w:rFonts w:ascii="Arial" w:cs="Arial" w:eastAsia="Arial" w:hAnsi="Arial"/>
                <w:sz w:val="21"/>
                <w:szCs w:val="21"/>
                <w:color w:val="auto"/>
                <w:vertAlign w:val="superscript"/>
              </w:rPr>
              <w:t>(a)</w:t>
            </w:r>
          </w:p>
        </w:tc>
        <w:tc>
          <w:tcPr>
            <w:tcW w:w="340" w:type="dxa"/>
            <w:vAlign w:val="bottom"/>
            <w:shd w:val="clear" w:color="auto" w:fill="DDDDDD"/>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DDDDDD"/>
          </w:tcPr>
          <w:p>
            <w:pPr>
              <w:jc w:val="right"/>
              <w:spacing w:after="0"/>
              <w:rPr>
                <w:sz w:val="20"/>
                <w:szCs w:val="20"/>
                <w:color w:val="auto"/>
              </w:rPr>
            </w:pPr>
            <w:r>
              <w:rPr>
                <w:rFonts w:ascii="Arial" w:cs="Arial" w:eastAsia="Arial" w:hAnsi="Arial"/>
                <w:sz w:val="16"/>
                <w:szCs w:val="16"/>
                <w:color w:val="auto"/>
              </w:rPr>
              <w:t>243,761</w:t>
            </w:r>
          </w:p>
        </w:tc>
        <w:tc>
          <w:tcPr>
            <w:tcW w:w="100" w:type="dxa"/>
            <w:vAlign w:val="bottom"/>
            <w:shd w:val="clear" w:color="auto" w:fill="DDDDDD"/>
          </w:tcPr>
          <w:p>
            <w:pPr>
              <w:spacing w:after="0"/>
              <w:rPr>
                <w:sz w:val="18"/>
                <w:szCs w:val="18"/>
                <w:color w:val="auto"/>
              </w:rPr>
            </w:pPr>
          </w:p>
        </w:tc>
        <w:tc>
          <w:tcPr>
            <w:tcW w:w="460" w:type="dxa"/>
            <w:vAlign w:val="bottom"/>
            <w:shd w:val="clear" w:color="auto" w:fill="DDDDDD"/>
          </w:tcPr>
          <w:p>
            <w:pPr>
              <w:jc w:val="right"/>
              <w:ind w:right="2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DDDDDD"/>
          </w:tcPr>
          <w:p>
            <w:pPr>
              <w:jc w:val="right"/>
              <w:spacing w:after="0"/>
              <w:rPr>
                <w:sz w:val="20"/>
                <w:szCs w:val="20"/>
                <w:color w:val="auto"/>
              </w:rPr>
            </w:pPr>
            <w:r>
              <w:rPr>
                <w:rFonts w:ascii="Arial" w:cs="Arial" w:eastAsia="Arial" w:hAnsi="Arial"/>
                <w:sz w:val="16"/>
                <w:szCs w:val="16"/>
                <w:color w:val="auto"/>
              </w:rPr>
              <w:t>245,864</w:t>
            </w:r>
          </w:p>
        </w:tc>
      </w:tr>
      <w:tr>
        <w:trPr>
          <w:trHeight w:val="215"/>
        </w:trPr>
        <w:tc>
          <w:tcPr>
            <w:tcW w:w="8020" w:type="dxa"/>
            <w:vAlign w:val="bottom"/>
          </w:tcPr>
          <w:p>
            <w:pPr>
              <w:ind w:left="20"/>
              <w:spacing w:after="0"/>
              <w:rPr>
                <w:sz w:val="20"/>
                <w:szCs w:val="20"/>
                <w:color w:val="auto"/>
              </w:rPr>
            </w:pPr>
            <w:r>
              <w:rPr>
                <w:rFonts w:ascii="Arial" w:cs="Arial" w:eastAsia="Arial" w:hAnsi="Arial"/>
                <w:sz w:val="16"/>
                <w:szCs w:val="16"/>
                <w:color w:val="auto"/>
              </w:rPr>
              <w:t>Portable storage leasing revenue</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72,523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77,035</w:t>
            </w:r>
          </w:p>
        </w:tc>
      </w:tr>
      <w:tr>
        <w:trPr>
          <w:trHeight w:val="217"/>
        </w:trPr>
        <w:tc>
          <w:tcPr>
            <w:tcW w:w="8020" w:type="dxa"/>
            <w:vAlign w:val="bottom"/>
            <w:shd w:val="clear" w:color="auto" w:fill="DDDDDD"/>
          </w:tcPr>
          <w:p>
            <w:pPr>
              <w:ind w:left="20"/>
              <w:spacing w:after="0" w:line="217" w:lineRule="exact"/>
              <w:rPr>
                <w:sz w:val="20"/>
                <w:szCs w:val="20"/>
                <w:color w:val="auto"/>
              </w:rPr>
            </w:pPr>
            <w:r>
              <w:rPr>
                <w:rFonts w:ascii="Arial" w:cs="Arial" w:eastAsia="Arial" w:hAnsi="Arial"/>
                <w:sz w:val="16"/>
                <w:szCs w:val="16"/>
                <w:color w:val="auto"/>
              </w:rPr>
              <w:t>VAPS and third-party leasing revenues</w:t>
            </w:r>
            <w:r>
              <w:rPr>
                <w:rFonts w:ascii="Arial" w:cs="Arial" w:eastAsia="Arial" w:hAnsi="Arial"/>
                <w:sz w:val="21"/>
                <w:szCs w:val="21"/>
                <w:color w:val="auto"/>
                <w:vertAlign w:val="superscript"/>
              </w:rPr>
              <w:t>(b)</w:t>
            </w:r>
          </w:p>
        </w:tc>
        <w:tc>
          <w:tcPr>
            <w:tcW w:w="340" w:type="dxa"/>
            <w:vAlign w:val="bottom"/>
            <w:shd w:val="clear" w:color="auto" w:fill="DDDDDD"/>
          </w:tcPr>
          <w:p>
            <w:pPr>
              <w:spacing w:after="0"/>
              <w:rPr>
                <w:sz w:val="18"/>
                <w:szCs w:val="18"/>
                <w:color w:val="auto"/>
              </w:rPr>
            </w:pPr>
          </w:p>
        </w:tc>
        <w:tc>
          <w:tcPr>
            <w:tcW w:w="1220" w:type="dxa"/>
            <w:vAlign w:val="bottom"/>
            <w:shd w:val="clear" w:color="auto" w:fill="DDDDDD"/>
          </w:tcPr>
          <w:p>
            <w:pPr>
              <w:jc w:val="right"/>
              <w:spacing w:after="0"/>
              <w:rPr>
                <w:sz w:val="20"/>
                <w:szCs w:val="20"/>
                <w:color w:val="auto"/>
              </w:rPr>
            </w:pPr>
            <w:r>
              <w:rPr>
                <w:rFonts w:ascii="Arial" w:cs="Arial" w:eastAsia="Arial" w:hAnsi="Arial"/>
                <w:sz w:val="16"/>
                <w:szCs w:val="16"/>
                <w:color w:val="auto"/>
              </w:rPr>
              <w:t>97,135</w:t>
            </w:r>
          </w:p>
        </w:tc>
        <w:tc>
          <w:tcPr>
            <w:tcW w:w="100" w:type="dxa"/>
            <w:vAlign w:val="bottom"/>
            <w:shd w:val="clear" w:color="auto" w:fill="DDDDDD"/>
          </w:tcPr>
          <w:p>
            <w:pPr>
              <w:spacing w:after="0"/>
              <w:rPr>
                <w:sz w:val="18"/>
                <w:szCs w:val="18"/>
                <w:color w:val="auto"/>
              </w:rPr>
            </w:pPr>
          </w:p>
        </w:tc>
        <w:tc>
          <w:tcPr>
            <w:tcW w:w="460" w:type="dxa"/>
            <w:vAlign w:val="bottom"/>
            <w:shd w:val="clear" w:color="auto" w:fill="DDDDDD"/>
          </w:tcPr>
          <w:p>
            <w:pPr>
              <w:spacing w:after="0"/>
              <w:rPr>
                <w:sz w:val="18"/>
                <w:szCs w:val="18"/>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6"/>
                <w:szCs w:val="16"/>
                <w:color w:val="auto"/>
              </w:rPr>
              <w:t>96,339</w:t>
            </w:r>
          </w:p>
        </w:tc>
      </w:tr>
      <w:tr>
        <w:trPr>
          <w:trHeight w:val="216"/>
        </w:trPr>
        <w:tc>
          <w:tcPr>
            <w:tcW w:w="8020" w:type="dxa"/>
            <w:vAlign w:val="bottom"/>
            <w:tcBorders>
              <w:bottom w:val="single" w:sz="8" w:color="DDDDDD"/>
            </w:tcBorders>
          </w:tcPr>
          <w:p>
            <w:pPr>
              <w:ind w:left="20"/>
              <w:spacing w:after="0" w:line="216" w:lineRule="exact"/>
              <w:rPr>
                <w:sz w:val="20"/>
                <w:szCs w:val="20"/>
                <w:color w:val="auto"/>
              </w:rPr>
            </w:pPr>
            <w:r>
              <w:rPr>
                <w:rFonts w:ascii="Arial" w:cs="Arial" w:eastAsia="Arial" w:hAnsi="Arial"/>
                <w:sz w:val="16"/>
                <w:szCs w:val="16"/>
                <w:color w:val="auto"/>
              </w:rPr>
              <w:t>Other leasing-related revenue</w:t>
            </w:r>
            <w:r>
              <w:rPr>
                <w:rFonts w:ascii="Arial" w:cs="Arial" w:eastAsia="Arial" w:hAnsi="Arial"/>
                <w:sz w:val="21"/>
                <w:szCs w:val="21"/>
                <w:color w:val="auto"/>
                <w:vertAlign w:val="superscript"/>
              </w:rPr>
              <w:t>(c)</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12,103</w:t>
            </w:r>
          </w:p>
        </w:tc>
        <w:tc>
          <w:tcPr>
            <w:tcW w:w="100" w:type="dxa"/>
            <w:vAlign w:val="bottom"/>
            <w:tcBorders>
              <w:bottom w:val="single" w:sz="8" w:color="DDDDDD"/>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15,152</w:t>
            </w:r>
          </w:p>
        </w:tc>
      </w:tr>
      <w:tr>
        <w:trPr>
          <w:trHeight w:val="209"/>
        </w:trPr>
        <w:tc>
          <w:tcPr>
            <w:tcW w:w="8020" w:type="dxa"/>
            <w:vAlign w:val="bottom"/>
            <w:shd w:val="clear" w:color="auto" w:fill="DDDDDD"/>
          </w:tcPr>
          <w:p>
            <w:pPr>
              <w:ind w:left="240"/>
              <w:spacing w:after="0"/>
              <w:rPr>
                <w:sz w:val="20"/>
                <w:szCs w:val="20"/>
                <w:color w:val="auto"/>
              </w:rPr>
            </w:pPr>
            <w:r>
              <w:rPr>
                <w:rFonts w:ascii="Arial" w:cs="Arial" w:eastAsia="Arial" w:hAnsi="Arial"/>
                <w:sz w:val="16"/>
                <w:szCs w:val="16"/>
                <w:color w:val="auto"/>
              </w:rPr>
              <w:t>Leasing revenue</w:t>
            </w:r>
          </w:p>
        </w:tc>
        <w:tc>
          <w:tcPr>
            <w:tcW w:w="340" w:type="dxa"/>
            <w:vAlign w:val="bottom"/>
            <w:shd w:val="clear" w:color="auto" w:fill="DDDDDD"/>
          </w:tcPr>
          <w:p>
            <w:pPr>
              <w:spacing w:after="0"/>
              <w:rPr>
                <w:sz w:val="18"/>
                <w:szCs w:val="18"/>
                <w:color w:val="auto"/>
              </w:rPr>
            </w:pPr>
          </w:p>
        </w:tc>
        <w:tc>
          <w:tcPr>
            <w:tcW w:w="1220" w:type="dxa"/>
            <w:vAlign w:val="bottom"/>
            <w:shd w:val="clear" w:color="auto" w:fill="DDDDDD"/>
          </w:tcPr>
          <w:p>
            <w:pPr>
              <w:jc w:val="right"/>
              <w:spacing w:after="0"/>
              <w:rPr>
                <w:sz w:val="20"/>
                <w:szCs w:val="20"/>
                <w:color w:val="auto"/>
              </w:rPr>
            </w:pPr>
            <w:r>
              <w:rPr>
                <w:rFonts w:ascii="Arial" w:cs="Arial" w:eastAsia="Arial" w:hAnsi="Arial"/>
                <w:sz w:val="16"/>
                <w:szCs w:val="16"/>
                <w:color w:val="auto"/>
              </w:rPr>
              <w:t>425,522</w:t>
            </w:r>
          </w:p>
        </w:tc>
        <w:tc>
          <w:tcPr>
            <w:tcW w:w="100" w:type="dxa"/>
            <w:vAlign w:val="bottom"/>
            <w:shd w:val="clear" w:color="auto" w:fill="DDDDDD"/>
          </w:tcPr>
          <w:p>
            <w:pPr>
              <w:spacing w:after="0"/>
              <w:rPr>
                <w:sz w:val="18"/>
                <w:szCs w:val="18"/>
                <w:color w:val="auto"/>
              </w:rPr>
            </w:pPr>
          </w:p>
        </w:tc>
        <w:tc>
          <w:tcPr>
            <w:tcW w:w="460" w:type="dxa"/>
            <w:vAlign w:val="bottom"/>
            <w:shd w:val="clear" w:color="auto" w:fill="DDDDDD"/>
          </w:tcPr>
          <w:p>
            <w:pPr>
              <w:spacing w:after="0"/>
              <w:rPr>
                <w:sz w:val="18"/>
                <w:szCs w:val="18"/>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6"/>
                <w:szCs w:val="16"/>
                <w:color w:val="auto"/>
              </w:rPr>
              <w:t>434,390</w:t>
            </w:r>
          </w:p>
        </w:tc>
      </w:tr>
      <w:tr>
        <w:trPr>
          <w:trHeight w:val="215"/>
        </w:trPr>
        <w:tc>
          <w:tcPr>
            <w:tcW w:w="8020" w:type="dxa"/>
            <w:vAlign w:val="bottom"/>
            <w:tcBorders>
              <w:bottom w:val="single" w:sz="8" w:color="DDDDDD"/>
            </w:tcBorders>
          </w:tcPr>
          <w:p>
            <w:pPr>
              <w:ind w:left="20"/>
              <w:spacing w:after="0"/>
              <w:rPr>
                <w:sz w:val="20"/>
                <w:szCs w:val="20"/>
                <w:color w:val="auto"/>
              </w:rPr>
            </w:pPr>
            <w:r>
              <w:rPr>
                <w:rFonts w:ascii="Arial" w:cs="Arial" w:eastAsia="Arial" w:hAnsi="Arial"/>
                <w:sz w:val="16"/>
                <w:szCs w:val="16"/>
                <w:color w:val="auto"/>
              </w:rPr>
              <w:t>Delivery and installation revenue</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99,522</w:t>
            </w:r>
          </w:p>
        </w:tc>
        <w:tc>
          <w:tcPr>
            <w:tcW w:w="100" w:type="dxa"/>
            <w:vAlign w:val="bottom"/>
            <w:tcBorders>
              <w:bottom w:val="single" w:sz="8" w:color="DDDDDD"/>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88,661</w:t>
            </w:r>
          </w:p>
        </w:tc>
      </w:tr>
      <w:tr>
        <w:trPr>
          <w:trHeight w:val="210"/>
        </w:trPr>
        <w:tc>
          <w:tcPr>
            <w:tcW w:w="8020" w:type="dxa"/>
            <w:vAlign w:val="bottom"/>
            <w:shd w:val="clear" w:color="auto" w:fill="DDDDDD"/>
          </w:tcPr>
          <w:p>
            <w:pPr>
              <w:ind w:left="240"/>
              <w:spacing w:after="0"/>
              <w:rPr>
                <w:sz w:val="20"/>
                <w:szCs w:val="20"/>
                <w:color w:val="auto"/>
              </w:rPr>
            </w:pPr>
            <w:r>
              <w:rPr>
                <w:rFonts w:ascii="Arial" w:cs="Arial" w:eastAsia="Arial" w:hAnsi="Arial"/>
                <w:sz w:val="16"/>
                <w:szCs w:val="16"/>
                <w:color w:val="auto"/>
              </w:rPr>
              <w:t>Total leasing and services revenue</w:t>
            </w:r>
          </w:p>
        </w:tc>
        <w:tc>
          <w:tcPr>
            <w:tcW w:w="340" w:type="dxa"/>
            <w:vAlign w:val="bottom"/>
            <w:shd w:val="clear" w:color="auto" w:fill="DDDDDD"/>
          </w:tcPr>
          <w:p>
            <w:pPr>
              <w:spacing w:after="0"/>
              <w:rPr>
                <w:sz w:val="18"/>
                <w:szCs w:val="18"/>
                <w:color w:val="auto"/>
              </w:rPr>
            </w:pPr>
          </w:p>
        </w:tc>
        <w:tc>
          <w:tcPr>
            <w:tcW w:w="1220" w:type="dxa"/>
            <w:vAlign w:val="bottom"/>
            <w:shd w:val="clear" w:color="auto" w:fill="DDDDDD"/>
          </w:tcPr>
          <w:p>
            <w:pPr>
              <w:jc w:val="right"/>
              <w:spacing w:after="0"/>
              <w:rPr>
                <w:sz w:val="20"/>
                <w:szCs w:val="20"/>
                <w:color w:val="auto"/>
              </w:rPr>
            </w:pPr>
            <w:r>
              <w:rPr>
                <w:rFonts w:ascii="Arial" w:cs="Arial" w:eastAsia="Arial" w:hAnsi="Arial"/>
                <w:sz w:val="16"/>
                <w:szCs w:val="16"/>
                <w:color w:val="auto"/>
              </w:rPr>
              <w:t>525,044</w:t>
            </w:r>
          </w:p>
        </w:tc>
        <w:tc>
          <w:tcPr>
            <w:tcW w:w="100" w:type="dxa"/>
            <w:vAlign w:val="bottom"/>
            <w:shd w:val="clear" w:color="auto" w:fill="DDDDDD"/>
          </w:tcPr>
          <w:p>
            <w:pPr>
              <w:spacing w:after="0"/>
              <w:rPr>
                <w:sz w:val="18"/>
                <w:szCs w:val="18"/>
                <w:color w:val="auto"/>
              </w:rPr>
            </w:pPr>
          </w:p>
        </w:tc>
        <w:tc>
          <w:tcPr>
            <w:tcW w:w="460" w:type="dxa"/>
            <w:vAlign w:val="bottom"/>
            <w:shd w:val="clear" w:color="auto" w:fill="DDDDDD"/>
          </w:tcPr>
          <w:p>
            <w:pPr>
              <w:spacing w:after="0"/>
              <w:rPr>
                <w:sz w:val="18"/>
                <w:szCs w:val="18"/>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6"/>
                <w:szCs w:val="16"/>
                <w:color w:val="auto"/>
              </w:rPr>
              <w:t>523,051</w:t>
            </w:r>
          </w:p>
        </w:tc>
      </w:tr>
      <w:tr>
        <w:trPr>
          <w:trHeight w:val="215"/>
        </w:trPr>
        <w:tc>
          <w:tcPr>
            <w:tcW w:w="8020" w:type="dxa"/>
            <w:vAlign w:val="bottom"/>
          </w:tcPr>
          <w:p>
            <w:pPr>
              <w:ind w:left="20"/>
              <w:spacing w:after="0"/>
              <w:rPr>
                <w:sz w:val="20"/>
                <w:szCs w:val="20"/>
                <w:color w:val="auto"/>
              </w:rPr>
            </w:pPr>
            <w:r>
              <w:rPr>
                <w:rFonts w:ascii="Arial" w:cs="Arial" w:eastAsia="Arial" w:hAnsi="Arial"/>
                <w:sz w:val="16"/>
                <w:szCs w:val="16"/>
                <w:color w:val="auto"/>
              </w:rPr>
              <w:t>New unit sales revenue</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8,994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22,437</w:t>
            </w:r>
          </w:p>
        </w:tc>
      </w:tr>
      <w:tr>
        <w:trPr>
          <w:trHeight w:val="216"/>
        </w:trPr>
        <w:tc>
          <w:tcPr>
            <w:tcW w:w="8020" w:type="dxa"/>
            <w:vAlign w:val="bottom"/>
            <w:shd w:val="clear" w:color="auto" w:fill="DDDDDD"/>
          </w:tcPr>
          <w:p>
            <w:pPr>
              <w:ind w:left="20"/>
              <w:spacing w:after="0"/>
              <w:rPr>
                <w:sz w:val="20"/>
                <w:szCs w:val="20"/>
                <w:color w:val="auto"/>
              </w:rPr>
            </w:pPr>
            <w:r>
              <w:rPr>
                <w:rFonts w:ascii="Arial" w:cs="Arial" w:eastAsia="Arial" w:hAnsi="Arial"/>
                <w:sz w:val="16"/>
                <w:szCs w:val="16"/>
                <w:color w:val="auto"/>
              </w:rPr>
              <w:t>Rental unit sales revenue</w:t>
            </w:r>
          </w:p>
        </w:tc>
        <w:tc>
          <w:tcPr>
            <w:tcW w:w="340" w:type="dxa"/>
            <w:vAlign w:val="bottom"/>
            <w:tcBorders>
              <w:bottom w:val="single" w:sz="8" w:color="auto"/>
            </w:tcBorders>
            <w:shd w:val="clear" w:color="auto" w:fill="DDDDDD"/>
          </w:tcPr>
          <w:p>
            <w:pPr>
              <w:spacing w:after="0"/>
              <w:rPr>
                <w:sz w:val="18"/>
                <w:szCs w:val="18"/>
                <w:color w:val="auto"/>
              </w:rPr>
            </w:pPr>
          </w:p>
        </w:tc>
        <w:tc>
          <w:tcPr>
            <w:tcW w:w="12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auto"/>
              </w:rPr>
              <w:t>14,590</w:t>
            </w:r>
          </w:p>
        </w:tc>
        <w:tc>
          <w:tcPr>
            <w:tcW w:w="100" w:type="dxa"/>
            <w:vAlign w:val="bottom"/>
            <w:shd w:val="clear" w:color="auto" w:fill="DDDDDD"/>
          </w:tcPr>
          <w:p>
            <w:pPr>
              <w:spacing w:after="0"/>
              <w:rPr>
                <w:sz w:val="18"/>
                <w:szCs w:val="18"/>
                <w:color w:val="auto"/>
              </w:rPr>
            </w:pPr>
          </w:p>
        </w:tc>
        <w:tc>
          <w:tcPr>
            <w:tcW w:w="460" w:type="dxa"/>
            <w:vAlign w:val="bottom"/>
            <w:tcBorders>
              <w:bottom w:val="single" w:sz="8" w:color="auto"/>
            </w:tcBorders>
            <w:shd w:val="clear" w:color="auto" w:fill="DDDDDD"/>
          </w:tcPr>
          <w:p>
            <w:pPr>
              <w:spacing w:after="0"/>
              <w:rPr>
                <w:sz w:val="18"/>
                <w:szCs w:val="18"/>
                <w:color w:val="auto"/>
              </w:rPr>
            </w:pPr>
          </w:p>
        </w:tc>
        <w:tc>
          <w:tcPr>
            <w:tcW w:w="11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6"/>
                <w:szCs w:val="16"/>
                <w:color w:val="auto"/>
              </w:rPr>
              <w:t>14,063</w:t>
            </w:r>
          </w:p>
        </w:tc>
      </w:tr>
      <w:tr>
        <w:trPr>
          <w:trHeight w:val="210"/>
        </w:trPr>
        <w:tc>
          <w:tcPr>
            <w:tcW w:w="8020" w:type="dxa"/>
            <w:vAlign w:val="bottom"/>
          </w:tcPr>
          <w:p>
            <w:pPr>
              <w:ind w:left="360"/>
              <w:spacing w:after="0"/>
              <w:rPr>
                <w:sz w:val="20"/>
                <w:szCs w:val="20"/>
                <w:color w:val="auto"/>
              </w:rPr>
            </w:pPr>
            <w:r>
              <w:rPr>
                <w:rFonts w:ascii="Arial" w:cs="Arial" w:eastAsia="Arial" w:hAnsi="Arial"/>
                <w:sz w:val="16"/>
                <w:szCs w:val="16"/>
                <w:color w:val="auto"/>
              </w:rPr>
              <w:t>Total revenues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548,628</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559,551</w:t>
            </w:r>
          </w:p>
        </w:tc>
      </w:tr>
      <w:tr>
        <w:trPr>
          <w:trHeight w:val="20"/>
        </w:trPr>
        <w:tc>
          <w:tcPr>
            <w:tcW w:w="8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revenue from clearspan structures.</w:t>
      </w:r>
    </w:p>
    <w:p>
      <w:pPr>
        <w:spacing w:after="0" w:line="68" w:lineRule="exact"/>
        <w:rPr>
          <w:rFonts w:ascii="Arial" w:cs="Arial" w:eastAsia="Arial" w:hAnsi="Arial"/>
          <w:sz w:val="14"/>
          <w:szCs w:val="14"/>
          <w:color w:val="auto"/>
        </w:rPr>
      </w:pPr>
    </w:p>
    <w:p>
      <w:pPr>
        <w:ind w:left="220" w:hanging="212"/>
        <w:spacing w:after="0"/>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$10.2 million and $9.2 million of service revenue for the three months ended March 31, 2026 and 2025, respectively.</w:t>
      </w:r>
    </w:p>
    <w:p>
      <w:pPr>
        <w:spacing w:after="0" w:line="68" w:lineRule="exact"/>
        <w:rPr>
          <w:rFonts w:ascii="Arial" w:cs="Arial" w:eastAsia="Arial" w:hAnsi="Arial"/>
          <w:sz w:val="14"/>
          <w:szCs w:val="14"/>
          <w:color w:val="auto"/>
        </w:rPr>
      </w:pPr>
    </w:p>
    <w:p>
      <w:pPr>
        <w:jc w:val="both"/>
        <w:ind w:firstLine="8"/>
        <w:spacing w:after="0" w:line="305" w:lineRule="auto"/>
        <w:tabs>
          <w:tab w:leader="none" w:pos="226"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primarily damage billings, delinquent payment charges, and other processing fees associated with leasing arrangements, and is partially offset by write offs of specific uncollectible lease receivables recorded as a reduction to revenue of $13.0 million and $10.6 million, for the three months ended March 31, 2026 and 2025,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Capitalization and Liquidity Update</w:t>
      </w:r>
      <w:r>
        <w:rPr>
          <w:rFonts w:ascii="Arial" w:cs="Arial" w:eastAsia="Arial" w:hAnsi="Arial"/>
          <w:sz w:val="25"/>
          <w:szCs w:val="25"/>
          <w:b w:val="1"/>
          <w:bCs w:val="1"/>
          <w:color w:val="auto"/>
          <w:vertAlign w:val="superscript"/>
        </w:rPr>
        <w:t>1</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As of and for the three months ended March 31, 2026, except where noted:</w:t>
      </w:r>
    </w:p>
    <w:p>
      <w:pPr>
        <w:spacing w:after="0" w:line="57"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Net cash provided by operating activities was $191 million, resulting in $116 million of Adjusted Free Cash Flow after Net CAPEX investments.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42"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6"/>
          <w:szCs w:val="16"/>
          <w:color w:val="auto"/>
        </w:rPr>
        <w:t>2</w:t>
      </w:r>
    </w:p>
    <w:p>
      <w:pPr>
        <w:sectPr>
          <w:pgSz w:w="11900" w:h="16838" w:orient="portrait"/>
          <w:cols w:equalWidth="0" w:num="1">
            <w:col w:w="11240"/>
          </w:cols>
          <w:pgMar w:left="320" w:top="1421" w:right="339" w:bottom="1440" w:gutter="0" w:footer="0" w:header="0"/>
        </w:sectPr>
      </w:pPr>
    </w:p>
    <w:bookmarkStart w:id="5" w:name="page6"/>
    <w:bookmarkEnd w:id="5"/>
    <w:p>
      <w:pPr>
        <w:ind w:left="660" w:hanging="328"/>
        <w:spacing w:after="0" w:line="286"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3045460</wp:posOffset>
            </wp:positionH>
            <wp:positionV relativeFrom="page">
              <wp:posOffset>88900</wp:posOffset>
            </wp:positionV>
            <wp:extent cx="1466215" cy="4883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466215" cy="488315"/>
                    </a:xfrm>
                    <a:prstGeom prst="rect">
                      <a:avLst/>
                    </a:prstGeom>
                    <a:noFill/>
                  </pic:spPr>
                </pic:pic>
              </a:graphicData>
            </a:graphic>
          </wp:anchor>
        </w:drawing>
        <w:t>Invested $89 million of Net CAPEX, supporting both maintenance capex needs and growth in higher value products from strong ongoing large project demand.</w:t>
      </w:r>
    </w:p>
    <w:p>
      <w:pPr>
        <w:spacing w:after="0" w:line="7"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Total debt was $3,514 million and net debt was $3,499 million, representing a $76 million reduction in our total debt balance in the quarter. Our next debt maturity is in August 2028.</w:t>
      </w:r>
    </w:p>
    <w:p>
      <w:pPr>
        <w:spacing w:after="0" w:line="7"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Availability under our asset-based revolving credit facility ("ABL Facility") was approximately $1.5 billion.</w:t>
      </w:r>
    </w:p>
    <w:p>
      <w:pPr>
        <w:spacing w:after="0" w:line="59" w:lineRule="exact"/>
        <w:rPr>
          <w:rFonts w:ascii="Arial" w:cs="Arial" w:eastAsia="Arial" w:hAnsi="Arial"/>
          <w:sz w:val="16"/>
          <w:szCs w:val="16"/>
          <w:color w:val="auto"/>
        </w:rPr>
      </w:pPr>
    </w:p>
    <w:p>
      <w:pPr>
        <w:jc w:val="both"/>
        <w:ind w:left="660" w:hanging="328"/>
        <w:spacing w:after="0" w:line="265"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Weighted average pre-tax interest rate, inclusive of $1.25 billion of fixed-to-floating swaps of 1-month SOFR at 3.54%, was approximately 5.7%. Estimated annual cash interest expense based on our current debt structure and benchmark rates is approximately $202 million, or approximately $215 million inclusive of non-cash amortization of deferred financing fees. Our debt structure is approximately 90% / 10% fixed-to-floating after giving effect to the interest rate swaps.</w:t>
      </w:r>
    </w:p>
    <w:p>
      <w:pPr>
        <w:spacing w:after="0" w:line="24"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Net Debt to Adjusted EBITDA was at 3.7x based on our last 12 months Adjusted EBITDA of $953 million.</w:t>
      </w:r>
    </w:p>
    <w:p>
      <w:pPr>
        <w:spacing w:after="0" w:line="59"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Repurchased 352,900 shares of Common Stock for $7 million in the first quarter of 2026, contributing to a 1.2% reduction in our outstanding share count over the 12 months ended March 31, 2026.</w:t>
      </w:r>
    </w:p>
    <w:p>
      <w:pPr>
        <w:spacing w:after="0" w:line="7"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Paid quarterly cash dividend of $0.07 per share on March 18, 2026 to shareholders of record as of March 4, 2026.</w:t>
      </w: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2026 Full Year Outlook</w:t>
      </w:r>
      <w:r>
        <w:rPr>
          <w:rFonts w:ascii="Arial" w:cs="Arial" w:eastAsia="Arial" w:hAnsi="Arial"/>
          <w:sz w:val="25"/>
          <w:szCs w:val="25"/>
          <w:b w:val="1"/>
          <w:bCs w:val="1"/>
          <w:color w:val="auto"/>
          <w:vertAlign w:val="superscript"/>
        </w:rPr>
        <w:t>1</w:t>
      </w:r>
    </w:p>
    <w:p>
      <w:pPr>
        <w:jc w:val="both"/>
        <w:spacing w:after="0" w:line="265" w:lineRule="auto"/>
        <w:rPr>
          <w:sz w:val="20"/>
          <w:szCs w:val="20"/>
          <w:color w:val="auto"/>
        </w:rPr>
      </w:pPr>
      <w:r>
        <w:rPr>
          <w:rFonts w:ascii="Arial" w:cs="Arial" w:eastAsia="Arial" w:hAnsi="Arial"/>
          <w:sz w:val="16"/>
          <w:szCs w:val="16"/>
          <w:color w:val="auto"/>
        </w:rPr>
        <w:t>The Company raised its full year 2026 outlook provided in February 2026. This outlook uses approximate figures and is subject to risks and uncertainties, including those described in "Forward-Looking Statements" below.</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shd w:val="clear" w:color="auto" w:fill="1D2758"/>
          </w:tcPr>
          <w:p>
            <w:pPr>
              <w:ind w:left="20"/>
              <w:spacing w:after="0"/>
              <w:rPr>
                <w:sz w:val="20"/>
                <w:szCs w:val="20"/>
                <w:color w:val="auto"/>
              </w:rPr>
            </w:pPr>
            <w:r>
              <w:rPr>
                <w:rFonts w:ascii="Arial" w:cs="Arial" w:eastAsia="Arial" w:hAnsi="Arial"/>
                <w:sz w:val="16"/>
                <w:szCs w:val="16"/>
                <w:b w:val="1"/>
                <w:bCs w:val="1"/>
                <w:color w:val="FFFFFF"/>
              </w:rPr>
              <w:t>$M</w:t>
            </w:r>
          </w:p>
        </w:tc>
        <w:tc>
          <w:tcPr>
            <w:tcW w:w="3840" w:type="dxa"/>
            <w:vAlign w:val="bottom"/>
            <w:shd w:val="clear" w:color="auto" w:fill="1D2758"/>
          </w:tcPr>
          <w:p>
            <w:pPr>
              <w:ind w:left="1480"/>
              <w:spacing w:after="0"/>
              <w:rPr>
                <w:sz w:val="20"/>
                <w:szCs w:val="20"/>
                <w:color w:val="auto"/>
              </w:rPr>
            </w:pPr>
            <w:r>
              <w:rPr>
                <w:rFonts w:ascii="Arial" w:cs="Arial" w:eastAsia="Arial" w:hAnsi="Arial"/>
                <w:sz w:val="16"/>
                <w:szCs w:val="16"/>
                <w:b w:val="1"/>
                <w:bCs w:val="1"/>
                <w:color w:val="FFFFFF"/>
              </w:rPr>
              <w:t>2026 Outlook</w:t>
            </w:r>
          </w:p>
        </w:tc>
      </w:tr>
      <w:tr>
        <w:trPr>
          <w:trHeight w:val="216"/>
        </w:trPr>
        <w:tc>
          <w:tcPr>
            <w:tcW w:w="274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Revenue</w:t>
            </w:r>
          </w:p>
        </w:tc>
        <w:tc>
          <w:tcPr>
            <w:tcW w:w="3840" w:type="dxa"/>
            <w:vAlign w:val="bottom"/>
            <w:shd w:val="clear" w:color="auto" w:fill="DBDBDB"/>
          </w:tcPr>
          <w:p>
            <w:pPr>
              <w:jc w:val="center"/>
              <w:ind w:left="39"/>
              <w:spacing w:after="0"/>
              <w:rPr>
                <w:sz w:val="20"/>
                <w:szCs w:val="20"/>
                <w:color w:val="auto"/>
              </w:rPr>
            </w:pPr>
            <w:r>
              <w:rPr>
                <w:rFonts w:ascii="Arial" w:cs="Arial" w:eastAsia="Arial" w:hAnsi="Arial"/>
                <w:sz w:val="16"/>
                <w:szCs w:val="16"/>
                <w:color w:val="auto"/>
                <w:w w:val="98"/>
              </w:rPr>
              <w:t>$2,250</w:t>
            </w:r>
          </w:p>
        </w:tc>
      </w:tr>
      <w:tr>
        <w:trPr>
          <w:trHeight w:val="215"/>
        </w:trPr>
        <w:tc>
          <w:tcPr>
            <w:tcW w:w="274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3840" w:type="dxa"/>
            <w:vAlign w:val="bottom"/>
          </w:tcPr>
          <w:p>
            <w:pPr>
              <w:jc w:val="center"/>
              <w:ind w:left="39"/>
              <w:spacing w:after="0"/>
              <w:rPr>
                <w:sz w:val="20"/>
                <w:szCs w:val="20"/>
                <w:color w:val="auto"/>
              </w:rPr>
            </w:pPr>
            <w:r>
              <w:rPr>
                <w:rFonts w:ascii="Arial" w:cs="Arial" w:eastAsia="Arial" w:hAnsi="Arial"/>
                <w:sz w:val="16"/>
                <w:szCs w:val="16"/>
                <w:color w:val="auto"/>
              </w:rPr>
              <w:t>$915</w:t>
            </w:r>
          </w:p>
        </w:tc>
      </w:tr>
      <w:tr>
        <w:trPr>
          <w:trHeight w:val="217"/>
        </w:trPr>
        <w:tc>
          <w:tcPr>
            <w:tcW w:w="274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CAPEX</w:t>
            </w:r>
          </w:p>
        </w:tc>
        <w:tc>
          <w:tcPr>
            <w:tcW w:w="3840" w:type="dxa"/>
            <w:vAlign w:val="bottom"/>
            <w:shd w:val="clear" w:color="auto" w:fill="DBDBDB"/>
          </w:tcPr>
          <w:p>
            <w:pPr>
              <w:jc w:val="center"/>
              <w:ind w:left="39"/>
              <w:spacing w:after="0"/>
              <w:rPr>
                <w:sz w:val="20"/>
                <w:szCs w:val="20"/>
                <w:color w:val="auto"/>
              </w:rPr>
            </w:pPr>
            <w:r>
              <w:rPr>
                <w:rFonts w:ascii="Arial" w:cs="Arial" w:eastAsia="Arial" w:hAnsi="Arial"/>
                <w:sz w:val="16"/>
                <w:szCs w:val="16"/>
                <w:color w:val="auto"/>
              </w:rPr>
              <w:t>$325</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4"/>
          <w:szCs w:val="14"/>
          <w:i w:val="1"/>
          <w:iCs w:val="1"/>
          <w:color w:val="auto"/>
        </w:rPr>
        <w:t>1 - Adjusted EBITDA, Adjusted EBITDA Margin, Adjusted Net Income, Adjusted Diluted Earnings Per Share, Adjusted Weighted Average Diluted Shares Outstanding, Adjusted Free Cash Flow, Adjusted Free Cash Flow Margin, Net Debt, Net Debt to Adjusted EBITDA ratio, Net CAPEX and Return on Invested Capital are financial measures that are not required by, or calculated in accordance with, generally accepted accounting principles in the US ("GAAP"). Further information and reconciliations for these non-GAAP financial measures to the most directly comparable financial measure calculated in accordance with GAAP are included at the end of this press release. Information reconciling forward-looking Adjusted EBITDA and Net CAPEX to the most directly comparable GAAP financial measures is unavailable to the Company without unreasonable effort and, therefore, neither the most directly comparable GAAP financial measures nor reconciliations to the most directly comparable GAAP measures are provided.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421"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3045460</wp:posOffset>
            </wp:positionH>
            <wp:positionV relativeFrom="page">
              <wp:posOffset>88900</wp:posOffset>
            </wp:positionV>
            <wp:extent cx="1466215" cy="4883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66215" cy="488315"/>
                    </a:xfrm>
                    <a:prstGeom prst="rect">
                      <a:avLst/>
                    </a:prstGeom>
                    <a:noFill/>
                  </pic:spPr>
                </pic:pic>
              </a:graphicData>
            </a:graphic>
          </wp:anchor>
        </w:drawing>
        <w:t>Non-GAAP Financial Measures</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This press release includes non-GAAP financial measures, including Adjusted EBITDA, Adjusted EBITDA Margin, Adjusted Net Income, Adjusted Diluted Earnings Per Share, Adjusted Weighted Average Diluted Shares Outstanding, Adjusted Free Cash Flow, Adjusted Free Cash Flow Margin, Return on Invested Capital, Net CAPEX, and Net Debt to Adjusted EBITDA ratio. These non-GAAP financial measures should not be considered in isolation from, or as an alternative to, financial measures calculated in accordance with GAAP. Other companies may calculate these non-GAAP financial measures differently, and, therefore, the Company's non-GAAP financial measures may not be directly comparable to similarly-titled measures of other companies. For reconciliations of the non-GAAP financial measures used in this press release (except as explained below), see “Reconciliation of Non-GAAP Financial Measures" included in this press release.</w:t>
      </w:r>
    </w:p>
    <w:p>
      <w:pPr>
        <w:spacing w:after="0" w:line="6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Information regarding the most directly comparable GAAP financial measures and reconciling forward-looking Adjusted EBITDA and Net CAPEX to those GAAP financial measures is unavailable to the Company without unreasonable effort. We cannot provide the most comparable GAAP financial measures nor reconciliations of forward-looking Adjusted EBITDA and Net CAPEX to the most directly comparable GAAP financial measures because certain items required for such reconciliations are outside of our control and/or cannot be reasonably predicted, such as the provision for income taxes. Preparation of such reconciliations would require a forward-looking balance sheet, statement of income, and statement of cash flow, prepared in accordance with GAAP, and such forward-looking financial statements are unavailable to the Company without unreasonable effort. Although we provide outlooks for Adjusted EBITDA and Net CAPEX that we believe will be achieved, we cannot accurately predict all the components of the Adjusted EBITDA and Net CAPEX calculations. The Company provides Adjusted EBITDA and Net CAPEX guidance because we believe that Adjusted EBITDA and Net CAPEX, when viewed with our results under GAAP, provides useful information for the reasons noted below.</w:t>
      </w: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WillScot will host a conference call and webcast to discuss its first quarter and full year 2026 results and the 2026 outlook at 5:30 p.m. Eastern Time on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Thursday, May 7, 2026. To access the live call by phone, use the following link:</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https://register-conf.media-server.com/register/BI593e7eb881ea45eeac2df4c310b8e1af</w:t>
      </w:r>
    </w:p>
    <w:p>
      <w:pPr>
        <w:spacing w:after="0" w:line="26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You will be provided with dial-in details after registering. To avoid delays, we recommend that participants dial into the conference call 15 minutes ahead of the scheduled start time. A live webcast will also be accessible via the "Events &amp; Presentations" section of the Company's investor relations website: www.investors.willscot.com. Choose "Events" and select the information pertaining to the WillScot First Quarter 2026 Conference Call. Additionally, there will be slides accompanying the webcast. Please allow at least 15 minutes prior to the call to register, download and install any necessary software. For those unable to listen to the live broadcast, an audio webcast of the call will be available for 12 months on the Company’s investor relations website.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WillScot</w:t>
      </w:r>
    </w:p>
    <w:p>
      <w:pPr>
        <w:spacing w:after="0" w:line="6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WillScot (Nasdaq: WSC) is a leading provider of innovative turnkey space solutions in North America, helping customers keep projects moving and operations running. The Company partners with critical industries including construction, manufacturing, healthcare, government, energy and education to deliver the right solutions coupled with a high level of customer service. WillScot’s comprehensive portfolio of products – including modular complexes, dry and cold storage containers, blast-resistant buildings, clearspan industrial structures, fencing, and add-on furnishings and equipment – is customizable and flexible to support any project need. Headquartered in Scottsdale, Ariz., WillScot operates from a network of approximately 250 branch locations in the U.S., Canada, and Mexico.</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7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This press release contains forward-looking statements (including the guidance/outlook contained herein) within the meaning of the U.S. Private Securities Litigation Reform Act of 1995 and Section 21E of the Securities Exchange Act of 1934, as amended. The words "estimates," "expects," "anticipates," "believes," "forecasts," "plans," "intends," "may," "will," "should," "shall," "outlook," "guidance," "see," "have confidence" and variations of these words and similar expressions identify forward-looking statements, which are generally not historical in nature. Certain of these forward-looking statements include statements relating to demand for units tied to large scale projects reducing continued softness from transactional product categories, an improved lease revenue run-rate, and an inflection in year-over-year leasing revenue growth. Forward-looking statements are subject to a number of risks, uncertainties, assumptions and other important factors, many of which are outside our control, which could cause actual results or outcomes to differ materially from those discussed in or implied by the forward-looking statements. Although the Company believes that these forward-looking statements are based on reasonable assumptions, they are predictions and we can give no assurance that any such forward-looking statement will materialize. Important factors that may affect actual results or outcomes include, among others, economic conditions and changes therein, including financial market conditions and levels of end market demand, as a result of macroeconomic and geopolitical conditions, including international armed conflicts; our ability to effectively compete in the modular space and portable storage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1412" w:right="339" w:bottom="1440" w:gutter="0" w:footer="0" w:header="0"/>
        </w:sectPr>
      </w:pPr>
    </w:p>
    <w:bookmarkStart w:id="7" w:name="page8"/>
    <w:bookmarkEnd w:id="7"/>
    <w:p>
      <w:pPr>
        <w:jc w:val="both"/>
        <w:spacing w:after="0" w:line="25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3045460</wp:posOffset>
            </wp:positionH>
            <wp:positionV relativeFrom="page">
              <wp:posOffset>88900</wp:posOffset>
            </wp:positionV>
            <wp:extent cx="1466215" cy="4883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466215" cy="488315"/>
                    </a:xfrm>
                    <a:prstGeom prst="rect">
                      <a:avLst/>
                    </a:prstGeom>
                    <a:noFill/>
                  </pic:spPr>
                </pic:pic>
              </a:graphicData>
            </a:graphic>
          </wp:anchor>
        </w:drawing>
        <w:t>industries; our ability to effectively manage our credit risk, collect on our accounts receivable, or recover our rental equipment from customers; our ability to implement our Network Optimization Plan; laws and regulations governing antitrust, climate related disclosures, cybersecurity and information technology, privacy, government contracts, anti-corruption, and the environment; the actions of activist shareholders; our ability to successfully acquire and integrate new operations; risks associated with cybersecurity threats and failure of our management information systems; trade policies and changes in trade policies, including the imposition of or increases in tariffs, their enforcement, trade restrictions, and broader economic measures and their consequences; fluctuations in interest rates and commodity prices; risks associated with labor relations, labor costs and labor disruptions; changes in the competitive environment of our customers as a result of the economic climate in which they operate and/or economic or financial disruptions to their industry; our ability to adequately protect our intellectual property and other proprietary rights that are material to our business; natural disasters and other business disruptions such as pandemics; our ability to establish and maintain the appropriate physical presence in our markets; property, casualty or other losses not covered by our insurance; our ability to close our unit sales transactions; our ability to achieve our sustainability goals; operational, economic, political, and regulatory risks; effective management of our rental equipment; the effect of changes in state building codes on our ability to remarket our buildings; significant increases in the costs and restrictions on the availability of raw materials and labor; fluctuations in fuel costs or a reduction in fuel supplies; our reliance on third-party manufacturers and suppliers; impairment of our goodwill, intangible assets and indefinite-life intangible assets; our ability to use our net operating loss carryforwards and other tax attributes; our ability to recognize deferred tax assets, such as those related to tax loss carryforwards, and utilize future tax savings; unanticipated changes in tax obligations, adoption of new tax legislation, or exposure to additional income tax liabilities; our ability to access the capital and credit markets or the ability of key counterparties to perform their obligations to us; our ability to service our debt and operate our business; our ability to incur significant additional amounts of debt and avoid risks associated with substantial indebtedness; covenants that limit our operating and financial flexibility; and such other risks and uncertainties described in the periodic reports we file with the US Securities and Exchange Commission ("SEC") from time to time (including our Annual Report on Form 10-K for the year ended December 31, 2025), which are available through the SEC’s EDGAR system at www.sec.gov and on our website. Any forward-looking statement speaks only at the date on which it is made, and the Company disclaims any obligation to update or revise any forward-looking statements, whether as a result of new information, future events or otherwise, except as required by law.</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Additional information can be found on the Company's website at www.willscot.com.</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Contact Information</w:t>
      </w:r>
    </w:p>
    <w:p>
      <w:pPr>
        <w:sectPr>
          <w:pgSz w:w="11900" w:h="16838" w:orient="portrait"/>
          <w:cols w:equalWidth="0" w:num="1">
            <w:col w:w="11240"/>
          </w:cols>
          <w:pgMar w:left="320" w:top="1421" w:right="339" w:bottom="1440" w:gutter="0" w:footer="0" w:header="0"/>
        </w:sectPr>
      </w:pPr>
    </w:p>
    <w:p>
      <w:pPr>
        <w:spacing w:after="0" w:line="14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Investor Inquiries: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Charlie Wohlhuter</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investors@willscot.com</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 Inquiries: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Juliana Welling</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media@willscot.com</w:t>
      </w:r>
    </w:p>
    <w:p>
      <w:pPr>
        <w:spacing w:after="0" w:line="200" w:lineRule="exact"/>
        <w:rPr>
          <w:sz w:val="20"/>
          <w:szCs w:val="20"/>
          <w:color w:val="auto"/>
        </w:rPr>
      </w:pPr>
    </w:p>
    <w:p>
      <w:pPr>
        <w:sectPr>
          <w:pgSz w:w="11900" w:h="16838" w:orient="portrait"/>
          <w:cols w:equalWidth="0" w:num="2">
            <w:col w:w="6000" w:space="720"/>
            <w:col w:w="4520"/>
          </w:cols>
          <w:pgMar w:left="320" w:top="14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1421"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1D2758"/>
        </w:rPr>
        <w:t>WillScot Holdings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1D2758"/>
        </w:rPr>
        <w:t>Condensed Consolidated Statements of Operations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1D2758"/>
        </w:rPr>
        <w:t>(Unaudited)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shd w:val="clear" w:color="auto" w:fill="1D2758"/>
          </w:tcPr>
          <w:p>
            <w:pPr>
              <w:spacing w:after="0"/>
              <w:rPr>
                <w:sz w:val="16"/>
                <w:szCs w:val="16"/>
                <w:color w:val="auto"/>
              </w:rPr>
            </w:pPr>
          </w:p>
        </w:tc>
        <w:tc>
          <w:tcPr>
            <w:tcW w:w="340" w:type="dxa"/>
            <w:vAlign w:val="bottom"/>
            <w:shd w:val="clear" w:color="auto" w:fill="1D2758"/>
          </w:tcPr>
          <w:p>
            <w:pPr>
              <w:spacing w:after="0"/>
              <w:rPr>
                <w:sz w:val="16"/>
                <w:szCs w:val="16"/>
                <w:color w:val="auto"/>
              </w:rPr>
            </w:pPr>
          </w:p>
        </w:tc>
        <w:tc>
          <w:tcPr>
            <w:tcW w:w="2880" w:type="dxa"/>
            <w:vAlign w:val="bottom"/>
            <w:gridSpan w:val="4"/>
            <w:shd w:val="clear" w:color="auto" w:fill="1D2758"/>
          </w:tcPr>
          <w:p>
            <w:pPr>
              <w:jc w:val="right"/>
              <w:ind w:right="739"/>
              <w:spacing w:after="0"/>
              <w:rPr>
                <w:sz w:val="20"/>
                <w:szCs w:val="20"/>
                <w:color w:val="auto"/>
              </w:rPr>
            </w:pPr>
            <w:r>
              <w:rPr>
                <w:rFonts w:ascii="Arial" w:cs="Arial" w:eastAsia="Arial" w:hAnsi="Arial"/>
                <w:sz w:val="16"/>
                <w:szCs w:val="16"/>
                <w:b w:val="1"/>
                <w:bCs w:val="1"/>
                <w:color w:val="FFFFFF"/>
              </w:rPr>
              <w:t>Three Months Ended</w:t>
            </w:r>
          </w:p>
        </w:tc>
        <w:tc>
          <w:tcPr>
            <w:tcW w:w="0" w:type="dxa"/>
            <w:vAlign w:val="bottom"/>
          </w:tcPr>
          <w:p>
            <w:pPr>
              <w:spacing w:after="0"/>
              <w:rPr>
                <w:sz w:val="1"/>
                <w:szCs w:val="1"/>
                <w:color w:val="auto"/>
              </w:rPr>
            </w:pPr>
          </w:p>
        </w:tc>
      </w:tr>
      <w:tr>
        <w:trPr>
          <w:trHeight w:val="216"/>
        </w:trPr>
        <w:tc>
          <w:tcPr>
            <w:tcW w:w="802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 except share and per share data)</w:t>
            </w:r>
          </w:p>
        </w:tc>
        <w:tc>
          <w:tcPr>
            <w:tcW w:w="340" w:type="dxa"/>
            <w:vAlign w:val="bottom"/>
            <w:shd w:val="clear" w:color="auto" w:fill="1D2758"/>
          </w:tcPr>
          <w:p>
            <w:pPr>
              <w:spacing w:after="0"/>
              <w:rPr>
                <w:sz w:val="18"/>
                <w:szCs w:val="18"/>
                <w:color w:val="auto"/>
              </w:rPr>
            </w:pPr>
          </w:p>
        </w:tc>
        <w:tc>
          <w:tcPr>
            <w:tcW w:w="1780" w:type="dxa"/>
            <w:vAlign w:val="bottom"/>
            <w:gridSpan w:val="3"/>
            <w:shd w:val="clear" w:color="auto" w:fill="1D2758"/>
          </w:tcPr>
          <w:p>
            <w:pPr>
              <w:jc w:val="right"/>
              <w:ind w:right="59"/>
              <w:spacing w:after="0"/>
              <w:rPr>
                <w:sz w:val="20"/>
                <w:szCs w:val="20"/>
                <w:color w:val="auto"/>
              </w:rPr>
            </w:pPr>
            <w:r>
              <w:rPr>
                <w:rFonts w:ascii="Arial" w:cs="Arial" w:eastAsia="Arial" w:hAnsi="Arial"/>
                <w:sz w:val="16"/>
                <w:szCs w:val="16"/>
                <w:b w:val="1"/>
                <w:bCs w:val="1"/>
                <w:color w:val="FFFFFF"/>
              </w:rPr>
              <w:t>March 31,</w:t>
            </w:r>
          </w:p>
        </w:tc>
        <w:tc>
          <w:tcPr>
            <w:tcW w:w="110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20" w:type="dxa"/>
            <w:vAlign w:val="bottom"/>
            <w:vMerge w:val="continue"/>
            <w:shd w:val="clear" w:color="auto" w:fill="1D2758"/>
          </w:tcPr>
          <w:p>
            <w:pPr>
              <w:spacing w:after="0"/>
              <w:rPr>
                <w:sz w:val="19"/>
                <w:szCs w:val="19"/>
                <w:color w:val="auto"/>
              </w:rPr>
            </w:pPr>
          </w:p>
        </w:tc>
        <w:tc>
          <w:tcPr>
            <w:tcW w:w="340" w:type="dxa"/>
            <w:vAlign w:val="bottom"/>
            <w:shd w:val="clear" w:color="auto" w:fill="1D2758"/>
          </w:tcPr>
          <w:p>
            <w:pPr>
              <w:spacing w:after="0"/>
              <w:rPr>
                <w:sz w:val="19"/>
                <w:szCs w:val="19"/>
                <w:color w:val="auto"/>
              </w:rPr>
            </w:pPr>
          </w:p>
        </w:tc>
        <w:tc>
          <w:tcPr>
            <w:tcW w:w="1220" w:type="dxa"/>
            <w:vAlign w:val="bottom"/>
            <w:vMerge w:val="restart"/>
            <w:shd w:val="clear" w:color="auto" w:fill="1D2758"/>
          </w:tcPr>
          <w:p>
            <w:pPr>
              <w:jc w:val="right"/>
              <w:ind w:right="519"/>
              <w:spacing w:after="0"/>
              <w:rPr>
                <w:sz w:val="20"/>
                <w:szCs w:val="20"/>
                <w:color w:val="auto"/>
              </w:rPr>
            </w:pPr>
            <w:r>
              <w:rPr>
                <w:rFonts w:ascii="Arial" w:cs="Arial" w:eastAsia="Arial" w:hAnsi="Arial"/>
                <w:sz w:val="16"/>
                <w:szCs w:val="16"/>
                <w:b w:val="1"/>
                <w:bCs w:val="1"/>
                <w:color w:val="FFFFFF"/>
              </w:rPr>
              <w:t>2026</w:t>
            </w:r>
          </w:p>
        </w:tc>
        <w:tc>
          <w:tcPr>
            <w:tcW w:w="100" w:type="dxa"/>
            <w:vAlign w:val="bottom"/>
            <w:shd w:val="clear" w:color="auto" w:fill="1D2758"/>
          </w:tcPr>
          <w:p>
            <w:pPr>
              <w:spacing w:after="0"/>
              <w:rPr>
                <w:sz w:val="19"/>
                <w:szCs w:val="19"/>
                <w:color w:val="auto"/>
              </w:rPr>
            </w:pPr>
          </w:p>
        </w:tc>
        <w:tc>
          <w:tcPr>
            <w:tcW w:w="460" w:type="dxa"/>
            <w:vAlign w:val="bottom"/>
            <w:shd w:val="clear" w:color="auto" w:fill="1D2758"/>
          </w:tcPr>
          <w:p>
            <w:pPr>
              <w:spacing w:after="0"/>
              <w:rPr>
                <w:sz w:val="19"/>
                <w:szCs w:val="19"/>
                <w:color w:val="auto"/>
              </w:rPr>
            </w:pPr>
          </w:p>
        </w:tc>
        <w:tc>
          <w:tcPr>
            <w:tcW w:w="1100" w:type="dxa"/>
            <w:vAlign w:val="bottom"/>
            <w:vMerge w:val="restart"/>
            <w:shd w:val="clear" w:color="auto" w:fill="1D2758"/>
          </w:tcPr>
          <w:p>
            <w:pPr>
              <w:jc w:val="right"/>
              <w:ind w:right="519"/>
              <w:spacing w:after="0"/>
              <w:rPr>
                <w:sz w:val="20"/>
                <w:szCs w:val="20"/>
                <w:color w:val="auto"/>
              </w:rPr>
            </w:pPr>
            <w:r>
              <w:rPr>
                <w:rFonts w:ascii="Arial" w:cs="Arial" w:eastAsia="Arial" w:hAnsi="Arial"/>
                <w:sz w:val="16"/>
                <w:szCs w:val="16"/>
                <w:b w:val="1"/>
                <w:bCs w:val="1"/>
                <w:color w:val="FFFFFF"/>
              </w:rPr>
              <w:t>2025</w:t>
            </w:r>
          </w:p>
        </w:tc>
        <w:tc>
          <w:tcPr>
            <w:tcW w:w="0" w:type="dxa"/>
            <w:vAlign w:val="bottom"/>
          </w:tcPr>
          <w:p>
            <w:pPr>
              <w:spacing w:after="0"/>
              <w:rPr>
                <w:sz w:val="1"/>
                <w:szCs w:val="1"/>
                <w:color w:val="auto"/>
              </w:rPr>
            </w:pPr>
          </w:p>
        </w:tc>
      </w:tr>
      <w:tr>
        <w:trPr>
          <w:trHeight w:val="89"/>
        </w:trPr>
        <w:tc>
          <w:tcPr>
            <w:tcW w:w="8020" w:type="dxa"/>
            <w:vAlign w:val="bottom"/>
            <w:shd w:val="clear" w:color="auto" w:fill="1D2758"/>
          </w:tcPr>
          <w:p>
            <w:pPr>
              <w:spacing w:after="0"/>
              <w:rPr>
                <w:sz w:val="7"/>
                <w:szCs w:val="7"/>
                <w:color w:val="auto"/>
              </w:rPr>
            </w:pPr>
          </w:p>
        </w:tc>
        <w:tc>
          <w:tcPr>
            <w:tcW w:w="340" w:type="dxa"/>
            <w:vAlign w:val="bottom"/>
            <w:shd w:val="clear" w:color="auto" w:fill="1D2758"/>
          </w:tcPr>
          <w:p>
            <w:pPr>
              <w:spacing w:after="0"/>
              <w:rPr>
                <w:sz w:val="7"/>
                <w:szCs w:val="7"/>
                <w:color w:val="auto"/>
              </w:rPr>
            </w:pPr>
          </w:p>
        </w:tc>
        <w:tc>
          <w:tcPr>
            <w:tcW w:w="1220" w:type="dxa"/>
            <w:vAlign w:val="bottom"/>
            <w:vMerge w:val="continue"/>
            <w:shd w:val="clear" w:color="auto" w:fill="1D2758"/>
          </w:tcPr>
          <w:p>
            <w:pPr>
              <w:spacing w:after="0"/>
              <w:rPr>
                <w:sz w:val="7"/>
                <w:szCs w:val="7"/>
                <w:color w:val="auto"/>
              </w:rPr>
            </w:pPr>
          </w:p>
        </w:tc>
        <w:tc>
          <w:tcPr>
            <w:tcW w:w="100" w:type="dxa"/>
            <w:vAlign w:val="bottom"/>
            <w:shd w:val="clear" w:color="auto" w:fill="1D2758"/>
          </w:tcPr>
          <w:p>
            <w:pPr>
              <w:spacing w:after="0"/>
              <w:rPr>
                <w:sz w:val="7"/>
                <w:szCs w:val="7"/>
                <w:color w:val="auto"/>
              </w:rPr>
            </w:pPr>
          </w:p>
        </w:tc>
        <w:tc>
          <w:tcPr>
            <w:tcW w:w="460" w:type="dxa"/>
            <w:vAlign w:val="bottom"/>
            <w:shd w:val="clear" w:color="auto" w:fill="1D2758"/>
          </w:tcPr>
          <w:p>
            <w:pPr>
              <w:spacing w:after="0"/>
              <w:rPr>
                <w:sz w:val="7"/>
                <w:szCs w:val="7"/>
                <w:color w:val="auto"/>
              </w:rPr>
            </w:pPr>
          </w:p>
        </w:tc>
        <w:tc>
          <w:tcPr>
            <w:tcW w:w="1100" w:type="dxa"/>
            <w:vAlign w:val="bottom"/>
            <w:vMerge w:val="continue"/>
            <w:shd w:val="clear" w:color="auto" w:fill="1D2758"/>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Revenues:</w:t>
            </w:r>
          </w:p>
        </w:tc>
        <w:tc>
          <w:tcPr>
            <w:tcW w:w="34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20" w:type="dxa"/>
            <w:vAlign w:val="bottom"/>
          </w:tcPr>
          <w:p>
            <w:pPr>
              <w:ind w:left="240"/>
              <w:spacing w:after="0"/>
              <w:rPr>
                <w:sz w:val="20"/>
                <w:szCs w:val="20"/>
                <w:color w:val="auto"/>
              </w:rPr>
            </w:pPr>
            <w:r>
              <w:rPr>
                <w:rFonts w:ascii="Arial" w:cs="Arial" w:eastAsia="Arial" w:hAnsi="Arial"/>
                <w:sz w:val="16"/>
                <w:szCs w:val="16"/>
                <w:color w:val="auto"/>
              </w:rPr>
              <w:t>Leasing and services revenue:</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20" w:type="dxa"/>
            <w:vAlign w:val="bottom"/>
            <w:shd w:val="clear" w:color="auto" w:fill="DBDBDB"/>
          </w:tcPr>
          <w:p>
            <w:pPr>
              <w:ind w:left="460"/>
              <w:spacing w:after="0"/>
              <w:rPr>
                <w:sz w:val="20"/>
                <w:szCs w:val="20"/>
                <w:color w:val="auto"/>
              </w:rPr>
            </w:pPr>
            <w:r>
              <w:rPr>
                <w:rFonts w:ascii="Arial" w:cs="Arial" w:eastAsia="Arial" w:hAnsi="Arial"/>
                <w:sz w:val="16"/>
                <w:szCs w:val="16"/>
                <w:color w:val="auto"/>
              </w:rPr>
              <w:t>Leasing</w:t>
            </w:r>
          </w:p>
        </w:tc>
        <w:tc>
          <w:tcPr>
            <w:tcW w:w="34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425,522</w:t>
            </w: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jc w:val="right"/>
              <w:ind w:right="2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434,390</w:t>
            </w:r>
          </w:p>
        </w:tc>
        <w:tc>
          <w:tcPr>
            <w:tcW w:w="0" w:type="dxa"/>
            <w:vAlign w:val="bottom"/>
          </w:tcPr>
          <w:p>
            <w:pPr>
              <w:spacing w:after="0"/>
              <w:rPr>
                <w:sz w:val="1"/>
                <w:szCs w:val="1"/>
                <w:color w:val="auto"/>
              </w:rPr>
            </w:pPr>
          </w:p>
        </w:tc>
      </w:tr>
      <w:tr>
        <w:trPr>
          <w:trHeight w:val="215"/>
        </w:trPr>
        <w:tc>
          <w:tcPr>
            <w:tcW w:w="8020" w:type="dxa"/>
            <w:vAlign w:val="bottom"/>
          </w:tcPr>
          <w:p>
            <w:pPr>
              <w:ind w:left="460"/>
              <w:spacing w:after="0"/>
              <w:rPr>
                <w:sz w:val="20"/>
                <w:szCs w:val="20"/>
                <w:color w:val="auto"/>
              </w:rPr>
            </w:pPr>
            <w:r>
              <w:rPr>
                <w:rFonts w:ascii="Arial" w:cs="Arial" w:eastAsia="Arial" w:hAnsi="Arial"/>
                <w:sz w:val="16"/>
                <w:szCs w:val="16"/>
                <w:color w:val="auto"/>
              </w:rPr>
              <w:t>Delivery and installation</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99,522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88,661</w:t>
            </w:r>
          </w:p>
        </w:tc>
        <w:tc>
          <w:tcPr>
            <w:tcW w:w="0" w:type="dxa"/>
            <w:vAlign w:val="bottom"/>
          </w:tcPr>
          <w:p>
            <w:pPr>
              <w:spacing w:after="0"/>
              <w:rPr>
                <w:sz w:val="1"/>
                <w:szCs w:val="1"/>
                <w:color w:val="auto"/>
              </w:rPr>
            </w:pPr>
          </w:p>
        </w:tc>
      </w:tr>
      <w:tr>
        <w:trPr>
          <w:trHeight w:val="217"/>
        </w:trPr>
        <w:tc>
          <w:tcPr>
            <w:tcW w:w="80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Sales revenue:</w:t>
            </w:r>
          </w:p>
        </w:tc>
        <w:tc>
          <w:tcPr>
            <w:tcW w:w="34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20" w:type="dxa"/>
            <w:vAlign w:val="bottom"/>
          </w:tcPr>
          <w:p>
            <w:pPr>
              <w:ind w:left="460"/>
              <w:spacing w:after="0"/>
              <w:rPr>
                <w:sz w:val="20"/>
                <w:szCs w:val="20"/>
                <w:color w:val="auto"/>
              </w:rPr>
            </w:pPr>
            <w:r>
              <w:rPr>
                <w:rFonts w:ascii="Arial" w:cs="Arial" w:eastAsia="Arial" w:hAnsi="Arial"/>
                <w:sz w:val="16"/>
                <w:szCs w:val="16"/>
                <w:color w:val="auto"/>
              </w:rPr>
              <w:t>New units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8,994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22,437</w:t>
            </w:r>
          </w:p>
        </w:tc>
        <w:tc>
          <w:tcPr>
            <w:tcW w:w="0" w:type="dxa"/>
            <w:vAlign w:val="bottom"/>
          </w:tcPr>
          <w:p>
            <w:pPr>
              <w:spacing w:after="0"/>
              <w:rPr>
                <w:sz w:val="1"/>
                <w:szCs w:val="1"/>
                <w:color w:val="auto"/>
              </w:rPr>
            </w:pPr>
          </w:p>
        </w:tc>
      </w:tr>
      <w:tr>
        <w:trPr>
          <w:trHeight w:val="217"/>
        </w:trPr>
        <w:tc>
          <w:tcPr>
            <w:tcW w:w="8020" w:type="dxa"/>
            <w:vAlign w:val="bottom"/>
            <w:shd w:val="clear" w:color="auto" w:fill="DBDBDB"/>
          </w:tcPr>
          <w:p>
            <w:pPr>
              <w:ind w:left="460"/>
              <w:spacing w:after="0"/>
              <w:rPr>
                <w:sz w:val="20"/>
                <w:szCs w:val="20"/>
                <w:color w:val="auto"/>
              </w:rPr>
            </w:pPr>
            <w:r>
              <w:rPr>
                <w:rFonts w:ascii="Arial" w:cs="Arial" w:eastAsia="Arial" w:hAnsi="Arial"/>
                <w:sz w:val="16"/>
                <w:szCs w:val="16"/>
                <w:color w:val="auto"/>
              </w:rPr>
              <w:t>Rental units</w:t>
            </w:r>
          </w:p>
        </w:tc>
        <w:tc>
          <w:tcPr>
            <w:tcW w:w="340" w:type="dxa"/>
            <w:vAlign w:val="bottom"/>
            <w:tcBorders>
              <w:bottom w:val="single" w:sz="8" w:color="auto"/>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14,590</w:t>
            </w:r>
          </w:p>
        </w:tc>
        <w:tc>
          <w:tcPr>
            <w:tcW w:w="100" w:type="dxa"/>
            <w:vAlign w:val="bottom"/>
            <w:shd w:val="clear" w:color="auto" w:fill="DBDBDB"/>
          </w:tcPr>
          <w:p>
            <w:pPr>
              <w:spacing w:after="0"/>
              <w:rPr>
                <w:sz w:val="18"/>
                <w:szCs w:val="18"/>
                <w:color w:val="auto"/>
              </w:rPr>
            </w:pPr>
          </w:p>
        </w:tc>
        <w:tc>
          <w:tcPr>
            <w:tcW w:w="46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14,063</w:t>
            </w:r>
          </w:p>
        </w:tc>
        <w:tc>
          <w:tcPr>
            <w:tcW w:w="0" w:type="dxa"/>
            <w:vAlign w:val="bottom"/>
          </w:tcPr>
          <w:p>
            <w:pPr>
              <w:spacing w:after="0"/>
              <w:rPr>
                <w:sz w:val="1"/>
                <w:szCs w:val="1"/>
                <w:color w:val="auto"/>
              </w:rPr>
            </w:pPr>
          </w:p>
        </w:tc>
      </w:tr>
      <w:tr>
        <w:trPr>
          <w:trHeight w:val="209"/>
        </w:trPr>
        <w:tc>
          <w:tcPr>
            <w:tcW w:w="8020" w:type="dxa"/>
            <w:vAlign w:val="bottom"/>
          </w:tcPr>
          <w:p>
            <w:pPr>
              <w:ind w:left="680"/>
              <w:spacing w:after="0"/>
              <w:rPr>
                <w:sz w:val="20"/>
                <w:szCs w:val="20"/>
                <w:color w:val="auto"/>
              </w:rPr>
            </w:pPr>
            <w:r>
              <w:rPr>
                <w:rFonts w:ascii="Arial" w:cs="Arial" w:eastAsia="Arial" w:hAnsi="Arial"/>
                <w:sz w:val="16"/>
                <w:szCs w:val="16"/>
                <w:color w:val="auto"/>
              </w:rPr>
              <w:t>Total revenues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548,628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559,551</w:t>
            </w:r>
          </w:p>
        </w:tc>
        <w:tc>
          <w:tcPr>
            <w:tcW w:w="0" w:type="dxa"/>
            <w:vAlign w:val="bottom"/>
          </w:tcPr>
          <w:p>
            <w:pPr>
              <w:spacing w:after="0"/>
              <w:rPr>
                <w:sz w:val="1"/>
                <w:szCs w:val="1"/>
                <w:color w:val="auto"/>
              </w:rPr>
            </w:pPr>
          </w:p>
        </w:tc>
      </w:tr>
      <w:tr>
        <w:trPr>
          <w:trHeight w:val="217"/>
        </w:trPr>
        <w:tc>
          <w:tcPr>
            <w:tcW w:w="8020" w:type="dxa"/>
            <w:vAlign w:val="bottom"/>
            <w:shd w:val="clear" w:color="auto" w:fill="DBDBDB"/>
          </w:tcPr>
          <w:p>
            <w:pPr>
              <w:ind w:left="20"/>
              <w:spacing w:after="0"/>
              <w:rPr>
                <w:sz w:val="20"/>
                <w:szCs w:val="20"/>
                <w:color w:val="auto"/>
              </w:rPr>
            </w:pPr>
            <w:r>
              <w:rPr>
                <w:rFonts w:ascii="Arial" w:cs="Arial" w:eastAsia="Arial" w:hAnsi="Arial"/>
                <w:sz w:val="16"/>
                <w:szCs w:val="16"/>
                <w:color w:val="auto"/>
              </w:rPr>
              <w:t>Costs:</w:t>
            </w:r>
          </w:p>
        </w:tc>
        <w:tc>
          <w:tcPr>
            <w:tcW w:w="34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20" w:type="dxa"/>
            <w:vAlign w:val="bottom"/>
          </w:tcPr>
          <w:p>
            <w:pPr>
              <w:ind w:left="240"/>
              <w:spacing w:after="0"/>
              <w:rPr>
                <w:sz w:val="20"/>
                <w:szCs w:val="20"/>
                <w:color w:val="auto"/>
              </w:rPr>
            </w:pPr>
            <w:r>
              <w:rPr>
                <w:rFonts w:ascii="Arial" w:cs="Arial" w:eastAsia="Arial" w:hAnsi="Arial"/>
                <w:sz w:val="16"/>
                <w:szCs w:val="16"/>
                <w:color w:val="auto"/>
              </w:rPr>
              <w:t>Costs of leasing and services: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20" w:type="dxa"/>
            <w:vAlign w:val="bottom"/>
            <w:shd w:val="clear" w:color="auto" w:fill="DBDBDB"/>
          </w:tcPr>
          <w:p>
            <w:pPr>
              <w:ind w:left="460"/>
              <w:spacing w:after="0"/>
              <w:rPr>
                <w:sz w:val="20"/>
                <w:szCs w:val="20"/>
                <w:color w:val="auto"/>
              </w:rPr>
            </w:pPr>
            <w:r>
              <w:rPr>
                <w:rFonts w:ascii="Arial" w:cs="Arial" w:eastAsia="Arial" w:hAnsi="Arial"/>
                <w:sz w:val="16"/>
                <w:szCs w:val="16"/>
                <w:color w:val="auto"/>
              </w:rPr>
              <w:t>Leasing</w:t>
            </w:r>
          </w:p>
        </w:tc>
        <w:tc>
          <w:tcPr>
            <w:tcW w:w="34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96,027</w:t>
            </w: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88,070</w:t>
            </w:r>
          </w:p>
        </w:tc>
        <w:tc>
          <w:tcPr>
            <w:tcW w:w="0" w:type="dxa"/>
            <w:vAlign w:val="bottom"/>
          </w:tcPr>
          <w:p>
            <w:pPr>
              <w:spacing w:after="0"/>
              <w:rPr>
                <w:sz w:val="1"/>
                <w:szCs w:val="1"/>
                <w:color w:val="auto"/>
              </w:rPr>
            </w:pPr>
          </w:p>
        </w:tc>
      </w:tr>
      <w:tr>
        <w:trPr>
          <w:trHeight w:val="215"/>
        </w:trPr>
        <w:tc>
          <w:tcPr>
            <w:tcW w:w="8020" w:type="dxa"/>
            <w:vAlign w:val="bottom"/>
          </w:tcPr>
          <w:p>
            <w:pPr>
              <w:ind w:left="460"/>
              <w:spacing w:after="0"/>
              <w:rPr>
                <w:sz w:val="20"/>
                <w:szCs w:val="20"/>
                <w:color w:val="auto"/>
              </w:rPr>
            </w:pPr>
            <w:r>
              <w:rPr>
                <w:rFonts w:ascii="Arial" w:cs="Arial" w:eastAsia="Arial" w:hAnsi="Arial"/>
                <w:sz w:val="16"/>
                <w:szCs w:val="16"/>
                <w:color w:val="auto"/>
              </w:rPr>
              <w:t>Delivery and installation</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83,243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73,796</w:t>
            </w:r>
          </w:p>
        </w:tc>
        <w:tc>
          <w:tcPr>
            <w:tcW w:w="0" w:type="dxa"/>
            <w:vAlign w:val="bottom"/>
          </w:tcPr>
          <w:p>
            <w:pPr>
              <w:spacing w:after="0"/>
              <w:rPr>
                <w:sz w:val="1"/>
                <w:szCs w:val="1"/>
                <w:color w:val="auto"/>
              </w:rPr>
            </w:pPr>
          </w:p>
        </w:tc>
      </w:tr>
      <w:tr>
        <w:trPr>
          <w:trHeight w:val="217"/>
        </w:trPr>
        <w:tc>
          <w:tcPr>
            <w:tcW w:w="80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Costs of sales:</w:t>
            </w:r>
          </w:p>
        </w:tc>
        <w:tc>
          <w:tcPr>
            <w:tcW w:w="34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20" w:type="dxa"/>
            <w:vAlign w:val="bottom"/>
          </w:tcPr>
          <w:p>
            <w:pPr>
              <w:ind w:left="460"/>
              <w:spacing w:after="0"/>
              <w:rPr>
                <w:sz w:val="20"/>
                <w:szCs w:val="20"/>
                <w:color w:val="auto"/>
              </w:rPr>
            </w:pPr>
            <w:r>
              <w:rPr>
                <w:rFonts w:ascii="Arial" w:cs="Arial" w:eastAsia="Arial" w:hAnsi="Arial"/>
                <w:sz w:val="16"/>
                <w:szCs w:val="16"/>
                <w:color w:val="auto"/>
              </w:rPr>
              <w:t>New units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6,218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15,198</w:t>
            </w:r>
          </w:p>
        </w:tc>
        <w:tc>
          <w:tcPr>
            <w:tcW w:w="0" w:type="dxa"/>
            <w:vAlign w:val="bottom"/>
          </w:tcPr>
          <w:p>
            <w:pPr>
              <w:spacing w:after="0"/>
              <w:rPr>
                <w:sz w:val="1"/>
                <w:szCs w:val="1"/>
                <w:color w:val="auto"/>
              </w:rPr>
            </w:pPr>
          </w:p>
        </w:tc>
      </w:tr>
      <w:tr>
        <w:trPr>
          <w:trHeight w:val="217"/>
        </w:trPr>
        <w:tc>
          <w:tcPr>
            <w:tcW w:w="8020" w:type="dxa"/>
            <w:vAlign w:val="bottom"/>
            <w:shd w:val="clear" w:color="auto" w:fill="DBDBDB"/>
          </w:tcPr>
          <w:p>
            <w:pPr>
              <w:ind w:left="460"/>
              <w:spacing w:after="0"/>
              <w:rPr>
                <w:sz w:val="20"/>
                <w:szCs w:val="20"/>
                <w:color w:val="auto"/>
              </w:rPr>
            </w:pPr>
            <w:r>
              <w:rPr>
                <w:rFonts w:ascii="Arial" w:cs="Arial" w:eastAsia="Arial" w:hAnsi="Arial"/>
                <w:sz w:val="16"/>
                <w:szCs w:val="16"/>
                <w:color w:val="auto"/>
              </w:rPr>
              <w:t>Rental units</w:t>
            </w:r>
          </w:p>
        </w:tc>
        <w:tc>
          <w:tcPr>
            <w:tcW w:w="34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8,703</w:t>
            </w: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8,169</w:t>
            </w:r>
          </w:p>
        </w:tc>
        <w:tc>
          <w:tcPr>
            <w:tcW w:w="0" w:type="dxa"/>
            <w:vAlign w:val="bottom"/>
          </w:tcPr>
          <w:p>
            <w:pPr>
              <w:spacing w:after="0"/>
              <w:rPr>
                <w:sz w:val="1"/>
                <w:szCs w:val="1"/>
                <w:color w:val="auto"/>
              </w:rPr>
            </w:pPr>
          </w:p>
        </w:tc>
      </w:tr>
      <w:tr>
        <w:trPr>
          <w:trHeight w:val="215"/>
        </w:trPr>
        <w:tc>
          <w:tcPr>
            <w:tcW w:w="802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Depreciation of rental equipment</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68,762</w:t>
            </w:r>
          </w:p>
        </w:tc>
        <w:tc>
          <w:tcPr>
            <w:tcW w:w="100" w:type="dxa"/>
            <w:vAlign w:val="bottom"/>
            <w:tcBorders>
              <w:bottom w:val="single" w:sz="8" w:color="DBDBDB"/>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73,952</w:t>
            </w:r>
          </w:p>
        </w:tc>
        <w:tc>
          <w:tcPr>
            <w:tcW w:w="0" w:type="dxa"/>
            <w:vAlign w:val="bottom"/>
          </w:tcPr>
          <w:p>
            <w:pPr>
              <w:spacing w:after="0"/>
              <w:rPr>
                <w:sz w:val="1"/>
                <w:szCs w:val="1"/>
                <w:color w:val="auto"/>
              </w:rPr>
            </w:pPr>
          </w:p>
        </w:tc>
      </w:tr>
      <w:tr>
        <w:trPr>
          <w:trHeight w:val="210"/>
        </w:trPr>
        <w:tc>
          <w:tcPr>
            <w:tcW w:w="8020" w:type="dxa"/>
            <w:vAlign w:val="bottom"/>
            <w:shd w:val="clear" w:color="auto" w:fill="DBDBDB"/>
          </w:tcPr>
          <w:p>
            <w:pPr>
              <w:ind w:left="460"/>
              <w:spacing w:after="0"/>
              <w:rPr>
                <w:sz w:val="20"/>
                <w:szCs w:val="20"/>
                <w:color w:val="auto"/>
              </w:rPr>
            </w:pPr>
            <w:r>
              <w:rPr>
                <w:rFonts w:ascii="Arial" w:cs="Arial" w:eastAsia="Arial" w:hAnsi="Arial"/>
                <w:sz w:val="16"/>
                <w:szCs w:val="16"/>
                <w:color w:val="auto"/>
              </w:rPr>
              <w:t>Gross profit</w:t>
            </w:r>
          </w:p>
        </w:tc>
        <w:tc>
          <w:tcPr>
            <w:tcW w:w="34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285,675</w:t>
            </w: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300,366</w:t>
            </w:r>
          </w:p>
        </w:tc>
        <w:tc>
          <w:tcPr>
            <w:tcW w:w="0" w:type="dxa"/>
            <w:vAlign w:val="bottom"/>
          </w:tcPr>
          <w:p>
            <w:pPr>
              <w:spacing w:after="0"/>
              <w:rPr>
                <w:sz w:val="1"/>
                <w:szCs w:val="1"/>
                <w:color w:val="auto"/>
              </w:rPr>
            </w:pPr>
          </w:p>
        </w:tc>
      </w:tr>
      <w:tr>
        <w:trPr>
          <w:trHeight w:val="215"/>
        </w:trPr>
        <w:tc>
          <w:tcPr>
            <w:tcW w:w="8020" w:type="dxa"/>
            <w:vAlign w:val="bottom"/>
          </w:tcPr>
          <w:p>
            <w:pPr>
              <w:ind w:left="20"/>
              <w:spacing w:after="0"/>
              <w:rPr>
                <w:sz w:val="20"/>
                <w:szCs w:val="20"/>
                <w:color w:val="auto"/>
              </w:rPr>
            </w:pPr>
            <w:r>
              <w:rPr>
                <w:rFonts w:ascii="Arial" w:cs="Arial" w:eastAsia="Arial" w:hAnsi="Arial"/>
                <w:sz w:val="16"/>
                <w:szCs w:val="16"/>
                <w:color w:val="auto"/>
              </w:rPr>
              <w:t>Other operating expenses: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154,008</w:t>
            </w: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156,771</w:t>
            </w:r>
          </w:p>
        </w:tc>
        <w:tc>
          <w:tcPr>
            <w:tcW w:w="0" w:type="dxa"/>
            <w:vAlign w:val="bottom"/>
          </w:tcPr>
          <w:p>
            <w:pPr>
              <w:spacing w:after="0"/>
              <w:rPr>
                <w:sz w:val="1"/>
                <w:szCs w:val="1"/>
                <w:color w:val="auto"/>
              </w:rPr>
            </w:pPr>
          </w:p>
        </w:tc>
      </w:tr>
      <w:tr>
        <w:trPr>
          <w:trHeight w:val="215"/>
        </w:trPr>
        <w:tc>
          <w:tcPr>
            <w:tcW w:w="8020" w:type="dxa"/>
            <w:vAlign w:val="bottom"/>
          </w:tcPr>
          <w:p>
            <w:pPr>
              <w:ind w:left="240"/>
              <w:spacing w:after="0"/>
              <w:rPr>
                <w:sz w:val="20"/>
                <w:szCs w:val="20"/>
                <w:color w:val="auto"/>
              </w:rPr>
            </w:pPr>
            <w:r>
              <w:rPr>
                <w:rFonts w:ascii="Arial" w:cs="Arial" w:eastAsia="Arial" w:hAnsi="Arial"/>
                <w:sz w:val="16"/>
                <w:szCs w:val="16"/>
                <w:color w:val="auto"/>
              </w:rPr>
              <w:t>Other depreciation and amortization</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23,669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23,140</w:t>
            </w:r>
          </w:p>
        </w:tc>
        <w:tc>
          <w:tcPr>
            <w:tcW w:w="0" w:type="dxa"/>
            <w:vAlign w:val="bottom"/>
          </w:tcPr>
          <w:p>
            <w:pPr>
              <w:spacing w:after="0"/>
              <w:rPr>
                <w:sz w:val="1"/>
                <w:szCs w:val="1"/>
                <w:color w:val="auto"/>
              </w:rPr>
            </w:pPr>
          </w:p>
        </w:tc>
      </w:tr>
      <w:tr>
        <w:trPr>
          <w:trHeight w:val="217"/>
        </w:trPr>
        <w:tc>
          <w:tcPr>
            <w:tcW w:w="80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Restructuring costs</w:t>
            </w:r>
          </w:p>
        </w:tc>
        <w:tc>
          <w:tcPr>
            <w:tcW w:w="34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11,250</w:t>
            </w: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15"/>
        </w:trPr>
        <w:tc>
          <w:tcPr>
            <w:tcW w:w="802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Other expense, net</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DBDBDB"/>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w:t>
            </w:r>
          </w:p>
        </w:tc>
        <w:tc>
          <w:tcPr>
            <w:tcW w:w="0" w:type="dxa"/>
            <w:vAlign w:val="bottom"/>
          </w:tcPr>
          <w:p>
            <w:pPr>
              <w:spacing w:after="0"/>
              <w:rPr>
                <w:sz w:val="1"/>
                <w:szCs w:val="1"/>
                <w:color w:val="auto"/>
              </w:rPr>
            </w:pPr>
          </w:p>
        </w:tc>
      </w:tr>
      <w:tr>
        <w:trPr>
          <w:trHeight w:val="210"/>
        </w:trPr>
        <w:tc>
          <w:tcPr>
            <w:tcW w:w="8020" w:type="dxa"/>
            <w:vAlign w:val="bottom"/>
            <w:shd w:val="clear" w:color="auto" w:fill="DBDBDB"/>
          </w:tcPr>
          <w:p>
            <w:pPr>
              <w:ind w:left="460"/>
              <w:spacing w:after="0"/>
              <w:rPr>
                <w:sz w:val="20"/>
                <w:szCs w:val="20"/>
                <w:color w:val="auto"/>
              </w:rPr>
            </w:pPr>
            <w:r>
              <w:rPr>
                <w:rFonts w:ascii="Arial" w:cs="Arial" w:eastAsia="Arial" w:hAnsi="Arial"/>
                <w:sz w:val="16"/>
                <w:szCs w:val="16"/>
                <w:color w:val="auto"/>
              </w:rPr>
              <w:t>Operating income</w:t>
            </w:r>
          </w:p>
        </w:tc>
        <w:tc>
          <w:tcPr>
            <w:tcW w:w="34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96,663</w:t>
            </w: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119,434</w:t>
            </w:r>
          </w:p>
        </w:tc>
        <w:tc>
          <w:tcPr>
            <w:tcW w:w="0" w:type="dxa"/>
            <w:vAlign w:val="bottom"/>
          </w:tcPr>
          <w:p>
            <w:pPr>
              <w:spacing w:after="0"/>
              <w:rPr>
                <w:sz w:val="1"/>
                <w:szCs w:val="1"/>
                <w:color w:val="auto"/>
              </w:rPr>
            </w:pPr>
          </w:p>
        </w:tc>
      </w:tr>
      <w:tr>
        <w:trPr>
          <w:trHeight w:val="215"/>
        </w:trPr>
        <w:tc>
          <w:tcPr>
            <w:tcW w:w="802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Interest expense, net</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53,607</w:t>
            </w:r>
          </w:p>
        </w:tc>
        <w:tc>
          <w:tcPr>
            <w:tcW w:w="100" w:type="dxa"/>
            <w:vAlign w:val="bottom"/>
            <w:tcBorders>
              <w:bottom w:val="single" w:sz="8" w:color="DBDBDB"/>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58,469</w:t>
            </w:r>
          </w:p>
        </w:tc>
        <w:tc>
          <w:tcPr>
            <w:tcW w:w="0" w:type="dxa"/>
            <w:vAlign w:val="bottom"/>
          </w:tcPr>
          <w:p>
            <w:pPr>
              <w:spacing w:after="0"/>
              <w:rPr>
                <w:sz w:val="1"/>
                <w:szCs w:val="1"/>
                <w:color w:val="auto"/>
              </w:rPr>
            </w:pPr>
          </w:p>
        </w:tc>
      </w:tr>
      <w:tr>
        <w:trPr>
          <w:trHeight w:val="210"/>
        </w:trPr>
        <w:tc>
          <w:tcPr>
            <w:tcW w:w="802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Income before income tax</w:t>
            </w:r>
          </w:p>
        </w:tc>
        <w:tc>
          <w:tcPr>
            <w:tcW w:w="34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43,056</w:t>
            </w: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60,965</w:t>
            </w:r>
          </w:p>
        </w:tc>
        <w:tc>
          <w:tcPr>
            <w:tcW w:w="0" w:type="dxa"/>
            <w:vAlign w:val="bottom"/>
          </w:tcPr>
          <w:p>
            <w:pPr>
              <w:spacing w:after="0"/>
              <w:rPr>
                <w:sz w:val="1"/>
                <w:szCs w:val="1"/>
                <w:color w:val="auto"/>
              </w:rPr>
            </w:pPr>
          </w:p>
        </w:tc>
      </w:tr>
      <w:tr>
        <w:trPr>
          <w:trHeight w:val="215"/>
        </w:trPr>
        <w:tc>
          <w:tcPr>
            <w:tcW w:w="802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Income tax expense</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14,933</w:t>
            </w:r>
          </w:p>
        </w:tc>
        <w:tc>
          <w:tcPr>
            <w:tcW w:w="100" w:type="dxa"/>
            <w:vAlign w:val="bottom"/>
            <w:tcBorders>
              <w:bottom w:val="single" w:sz="8" w:color="DBDBDB"/>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17,910</w:t>
            </w:r>
          </w:p>
        </w:tc>
        <w:tc>
          <w:tcPr>
            <w:tcW w:w="0" w:type="dxa"/>
            <w:vAlign w:val="bottom"/>
          </w:tcPr>
          <w:p>
            <w:pPr>
              <w:spacing w:after="0"/>
              <w:rPr>
                <w:sz w:val="1"/>
                <w:szCs w:val="1"/>
                <w:color w:val="auto"/>
              </w:rPr>
            </w:pPr>
          </w:p>
        </w:tc>
      </w:tr>
      <w:tr>
        <w:trPr>
          <w:trHeight w:val="235"/>
        </w:trPr>
        <w:tc>
          <w:tcPr>
            <w:tcW w:w="80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Net income</w:t>
            </w:r>
          </w:p>
        </w:tc>
        <w:tc>
          <w:tcPr>
            <w:tcW w:w="340" w:type="dxa"/>
            <w:vAlign w:val="bottom"/>
            <w:tcBorders>
              <w:bottom w:val="single" w:sz="8" w:color="auto"/>
            </w:tcBorders>
            <w:shd w:val="clear" w:color="auto" w:fill="DBDBDB"/>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28,123</w:t>
            </w:r>
          </w:p>
        </w:tc>
        <w:tc>
          <w:tcPr>
            <w:tcW w:w="100" w:type="dxa"/>
            <w:vAlign w:val="bottom"/>
            <w:tcBorders>
              <w:bottom w:val="single" w:sz="8" w:color="DBDBDB"/>
            </w:tcBorders>
            <w:shd w:val="clear" w:color="auto" w:fill="DBDBDB"/>
          </w:tcPr>
          <w:p>
            <w:pPr>
              <w:spacing w:after="0"/>
              <w:rPr>
                <w:sz w:val="20"/>
                <w:szCs w:val="20"/>
                <w:color w:val="auto"/>
              </w:rPr>
            </w:pPr>
          </w:p>
        </w:tc>
        <w:tc>
          <w:tcPr>
            <w:tcW w:w="460" w:type="dxa"/>
            <w:vAlign w:val="bottom"/>
            <w:tcBorders>
              <w:bottom w:val="single" w:sz="8" w:color="auto"/>
            </w:tcBorders>
            <w:shd w:val="clear" w:color="auto" w:fill="DBDBDB"/>
          </w:tcPr>
          <w:p>
            <w:pPr>
              <w:jc w:val="right"/>
              <w:ind w:right="2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43,055</w:t>
            </w:r>
          </w:p>
        </w:tc>
        <w:tc>
          <w:tcPr>
            <w:tcW w:w="0" w:type="dxa"/>
            <w:vAlign w:val="bottom"/>
          </w:tcPr>
          <w:p>
            <w:pPr>
              <w:spacing w:after="0"/>
              <w:rPr>
                <w:sz w:val="1"/>
                <w:szCs w:val="1"/>
                <w:color w:val="auto"/>
              </w:rPr>
            </w:pPr>
          </w:p>
        </w:tc>
      </w:tr>
      <w:tr>
        <w:trPr>
          <w:trHeight w:val="20"/>
        </w:trPr>
        <w:tc>
          <w:tcPr>
            <w:tcW w:w="802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DBDBDB"/>
          </w:tcPr>
          <w:p>
            <w:pPr>
              <w:ind w:left="20"/>
              <w:spacing w:after="0"/>
              <w:rPr>
                <w:sz w:val="20"/>
                <w:szCs w:val="20"/>
                <w:color w:val="auto"/>
              </w:rPr>
            </w:pPr>
            <w:r>
              <w:rPr>
                <w:rFonts w:ascii="Arial" w:cs="Arial" w:eastAsia="Arial" w:hAnsi="Arial"/>
                <w:sz w:val="16"/>
                <w:szCs w:val="16"/>
                <w:color w:val="auto"/>
              </w:rPr>
              <w:t>Earnings per share:</w:t>
            </w:r>
          </w:p>
        </w:tc>
        <w:tc>
          <w:tcPr>
            <w:tcW w:w="34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020" w:type="dxa"/>
            <w:vAlign w:val="bottom"/>
          </w:tcPr>
          <w:p>
            <w:pPr>
              <w:ind w:left="240"/>
              <w:spacing w:after="0"/>
              <w:rPr>
                <w:sz w:val="20"/>
                <w:szCs w:val="20"/>
                <w:color w:val="auto"/>
              </w:rPr>
            </w:pPr>
            <w:r>
              <w:rPr>
                <w:rFonts w:ascii="Arial" w:cs="Arial" w:eastAsia="Arial" w:hAnsi="Arial"/>
                <w:sz w:val="16"/>
                <w:szCs w:val="16"/>
                <w:color w:val="auto"/>
              </w:rPr>
              <w:t>Basic</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0.16</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0.23</w:t>
            </w:r>
          </w:p>
        </w:tc>
        <w:tc>
          <w:tcPr>
            <w:tcW w:w="0" w:type="dxa"/>
            <w:vAlign w:val="bottom"/>
          </w:tcPr>
          <w:p>
            <w:pPr>
              <w:spacing w:after="0"/>
              <w:rPr>
                <w:sz w:val="1"/>
                <w:szCs w:val="1"/>
                <w:color w:val="auto"/>
              </w:rPr>
            </w:pPr>
          </w:p>
        </w:tc>
      </w:tr>
      <w:tr>
        <w:trPr>
          <w:trHeight w:val="217"/>
        </w:trPr>
        <w:tc>
          <w:tcPr>
            <w:tcW w:w="80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Diluted</w:t>
            </w:r>
          </w:p>
        </w:tc>
        <w:tc>
          <w:tcPr>
            <w:tcW w:w="34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0.15</w:t>
            </w: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jc w:val="right"/>
              <w:ind w:right="2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0.23</w:t>
            </w:r>
          </w:p>
        </w:tc>
        <w:tc>
          <w:tcPr>
            <w:tcW w:w="0" w:type="dxa"/>
            <w:vAlign w:val="bottom"/>
          </w:tcPr>
          <w:p>
            <w:pPr>
              <w:spacing w:after="0"/>
              <w:rPr>
                <w:sz w:val="1"/>
                <w:szCs w:val="1"/>
                <w:color w:val="auto"/>
              </w:rPr>
            </w:pPr>
          </w:p>
        </w:tc>
      </w:tr>
      <w:tr>
        <w:trPr>
          <w:trHeight w:val="215"/>
        </w:trPr>
        <w:tc>
          <w:tcPr>
            <w:tcW w:w="8020" w:type="dxa"/>
            <w:vAlign w:val="bottom"/>
          </w:tcPr>
          <w:p>
            <w:pPr>
              <w:ind w:left="20"/>
              <w:spacing w:after="0"/>
              <w:rPr>
                <w:sz w:val="20"/>
                <w:szCs w:val="20"/>
                <w:color w:val="auto"/>
              </w:rPr>
            </w:pPr>
            <w:r>
              <w:rPr>
                <w:rFonts w:ascii="Arial" w:cs="Arial" w:eastAsia="Arial" w:hAnsi="Arial"/>
                <w:sz w:val="16"/>
                <w:szCs w:val="16"/>
                <w:color w:val="auto"/>
              </w:rPr>
              <w:t>Weighted average shares outstanding:</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Basic</w:t>
            </w:r>
          </w:p>
        </w:tc>
        <w:tc>
          <w:tcPr>
            <w:tcW w:w="34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180,987,459</w:t>
            </w: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183,680,565</w:t>
            </w:r>
          </w:p>
        </w:tc>
        <w:tc>
          <w:tcPr>
            <w:tcW w:w="0" w:type="dxa"/>
            <w:vAlign w:val="bottom"/>
          </w:tcPr>
          <w:p>
            <w:pPr>
              <w:spacing w:after="0"/>
              <w:rPr>
                <w:sz w:val="1"/>
                <w:szCs w:val="1"/>
                <w:color w:val="auto"/>
              </w:rPr>
            </w:pPr>
          </w:p>
        </w:tc>
      </w:tr>
      <w:tr>
        <w:trPr>
          <w:trHeight w:val="215"/>
        </w:trPr>
        <w:tc>
          <w:tcPr>
            <w:tcW w:w="8020" w:type="dxa"/>
            <w:vAlign w:val="bottom"/>
          </w:tcPr>
          <w:p>
            <w:pPr>
              <w:ind w:left="240"/>
              <w:spacing w:after="0"/>
              <w:rPr>
                <w:sz w:val="20"/>
                <w:szCs w:val="20"/>
                <w:color w:val="auto"/>
              </w:rPr>
            </w:pPr>
            <w:r>
              <w:rPr>
                <w:rFonts w:ascii="Arial" w:cs="Arial" w:eastAsia="Arial" w:hAnsi="Arial"/>
                <w:sz w:val="16"/>
                <w:szCs w:val="16"/>
                <w:color w:val="auto"/>
              </w:rPr>
              <w:t>Diluted</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181,463,605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185,301,787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1340"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1D2758"/>
        </w:rPr>
        <w:t>WillScot Holdings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1D2758"/>
        </w:rPr>
        <w:t>Condensed Consolidated Balance Sheets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00" w:type="dxa"/>
            <w:vAlign w:val="bottom"/>
            <w:vMerge w:val="restart"/>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 except share amounts)</w:t>
            </w:r>
          </w:p>
        </w:tc>
        <w:tc>
          <w:tcPr>
            <w:tcW w:w="180" w:type="dxa"/>
            <w:vAlign w:val="bottom"/>
            <w:shd w:val="clear" w:color="auto" w:fill="1D2758"/>
          </w:tcPr>
          <w:p>
            <w:pPr>
              <w:spacing w:after="0"/>
              <w:rPr>
                <w:sz w:val="16"/>
                <w:szCs w:val="16"/>
                <w:color w:val="auto"/>
              </w:rPr>
            </w:pPr>
          </w:p>
        </w:tc>
        <w:tc>
          <w:tcPr>
            <w:tcW w:w="1540" w:type="dxa"/>
            <w:vAlign w:val="bottom"/>
            <w:gridSpan w:val="2"/>
            <w:shd w:val="clear" w:color="auto" w:fill="1D2758"/>
          </w:tcPr>
          <w:p>
            <w:pPr>
              <w:jc w:val="center"/>
              <w:ind w:right="260"/>
              <w:spacing w:after="0"/>
              <w:rPr>
                <w:sz w:val="20"/>
                <w:szCs w:val="20"/>
                <w:color w:val="auto"/>
              </w:rPr>
            </w:pPr>
            <w:r>
              <w:rPr>
                <w:rFonts w:ascii="Arial" w:cs="Arial" w:eastAsia="Arial" w:hAnsi="Arial"/>
                <w:sz w:val="16"/>
                <w:szCs w:val="16"/>
                <w:b w:val="1"/>
                <w:bCs w:val="1"/>
                <w:color w:val="FFFFFF"/>
              </w:rPr>
              <w:t>March 31, 2026</w:t>
            </w:r>
          </w:p>
        </w:tc>
        <w:tc>
          <w:tcPr>
            <w:tcW w:w="1620" w:type="dxa"/>
            <w:vAlign w:val="bottom"/>
            <w:gridSpan w:val="2"/>
            <w:vMerge w:val="restart"/>
            <w:shd w:val="clear" w:color="auto" w:fill="1D2758"/>
          </w:tcPr>
          <w:p>
            <w:pPr>
              <w:jc w:val="right"/>
              <w:spacing w:after="0"/>
              <w:rPr>
                <w:sz w:val="20"/>
                <w:szCs w:val="20"/>
                <w:color w:val="auto"/>
              </w:rPr>
            </w:pPr>
            <w:r>
              <w:rPr>
                <w:rFonts w:ascii="Arial" w:cs="Arial" w:eastAsia="Arial" w:hAnsi="Arial"/>
                <w:sz w:val="16"/>
                <w:szCs w:val="16"/>
                <w:b w:val="1"/>
                <w:bCs w:val="1"/>
                <w:color w:val="FFFFFF"/>
              </w:rPr>
              <w:t>December 31, 2025</w:t>
            </w:r>
          </w:p>
        </w:tc>
        <w:tc>
          <w:tcPr>
            <w:tcW w:w="0" w:type="dxa"/>
            <w:vAlign w:val="bottom"/>
          </w:tcPr>
          <w:p>
            <w:pPr>
              <w:spacing w:after="0"/>
              <w:rPr>
                <w:sz w:val="1"/>
                <w:szCs w:val="1"/>
                <w:color w:val="auto"/>
              </w:rPr>
            </w:pPr>
          </w:p>
        </w:tc>
      </w:tr>
      <w:tr>
        <w:trPr>
          <w:trHeight w:val="216"/>
        </w:trPr>
        <w:tc>
          <w:tcPr>
            <w:tcW w:w="7900" w:type="dxa"/>
            <w:vAlign w:val="bottom"/>
            <w:vMerge w:val="continue"/>
            <w:shd w:val="clear" w:color="auto" w:fill="1D2758"/>
          </w:tcPr>
          <w:p>
            <w:pPr>
              <w:spacing w:after="0"/>
              <w:rPr>
                <w:sz w:val="18"/>
                <w:szCs w:val="18"/>
                <w:color w:val="auto"/>
              </w:rPr>
            </w:pPr>
          </w:p>
        </w:tc>
        <w:tc>
          <w:tcPr>
            <w:tcW w:w="180" w:type="dxa"/>
            <w:vAlign w:val="bottom"/>
            <w:shd w:val="clear" w:color="auto" w:fill="1D2758"/>
          </w:tcPr>
          <w:p>
            <w:pPr>
              <w:spacing w:after="0"/>
              <w:rPr>
                <w:sz w:val="18"/>
                <w:szCs w:val="18"/>
                <w:color w:val="auto"/>
              </w:rPr>
            </w:pPr>
          </w:p>
        </w:tc>
        <w:tc>
          <w:tcPr>
            <w:tcW w:w="1540" w:type="dxa"/>
            <w:vAlign w:val="bottom"/>
            <w:gridSpan w:val="2"/>
            <w:shd w:val="clear" w:color="auto" w:fill="1D2758"/>
          </w:tcPr>
          <w:p>
            <w:pPr>
              <w:jc w:val="center"/>
              <w:ind w:right="260"/>
              <w:spacing w:after="0"/>
              <w:rPr>
                <w:sz w:val="20"/>
                <w:szCs w:val="20"/>
                <w:color w:val="auto"/>
              </w:rPr>
            </w:pPr>
            <w:r>
              <w:rPr>
                <w:rFonts w:ascii="Arial" w:cs="Arial" w:eastAsia="Arial" w:hAnsi="Arial"/>
                <w:sz w:val="16"/>
                <w:szCs w:val="16"/>
                <w:b w:val="1"/>
                <w:bCs w:val="1"/>
                <w:color w:val="FFFFFF"/>
              </w:rPr>
              <w:t>(unaudited)</w:t>
            </w:r>
          </w:p>
        </w:tc>
        <w:tc>
          <w:tcPr>
            <w:tcW w:w="1620" w:type="dxa"/>
            <w:vAlign w:val="bottom"/>
            <w:gridSpan w:val="2"/>
            <w:vMerge w:val="continue"/>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DBDBDB"/>
          </w:tcPr>
          <w:p>
            <w:pPr>
              <w:ind w:left="20"/>
              <w:spacing w:after="0"/>
              <w:rPr>
                <w:sz w:val="20"/>
                <w:szCs w:val="20"/>
                <w:color w:val="auto"/>
              </w:rPr>
            </w:pPr>
            <w:r>
              <w:rPr>
                <w:rFonts w:ascii="Arial" w:cs="Arial" w:eastAsia="Arial" w:hAnsi="Arial"/>
                <w:sz w:val="16"/>
                <w:szCs w:val="16"/>
                <w:color w:val="auto"/>
              </w:rPr>
              <w:t>Assets</w:t>
            </w:r>
          </w:p>
        </w:tc>
        <w:tc>
          <w:tcPr>
            <w:tcW w:w="180" w:type="dxa"/>
            <w:vAlign w:val="bottom"/>
            <w:shd w:val="clear" w:color="auto" w:fill="DBDBDB"/>
          </w:tcPr>
          <w:p>
            <w:pPr>
              <w:spacing w:after="0"/>
              <w:rPr>
                <w:sz w:val="18"/>
                <w:szCs w:val="18"/>
                <w:color w:val="auto"/>
              </w:rPr>
            </w:pPr>
          </w:p>
        </w:tc>
        <w:tc>
          <w:tcPr>
            <w:tcW w:w="14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900" w:type="dxa"/>
            <w:vAlign w:val="bottom"/>
          </w:tcPr>
          <w:p>
            <w:pPr>
              <w:ind w:left="24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15,543</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14,587</w:t>
            </w:r>
          </w:p>
        </w:tc>
        <w:tc>
          <w:tcPr>
            <w:tcW w:w="0" w:type="dxa"/>
            <w:vAlign w:val="bottom"/>
          </w:tcPr>
          <w:p>
            <w:pPr>
              <w:spacing w:after="0"/>
              <w:rPr>
                <w:sz w:val="1"/>
                <w:szCs w:val="1"/>
                <w:color w:val="auto"/>
              </w:rPr>
            </w:pPr>
          </w:p>
        </w:tc>
      </w:tr>
      <w:tr>
        <w:trPr>
          <w:trHeight w:val="163"/>
        </w:trPr>
        <w:tc>
          <w:tcPr>
            <w:tcW w:w="7900" w:type="dxa"/>
            <w:vAlign w:val="bottom"/>
            <w:shd w:val="clear" w:color="auto" w:fill="DBDBDB"/>
          </w:tcPr>
          <w:p>
            <w:pPr>
              <w:ind w:left="240"/>
              <w:spacing w:after="0" w:line="163" w:lineRule="exact"/>
              <w:rPr>
                <w:sz w:val="20"/>
                <w:szCs w:val="20"/>
                <w:color w:val="auto"/>
              </w:rPr>
            </w:pPr>
            <w:r>
              <w:rPr>
                <w:rFonts w:ascii="Arial" w:cs="Arial" w:eastAsia="Arial" w:hAnsi="Arial"/>
                <w:sz w:val="16"/>
                <w:szCs w:val="16"/>
                <w:color w:val="auto"/>
              </w:rPr>
              <w:t>Trade receivables, net of allowances for credit losses at March 31, 2026 and December 31, 2025 of</w:t>
            </w:r>
          </w:p>
        </w:tc>
        <w:tc>
          <w:tcPr>
            <w:tcW w:w="180" w:type="dxa"/>
            <w:vAlign w:val="bottom"/>
            <w:shd w:val="clear" w:color="auto" w:fill="DBDBDB"/>
          </w:tcPr>
          <w:p>
            <w:pPr>
              <w:spacing w:after="0"/>
              <w:rPr>
                <w:sz w:val="14"/>
                <w:szCs w:val="14"/>
                <w:color w:val="auto"/>
              </w:rPr>
            </w:pPr>
          </w:p>
        </w:tc>
        <w:tc>
          <w:tcPr>
            <w:tcW w:w="144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397,432</w:t>
            </w:r>
          </w:p>
        </w:tc>
        <w:tc>
          <w:tcPr>
            <w:tcW w:w="100" w:type="dxa"/>
            <w:vAlign w:val="bottom"/>
            <w:shd w:val="clear" w:color="auto" w:fill="DBDBDB"/>
          </w:tcPr>
          <w:p>
            <w:pPr>
              <w:spacing w:after="0"/>
              <w:rPr>
                <w:sz w:val="14"/>
                <w:szCs w:val="14"/>
                <w:color w:val="auto"/>
              </w:rPr>
            </w:pPr>
          </w:p>
        </w:tc>
        <w:tc>
          <w:tcPr>
            <w:tcW w:w="460" w:type="dxa"/>
            <w:vAlign w:val="bottom"/>
            <w:shd w:val="clear" w:color="auto" w:fill="DBDBDB"/>
          </w:tcPr>
          <w:p>
            <w:pPr>
              <w:spacing w:after="0"/>
              <w:rPr>
                <w:sz w:val="14"/>
                <w:szCs w:val="14"/>
                <w:color w:val="auto"/>
              </w:rPr>
            </w:pPr>
          </w:p>
        </w:tc>
        <w:tc>
          <w:tcPr>
            <w:tcW w:w="116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394,708</w:t>
            </w:r>
          </w:p>
        </w:tc>
        <w:tc>
          <w:tcPr>
            <w:tcW w:w="0" w:type="dxa"/>
            <w:vAlign w:val="bottom"/>
          </w:tcPr>
          <w:p>
            <w:pPr>
              <w:spacing w:after="0"/>
              <w:rPr>
                <w:sz w:val="1"/>
                <w:szCs w:val="1"/>
                <w:color w:val="auto"/>
              </w:rPr>
            </w:pPr>
          </w:p>
        </w:tc>
      </w:tr>
      <w:tr>
        <w:trPr>
          <w:trHeight w:val="216"/>
        </w:trPr>
        <w:tc>
          <w:tcPr>
            <w:tcW w:w="7900" w:type="dxa"/>
            <w:vAlign w:val="bottom"/>
            <w:shd w:val="clear" w:color="auto" w:fill="DBDBDB"/>
          </w:tcPr>
          <w:p>
            <w:pPr>
              <w:ind w:left="240"/>
              <w:spacing w:after="0"/>
              <w:rPr>
                <w:sz w:val="20"/>
                <w:szCs w:val="20"/>
                <w:color w:val="auto"/>
              </w:rPr>
            </w:pPr>
            <w:r>
              <w:rPr>
                <w:rFonts w:ascii="Arial" w:cs="Arial" w:eastAsia="Arial" w:hAnsi="Arial"/>
                <w:sz w:val="16"/>
                <w:szCs w:val="16"/>
                <w:color w:val="auto"/>
              </w:rPr>
              <w:t>$62,389 and $61,755, respectively</w:t>
            </w:r>
          </w:p>
        </w:tc>
        <w:tc>
          <w:tcPr>
            <w:tcW w:w="180" w:type="dxa"/>
            <w:vAlign w:val="bottom"/>
            <w:shd w:val="clear" w:color="auto" w:fill="DBDBDB"/>
          </w:tcPr>
          <w:p>
            <w:pPr>
              <w:spacing w:after="0"/>
              <w:rPr>
                <w:sz w:val="18"/>
                <w:szCs w:val="18"/>
                <w:color w:val="auto"/>
              </w:rPr>
            </w:pPr>
          </w:p>
        </w:tc>
        <w:tc>
          <w:tcPr>
            <w:tcW w:w="1440" w:type="dxa"/>
            <w:vAlign w:val="bottom"/>
            <w:vMerge w:val="continue"/>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160" w:type="dxa"/>
            <w:vAlign w:val="bottom"/>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900" w:type="dxa"/>
            <w:vAlign w:val="bottom"/>
          </w:tcPr>
          <w:p>
            <w:pPr>
              <w:ind w:left="240"/>
              <w:spacing w:after="0"/>
              <w:rPr>
                <w:sz w:val="20"/>
                <w:szCs w:val="20"/>
                <w:color w:val="auto"/>
              </w:rPr>
            </w:pPr>
            <w:r>
              <w:rPr>
                <w:rFonts w:ascii="Arial" w:cs="Arial" w:eastAsia="Arial" w:hAnsi="Arial"/>
                <w:sz w:val="16"/>
                <w:szCs w:val="16"/>
                <w:color w:val="auto"/>
              </w:rPr>
              <w:t>Inventories</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46,187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45,560</w:t>
            </w:r>
          </w:p>
        </w:tc>
        <w:tc>
          <w:tcPr>
            <w:tcW w:w="0" w:type="dxa"/>
            <w:vAlign w:val="bottom"/>
          </w:tcPr>
          <w:p>
            <w:pPr>
              <w:spacing w:after="0"/>
              <w:rPr>
                <w:sz w:val="1"/>
                <w:szCs w:val="1"/>
                <w:color w:val="auto"/>
              </w:rPr>
            </w:pPr>
          </w:p>
        </w:tc>
      </w:tr>
      <w:tr>
        <w:trPr>
          <w:trHeight w:val="217"/>
        </w:trPr>
        <w:tc>
          <w:tcPr>
            <w:tcW w:w="7900" w:type="dxa"/>
            <w:vAlign w:val="bottom"/>
            <w:shd w:val="clear" w:color="auto" w:fill="DBDBDB"/>
          </w:tcPr>
          <w:p>
            <w:pPr>
              <w:ind w:left="240"/>
              <w:spacing w:after="0"/>
              <w:rPr>
                <w:sz w:val="20"/>
                <w:szCs w:val="20"/>
                <w:color w:val="auto"/>
              </w:rPr>
            </w:pPr>
            <w:r>
              <w:rPr>
                <w:rFonts w:ascii="Arial" w:cs="Arial" w:eastAsia="Arial" w:hAnsi="Arial"/>
                <w:sz w:val="16"/>
                <w:szCs w:val="16"/>
                <w:color w:val="auto"/>
              </w:rPr>
              <w:t>Prepaid expenses</w:t>
            </w:r>
          </w:p>
        </w:tc>
        <w:tc>
          <w:tcPr>
            <w:tcW w:w="180" w:type="dxa"/>
            <w:vAlign w:val="bottom"/>
            <w:shd w:val="clear" w:color="auto" w:fill="DBDBDB"/>
          </w:tcPr>
          <w:p>
            <w:pPr>
              <w:spacing w:after="0"/>
              <w:rPr>
                <w:sz w:val="18"/>
                <w:szCs w:val="18"/>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20,737</w:t>
            </w: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27,709</w:t>
            </w:r>
          </w:p>
        </w:tc>
        <w:tc>
          <w:tcPr>
            <w:tcW w:w="0" w:type="dxa"/>
            <w:vAlign w:val="bottom"/>
          </w:tcPr>
          <w:p>
            <w:pPr>
              <w:spacing w:after="0"/>
              <w:rPr>
                <w:sz w:val="1"/>
                <w:szCs w:val="1"/>
                <w:color w:val="auto"/>
              </w:rPr>
            </w:pPr>
          </w:p>
        </w:tc>
      </w:tr>
      <w:tr>
        <w:trPr>
          <w:trHeight w:val="215"/>
        </w:trPr>
        <w:tc>
          <w:tcPr>
            <w:tcW w:w="7900" w:type="dxa"/>
            <w:vAlign w:val="bottom"/>
          </w:tcPr>
          <w:p>
            <w:pPr>
              <w:ind w:left="240"/>
              <w:spacing w:after="0"/>
              <w:rPr>
                <w:sz w:val="20"/>
                <w:szCs w:val="20"/>
                <w:color w:val="auto"/>
              </w:rPr>
            </w:pPr>
            <w:r>
              <w:rPr>
                <w:rFonts w:ascii="Arial" w:cs="Arial" w:eastAsia="Arial" w:hAnsi="Arial"/>
                <w:sz w:val="16"/>
                <w:szCs w:val="16"/>
                <w:color w:val="auto"/>
              </w:rPr>
              <w:t>Other current assets</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48,861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41,328</w:t>
            </w:r>
          </w:p>
        </w:tc>
        <w:tc>
          <w:tcPr>
            <w:tcW w:w="0" w:type="dxa"/>
            <w:vAlign w:val="bottom"/>
          </w:tcPr>
          <w:p>
            <w:pPr>
              <w:spacing w:after="0"/>
              <w:rPr>
                <w:sz w:val="1"/>
                <w:szCs w:val="1"/>
                <w:color w:val="auto"/>
              </w:rPr>
            </w:pPr>
          </w:p>
        </w:tc>
      </w:tr>
      <w:tr>
        <w:trPr>
          <w:trHeight w:val="217"/>
        </w:trPr>
        <w:tc>
          <w:tcPr>
            <w:tcW w:w="7900" w:type="dxa"/>
            <w:vAlign w:val="bottom"/>
            <w:shd w:val="clear" w:color="auto" w:fill="DBDBDB"/>
          </w:tcPr>
          <w:p>
            <w:pPr>
              <w:ind w:left="240"/>
              <w:spacing w:after="0"/>
              <w:rPr>
                <w:sz w:val="20"/>
                <w:szCs w:val="20"/>
                <w:color w:val="auto"/>
              </w:rPr>
            </w:pPr>
            <w:r>
              <w:rPr>
                <w:rFonts w:ascii="Arial" w:cs="Arial" w:eastAsia="Arial" w:hAnsi="Arial"/>
                <w:sz w:val="16"/>
                <w:szCs w:val="16"/>
                <w:color w:val="auto"/>
              </w:rPr>
              <w:t>Assets held for sale</w:t>
            </w:r>
          </w:p>
        </w:tc>
        <w:tc>
          <w:tcPr>
            <w:tcW w:w="180" w:type="dxa"/>
            <w:vAlign w:val="bottom"/>
            <w:tcBorders>
              <w:bottom w:val="single" w:sz="8" w:color="auto"/>
            </w:tcBorders>
            <w:shd w:val="clear" w:color="auto" w:fill="DBDBDB"/>
          </w:tcPr>
          <w:p>
            <w:pPr>
              <w:spacing w:after="0"/>
              <w:rPr>
                <w:sz w:val="18"/>
                <w:szCs w:val="18"/>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1,159</w:t>
            </w:r>
          </w:p>
        </w:tc>
        <w:tc>
          <w:tcPr>
            <w:tcW w:w="100" w:type="dxa"/>
            <w:vAlign w:val="bottom"/>
            <w:shd w:val="clear" w:color="auto" w:fill="DBDBDB"/>
          </w:tcPr>
          <w:p>
            <w:pPr>
              <w:spacing w:after="0"/>
              <w:rPr>
                <w:sz w:val="18"/>
                <w:szCs w:val="18"/>
                <w:color w:val="auto"/>
              </w:rPr>
            </w:pPr>
          </w:p>
        </w:tc>
        <w:tc>
          <w:tcPr>
            <w:tcW w:w="460" w:type="dxa"/>
            <w:vAlign w:val="bottom"/>
            <w:tcBorders>
              <w:bottom w:val="single" w:sz="8" w:color="auto"/>
            </w:tcBorders>
            <w:shd w:val="clear" w:color="auto" w:fill="DBDBDB"/>
          </w:tcPr>
          <w:p>
            <w:pPr>
              <w:spacing w:after="0"/>
              <w:rPr>
                <w:sz w:val="18"/>
                <w:szCs w:val="18"/>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1,159</w:t>
            </w:r>
          </w:p>
        </w:tc>
        <w:tc>
          <w:tcPr>
            <w:tcW w:w="0" w:type="dxa"/>
            <w:vAlign w:val="bottom"/>
          </w:tcPr>
          <w:p>
            <w:pPr>
              <w:spacing w:after="0"/>
              <w:rPr>
                <w:sz w:val="1"/>
                <w:szCs w:val="1"/>
                <w:color w:val="auto"/>
              </w:rPr>
            </w:pPr>
          </w:p>
        </w:tc>
      </w:tr>
      <w:tr>
        <w:trPr>
          <w:trHeight w:val="209"/>
        </w:trPr>
        <w:tc>
          <w:tcPr>
            <w:tcW w:w="7900" w:type="dxa"/>
            <w:vAlign w:val="bottom"/>
          </w:tcPr>
          <w:p>
            <w:pPr>
              <w:ind w:left="46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529,919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525,051</w:t>
            </w:r>
          </w:p>
        </w:tc>
        <w:tc>
          <w:tcPr>
            <w:tcW w:w="0" w:type="dxa"/>
            <w:vAlign w:val="bottom"/>
          </w:tcPr>
          <w:p>
            <w:pPr>
              <w:spacing w:after="0"/>
              <w:rPr>
                <w:sz w:val="1"/>
                <w:szCs w:val="1"/>
                <w:color w:val="auto"/>
              </w:rPr>
            </w:pPr>
          </w:p>
        </w:tc>
      </w:tr>
      <w:tr>
        <w:trPr>
          <w:trHeight w:val="217"/>
        </w:trPr>
        <w:tc>
          <w:tcPr>
            <w:tcW w:w="7900" w:type="dxa"/>
            <w:vAlign w:val="bottom"/>
            <w:shd w:val="clear" w:color="auto" w:fill="DBDBDB"/>
          </w:tcPr>
          <w:p>
            <w:pPr>
              <w:ind w:left="240"/>
              <w:spacing w:after="0"/>
              <w:rPr>
                <w:sz w:val="20"/>
                <w:szCs w:val="20"/>
                <w:color w:val="auto"/>
              </w:rPr>
            </w:pPr>
            <w:r>
              <w:rPr>
                <w:rFonts w:ascii="Arial" w:cs="Arial" w:eastAsia="Arial" w:hAnsi="Arial"/>
                <w:sz w:val="16"/>
                <w:szCs w:val="16"/>
                <w:color w:val="auto"/>
              </w:rPr>
              <w:t>Rental equipment, net</w:t>
            </w:r>
          </w:p>
        </w:tc>
        <w:tc>
          <w:tcPr>
            <w:tcW w:w="180" w:type="dxa"/>
            <w:vAlign w:val="bottom"/>
            <w:shd w:val="clear" w:color="auto" w:fill="DBDBDB"/>
          </w:tcPr>
          <w:p>
            <w:pPr>
              <w:spacing w:after="0"/>
              <w:rPr>
                <w:sz w:val="18"/>
                <w:szCs w:val="18"/>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3,103,332</w:t>
            </w: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3,093,321</w:t>
            </w:r>
          </w:p>
        </w:tc>
        <w:tc>
          <w:tcPr>
            <w:tcW w:w="0" w:type="dxa"/>
            <w:vAlign w:val="bottom"/>
          </w:tcPr>
          <w:p>
            <w:pPr>
              <w:spacing w:after="0"/>
              <w:rPr>
                <w:sz w:val="1"/>
                <w:szCs w:val="1"/>
                <w:color w:val="auto"/>
              </w:rPr>
            </w:pPr>
          </w:p>
        </w:tc>
      </w:tr>
      <w:tr>
        <w:trPr>
          <w:trHeight w:val="215"/>
        </w:trPr>
        <w:tc>
          <w:tcPr>
            <w:tcW w:w="7900" w:type="dxa"/>
            <w:vAlign w:val="bottom"/>
          </w:tcPr>
          <w:p>
            <w:pPr>
              <w:ind w:left="240"/>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386,339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390,220</w:t>
            </w:r>
          </w:p>
        </w:tc>
        <w:tc>
          <w:tcPr>
            <w:tcW w:w="0" w:type="dxa"/>
            <w:vAlign w:val="bottom"/>
          </w:tcPr>
          <w:p>
            <w:pPr>
              <w:spacing w:after="0"/>
              <w:rPr>
                <w:sz w:val="1"/>
                <w:szCs w:val="1"/>
                <w:color w:val="auto"/>
              </w:rPr>
            </w:pPr>
          </w:p>
        </w:tc>
      </w:tr>
      <w:tr>
        <w:trPr>
          <w:trHeight w:val="217"/>
        </w:trPr>
        <w:tc>
          <w:tcPr>
            <w:tcW w:w="7900" w:type="dxa"/>
            <w:vAlign w:val="bottom"/>
            <w:shd w:val="clear" w:color="auto" w:fill="DBDBDB"/>
          </w:tcPr>
          <w:p>
            <w:pPr>
              <w:ind w:left="240"/>
              <w:spacing w:after="0"/>
              <w:rPr>
                <w:sz w:val="20"/>
                <w:szCs w:val="20"/>
                <w:color w:val="auto"/>
              </w:rPr>
            </w:pPr>
            <w:r>
              <w:rPr>
                <w:rFonts w:ascii="Arial" w:cs="Arial" w:eastAsia="Arial" w:hAnsi="Arial"/>
                <w:sz w:val="16"/>
                <w:szCs w:val="16"/>
                <w:color w:val="auto"/>
              </w:rPr>
              <w:t>Operating lease assets</w:t>
            </w:r>
          </w:p>
        </w:tc>
        <w:tc>
          <w:tcPr>
            <w:tcW w:w="180" w:type="dxa"/>
            <w:vAlign w:val="bottom"/>
            <w:shd w:val="clear" w:color="auto" w:fill="DBDBDB"/>
          </w:tcPr>
          <w:p>
            <w:pPr>
              <w:spacing w:after="0"/>
              <w:rPr>
                <w:sz w:val="18"/>
                <w:szCs w:val="18"/>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298,027</w:t>
            </w: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310,662</w:t>
            </w:r>
          </w:p>
        </w:tc>
        <w:tc>
          <w:tcPr>
            <w:tcW w:w="0" w:type="dxa"/>
            <w:vAlign w:val="bottom"/>
          </w:tcPr>
          <w:p>
            <w:pPr>
              <w:spacing w:after="0"/>
              <w:rPr>
                <w:sz w:val="1"/>
                <w:szCs w:val="1"/>
                <w:color w:val="auto"/>
              </w:rPr>
            </w:pPr>
          </w:p>
        </w:tc>
      </w:tr>
      <w:tr>
        <w:trPr>
          <w:trHeight w:val="215"/>
        </w:trPr>
        <w:tc>
          <w:tcPr>
            <w:tcW w:w="7900" w:type="dxa"/>
            <w:vAlign w:val="bottom"/>
          </w:tcPr>
          <w:p>
            <w:pPr>
              <w:ind w:left="24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1,257,201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1,257,612</w:t>
            </w:r>
          </w:p>
        </w:tc>
        <w:tc>
          <w:tcPr>
            <w:tcW w:w="0" w:type="dxa"/>
            <w:vAlign w:val="bottom"/>
          </w:tcPr>
          <w:p>
            <w:pPr>
              <w:spacing w:after="0"/>
              <w:rPr>
                <w:sz w:val="1"/>
                <w:szCs w:val="1"/>
                <w:color w:val="auto"/>
              </w:rPr>
            </w:pPr>
          </w:p>
        </w:tc>
      </w:tr>
      <w:tr>
        <w:trPr>
          <w:trHeight w:val="217"/>
        </w:trPr>
        <w:tc>
          <w:tcPr>
            <w:tcW w:w="7900" w:type="dxa"/>
            <w:vAlign w:val="bottom"/>
            <w:shd w:val="clear" w:color="auto" w:fill="DBDBDB"/>
          </w:tcPr>
          <w:p>
            <w:pPr>
              <w:ind w:left="240"/>
              <w:spacing w:after="0"/>
              <w:rPr>
                <w:sz w:val="20"/>
                <w:szCs w:val="20"/>
                <w:color w:val="auto"/>
              </w:rPr>
            </w:pPr>
            <w:r>
              <w:rPr>
                <w:rFonts w:ascii="Arial" w:cs="Arial" w:eastAsia="Arial" w:hAnsi="Arial"/>
                <w:sz w:val="16"/>
                <w:szCs w:val="16"/>
                <w:color w:val="auto"/>
              </w:rPr>
              <w:t>Intangible assets, net</w:t>
            </w:r>
          </w:p>
        </w:tc>
        <w:tc>
          <w:tcPr>
            <w:tcW w:w="180" w:type="dxa"/>
            <w:vAlign w:val="bottom"/>
            <w:shd w:val="clear" w:color="auto" w:fill="DBDBDB"/>
          </w:tcPr>
          <w:p>
            <w:pPr>
              <w:spacing w:after="0"/>
              <w:rPr>
                <w:sz w:val="18"/>
                <w:szCs w:val="18"/>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213,432</w:t>
            </w: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224,088</w:t>
            </w:r>
          </w:p>
        </w:tc>
        <w:tc>
          <w:tcPr>
            <w:tcW w:w="0" w:type="dxa"/>
            <w:vAlign w:val="bottom"/>
          </w:tcPr>
          <w:p>
            <w:pPr>
              <w:spacing w:after="0"/>
              <w:rPr>
                <w:sz w:val="1"/>
                <w:szCs w:val="1"/>
                <w:color w:val="auto"/>
              </w:rPr>
            </w:pPr>
          </w:p>
        </w:tc>
      </w:tr>
      <w:tr>
        <w:trPr>
          <w:trHeight w:val="215"/>
        </w:trPr>
        <w:tc>
          <w:tcPr>
            <w:tcW w:w="790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Other non-current assets</w:t>
            </w: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22,406</w:t>
            </w:r>
          </w:p>
        </w:tc>
        <w:tc>
          <w:tcPr>
            <w:tcW w:w="100" w:type="dxa"/>
            <w:vAlign w:val="bottom"/>
            <w:tcBorders>
              <w:bottom w:val="single" w:sz="8" w:color="DBDBDB"/>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15,213</w:t>
            </w:r>
          </w:p>
        </w:tc>
        <w:tc>
          <w:tcPr>
            <w:tcW w:w="0" w:type="dxa"/>
            <w:vAlign w:val="bottom"/>
          </w:tcPr>
          <w:p>
            <w:pPr>
              <w:spacing w:after="0"/>
              <w:rPr>
                <w:sz w:val="1"/>
                <w:szCs w:val="1"/>
                <w:color w:val="auto"/>
              </w:rPr>
            </w:pPr>
          </w:p>
        </w:tc>
      </w:tr>
      <w:tr>
        <w:trPr>
          <w:trHeight w:val="210"/>
        </w:trPr>
        <w:tc>
          <w:tcPr>
            <w:tcW w:w="7900" w:type="dxa"/>
            <w:vAlign w:val="bottom"/>
            <w:shd w:val="clear" w:color="auto" w:fill="DBDBDB"/>
          </w:tcPr>
          <w:p>
            <w:pPr>
              <w:ind w:left="460"/>
              <w:spacing w:after="0"/>
              <w:rPr>
                <w:sz w:val="20"/>
                <w:szCs w:val="20"/>
                <w:color w:val="auto"/>
              </w:rPr>
            </w:pPr>
            <w:r>
              <w:rPr>
                <w:rFonts w:ascii="Arial" w:cs="Arial" w:eastAsia="Arial" w:hAnsi="Arial"/>
                <w:sz w:val="16"/>
                <w:szCs w:val="16"/>
                <w:color w:val="auto"/>
              </w:rPr>
              <w:t>Total long-term assets</w:t>
            </w:r>
          </w:p>
        </w:tc>
        <w:tc>
          <w:tcPr>
            <w:tcW w:w="180" w:type="dxa"/>
            <w:vAlign w:val="bottom"/>
            <w:tcBorders>
              <w:bottom w:val="single" w:sz="8" w:color="auto"/>
            </w:tcBorders>
            <w:shd w:val="clear" w:color="auto" w:fill="DBDBDB"/>
          </w:tcPr>
          <w:p>
            <w:pPr>
              <w:spacing w:after="0"/>
              <w:rPr>
                <w:sz w:val="18"/>
                <w:szCs w:val="18"/>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5,280,737</w:t>
            </w:r>
          </w:p>
        </w:tc>
        <w:tc>
          <w:tcPr>
            <w:tcW w:w="100" w:type="dxa"/>
            <w:vAlign w:val="bottom"/>
            <w:shd w:val="clear" w:color="auto" w:fill="DBDBDB"/>
          </w:tcPr>
          <w:p>
            <w:pPr>
              <w:spacing w:after="0"/>
              <w:rPr>
                <w:sz w:val="18"/>
                <w:szCs w:val="18"/>
                <w:color w:val="auto"/>
              </w:rPr>
            </w:pPr>
          </w:p>
        </w:tc>
        <w:tc>
          <w:tcPr>
            <w:tcW w:w="460" w:type="dxa"/>
            <w:vAlign w:val="bottom"/>
            <w:tcBorders>
              <w:bottom w:val="single" w:sz="8" w:color="auto"/>
            </w:tcBorders>
            <w:shd w:val="clear" w:color="auto" w:fill="DBDBDB"/>
          </w:tcPr>
          <w:p>
            <w:pPr>
              <w:spacing w:after="0"/>
              <w:rPr>
                <w:sz w:val="18"/>
                <w:szCs w:val="18"/>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5,291,116</w:t>
            </w:r>
          </w:p>
        </w:tc>
        <w:tc>
          <w:tcPr>
            <w:tcW w:w="0" w:type="dxa"/>
            <w:vAlign w:val="bottom"/>
          </w:tcPr>
          <w:p>
            <w:pPr>
              <w:spacing w:after="0"/>
              <w:rPr>
                <w:sz w:val="1"/>
                <w:szCs w:val="1"/>
                <w:color w:val="auto"/>
              </w:rPr>
            </w:pPr>
          </w:p>
        </w:tc>
      </w:tr>
      <w:tr>
        <w:trPr>
          <w:trHeight w:val="209"/>
        </w:trPr>
        <w:tc>
          <w:tcPr>
            <w:tcW w:w="790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5,810,656</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5,816,167</w:t>
            </w:r>
          </w:p>
        </w:tc>
        <w:tc>
          <w:tcPr>
            <w:tcW w:w="0" w:type="dxa"/>
            <w:vAlign w:val="bottom"/>
          </w:tcPr>
          <w:p>
            <w:pPr>
              <w:spacing w:after="0"/>
              <w:rPr>
                <w:sz w:val="1"/>
                <w:szCs w:val="1"/>
                <w:color w:val="auto"/>
              </w:rPr>
            </w:pPr>
          </w:p>
        </w:tc>
      </w:tr>
      <w:tr>
        <w:trPr>
          <w:trHeight w:val="20"/>
        </w:trPr>
        <w:tc>
          <w:tcPr>
            <w:tcW w:w="790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900" w:type="dxa"/>
            <w:vAlign w:val="bottom"/>
            <w:shd w:val="clear" w:color="auto" w:fill="DBDBDB"/>
          </w:tcPr>
          <w:p>
            <w:pPr>
              <w:ind w:left="20"/>
              <w:spacing w:after="0"/>
              <w:rPr>
                <w:sz w:val="20"/>
                <w:szCs w:val="20"/>
                <w:color w:val="auto"/>
              </w:rPr>
            </w:pPr>
            <w:r>
              <w:rPr>
                <w:rFonts w:ascii="Arial" w:cs="Arial" w:eastAsia="Arial" w:hAnsi="Arial"/>
                <w:sz w:val="16"/>
                <w:szCs w:val="16"/>
                <w:color w:val="auto"/>
              </w:rPr>
              <w:t>Liabilities and equity</w:t>
            </w:r>
          </w:p>
        </w:tc>
        <w:tc>
          <w:tcPr>
            <w:tcW w:w="180" w:type="dxa"/>
            <w:vAlign w:val="bottom"/>
            <w:shd w:val="clear" w:color="auto" w:fill="DBDBDB"/>
          </w:tcPr>
          <w:p>
            <w:pPr>
              <w:spacing w:after="0"/>
              <w:rPr>
                <w:sz w:val="15"/>
                <w:szCs w:val="15"/>
                <w:color w:val="auto"/>
              </w:rPr>
            </w:pPr>
          </w:p>
        </w:tc>
        <w:tc>
          <w:tcPr>
            <w:tcW w:w="144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460" w:type="dxa"/>
            <w:vAlign w:val="bottom"/>
            <w:shd w:val="clear" w:color="auto" w:fill="DBDBDB"/>
          </w:tcPr>
          <w:p>
            <w:pPr>
              <w:spacing w:after="0"/>
              <w:rPr>
                <w:sz w:val="15"/>
                <w:szCs w:val="15"/>
                <w:color w:val="auto"/>
              </w:rPr>
            </w:pPr>
          </w:p>
        </w:tc>
        <w:tc>
          <w:tcPr>
            <w:tcW w:w="11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790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142,454</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109,864</w:t>
            </w:r>
          </w:p>
        </w:tc>
        <w:tc>
          <w:tcPr>
            <w:tcW w:w="0" w:type="dxa"/>
            <w:vAlign w:val="bottom"/>
          </w:tcPr>
          <w:p>
            <w:pPr>
              <w:spacing w:after="0"/>
              <w:rPr>
                <w:sz w:val="1"/>
                <w:szCs w:val="1"/>
                <w:color w:val="auto"/>
              </w:rPr>
            </w:pPr>
          </w:p>
        </w:tc>
      </w:tr>
      <w:tr>
        <w:trPr>
          <w:trHeight w:val="217"/>
        </w:trPr>
        <w:tc>
          <w:tcPr>
            <w:tcW w:w="7900" w:type="dxa"/>
            <w:vAlign w:val="bottom"/>
            <w:shd w:val="clear" w:color="auto" w:fill="DBDBDB"/>
          </w:tcPr>
          <w:p>
            <w:pPr>
              <w:ind w:left="240"/>
              <w:spacing w:after="0"/>
              <w:rPr>
                <w:sz w:val="20"/>
                <w:szCs w:val="20"/>
                <w:color w:val="auto"/>
              </w:rPr>
            </w:pPr>
            <w:r>
              <w:rPr>
                <w:rFonts w:ascii="Arial" w:cs="Arial" w:eastAsia="Arial" w:hAnsi="Arial"/>
                <w:sz w:val="16"/>
                <w:szCs w:val="16"/>
                <w:color w:val="auto"/>
              </w:rPr>
              <w:t>Accrued expenses</w:t>
            </w:r>
          </w:p>
        </w:tc>
        <w:tc>
          <w:tcPr>
            <w:tcW w:w="180" w:type="dxa"/>
            <w:vAlign w:val="bottom"/>
            <w:shd w:val="clear" w:color="auto" w:fill="DBDBDB"/>
          </w:tcPr>
          <w:p>
            <w:pPr>
              <w:spacing w:after="0"/>
              <w:rPr>
                <w:sz w:val="18"/>
                <w:szCs w:val="18"/>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150,873</w:t>
            </w: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125,896</w:t>
            </w:r>
          </w:p>
        </w:tc>
        <w:tc>
          <w:tcPr>
            <w:tcW w:w="0" w:type="dxa"/>
            <w:vAlign w:val="bottom"/>
          </w:tcPr>
          <w:p>
            <w:pPr>
              <w:spacing w:after="0"/>
              <w:rPr>
                <w:sz w:val="1"/>
                <w:szCs w:val="1"/>
                <w:color w:val="auto"/>
              </w:rPr>
            </w:pPr>
          </w:p>
        </w:tc>
      </w:tr>
      <w:tr>
        <w:trPr>
          <w:trHeight w:val="215"/>
        </w:trPr>
        <w:tc>
          <w:tcPr>
            <w:tcW w:w="7900" w:type="dxa"/>
            <w:vAlign w:val="bottom"/>
          </w:tcPr>
          <w:p>
            <w:pPr>
              <w:ind w:left="240"/>
              <w:spacing w:after="0"/>
              <w:rPr>
                <w:sz w:val="20"/>
                <w:szCs w:val="20"/>
                <w:color w:val="auto"/>
              </w:rPr>
            </w:pPr>
            <w:r>
              <w:rPr>
                <w:rFonts w:ascii="Arial" w:cs="Arial" w:eastAsia="Arial" w:hAnsi="Arial"/>
                <w:sz w:val="16"/>
                <w:szCs w:val="16"/>
                <w:color w:val="auto"/>
              </w:rPr>
              <w:t>Accrued employee benefits</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30,012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36,176</w:t>
            </w:r>
          </w:p>
        </w:tc>
        <w:tc>
          <w:tcPr>
            <w:tcW w:w="0" w:type="dxa"/>
            <w:vAlign w:val="bottom"/>
          </w:tcPr>
          <w:p>
            <w:pPr>
              <w:spacing w:after="0"/>
              <w:rPr>
                <w:sz w:val="1"/>
                <w:szCs w:val="1"/>
                <w:color w:val="auto"/>
              </w:rPr>
            </w:pPr>
          </w:p>
        </w:tc>
      </w:tr>
      <w:tr>
        <w:trPr>
          <w:trHeight w:val="217"/>
        </w:trPr>
        <w:tc>
          <w:tcPr>
            <w:tcW w:w="7900" w:type="dxa"/>
            <w:vAlign w:val="bottom"/>
            <w:shd w:val="clear" w:color="auto" w:fill="DBDBDB"/>
          </w:tcPr>
          <w:p>
            <w:pPr>
              <w:ind w:left="240"/>
              <w:spacing w:after="0"/>
              <w:rPr>
                <w:sz w:val="20"/>
                <w:szCs w:val="20"/>
                <w:color w:val="auto"/>
              </w:rPr>
            </w:pPr>
            <w:r>
              <w:rPr>
                <w:rFonts w:ascii="Arial" w:cs="Arial" w:eastAsia="Arial" w:hAnsi="Arial"/>
                <w:sz w:val="16"/>
                <w:szCs w:val="16"/>
                <w:color w:val="auto"/>
              </w:rPr>
              <w:t>Deferred revenue and customer deposits</w:t>
            </w:r>
          </w:p>
        </w:tc>
        <w:tc>
          <w:tcPr>
            <w:tcW w:w="180" w:type="dxa"/>
            <w:vAlign w:val="bottom"/>
            <w:shd w:val="clear" w:color="auto" w:fill="DBDBDB"/>
          </w:tcPr>
          <w:p>
            <w:pPr>
              <w:spacing w:after="0"/>
              <w:rPr>
                <w:sz w:val="18"/>
                <w:szCs w:val="18"/>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244,854</w:t>
            </w: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237,322</w:t>
            </w:r>
          </w:p>
        </w:tc>
        <w:tc>
          <w:tcPr>
            <w:tcW w:w="0" w:type="dxa"/>
            <w:vAlign w:val="bottom"/>
          </w:tcPr>
          <w:p>
            <w:pPr>
              <w:spacing w:after="0"/>
              <w:rPr>
                <w:sz w:val="1"/>
                <w:szCs w:val="1"/>
                <w:color w:val="auto"/>
              </w:rPr>
            </w:pPr>
          </w:p>
        </w:tc>
      </w:tr>
      <w:tr>
        <w:trPr>
          <w:trHeight w:val="215"/>
        </w:trPr>
        <w:tc>
          <w:tcPr>
            <w:tcW w:w="7900" w:type="dxa"/>
            <w:vAlign w:val="bottom"/>
          </w:tcPr>
          <w:p>
            <w:pPr>
              <w:ind w:left="240"/>
              <w:spacing w:after="0"/>
              <w:rPr>
                <w:sz w:val="20"/>
                <w:szCs w:val="20"/>
                <w:color w:val="auto"/>
              </w:rPr>
            </w:pPr>
            <w:r>
              <w:rPr>
                <w:rFonts w:ascii="Arial" w:cs="Arial" w:eastAsia="Arial" w:hAnsi="Arial"/>
                <w:sz w:val="16"/>
                <w:szCs w:val="16"/>
                <w:color w:val="auto"/>
              </w:rPr>
              <w:t>Operating lease liabilities – current</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70,155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70,752</w:t>
            </w:r>
          </w:p>
        </w:tc>
        <w:tc>
          <w:tcPr>
            <w:tcW w:w="0" w:type="dxa"/>
            <w:vAlign w:val="bottom"/>
          </w:tcPr>
          <w:p>
            <w:pPr>
              <w:spacing w:after="0"/>
              <w:rPr>
                <w:sz w:val="1"/>
                <w:szCs w:val="1"/>
                <w:color w:val="auto"/>
              </w:rPr>
            </w:pPr>
          </w:p>
        </w:tc>
      </w:tr>
      <w:tr>
        <w:trPr>
          <w:trHeight w:val="217"/>
        </w:trPr>
        <w:tc>
          <w:tcPr>
            <w:tcW w:w="7900" w:type="dxa"/>
            <w:vAlign w:val="bottom"/>
            <w:shd w:val="clear" w:color="auto" w:fill="DBDBDB"/>
          </w:tcPr>
          <w:p>
            <w:pPr>
              <w:ind w:left="240"/>
              <w:spacing w:after="0"/>
              <w:rPr>
                <w:sz w:val="20"/>
                <w:szCs w:val="20"/>
                <w:color w:val="auto"/>
              </w:rPr>
            </w:pPr>
            <w:r>
              <w:rPr>
                <w:rFonts w:ascii="Arial" w:cs="Arial" w:eastAsia="Arial" w:hAnsi="Arial"/>
                <w:sz w:val="16"/>
                <w:szCs w:val="16"/>
                <w:color w:val="auto"/>
              </w:rPr>
              <w:t>Current portion of long-term debt</w:t>
            </w:r>
          </w:p>
        </w:tc>
        <w:tc>
          <w:tcPr>
            <w:tcW w:w="180" w:type="dxa"/>
            <w:vAlign w:val="bottom"/>
            <w:tcBorders>
              <w:bottom w:val="single" w:sz="8" w:color="auto"/>
            </w:tcBorders>
            <w:shd w:val="clear" w:color="auto" w:fill="DBDBDB"/>
          </w:tcPr>
          <w:p>
            <w:pPr>
              <w:spacing w:after="0"/>
              <w:rPr>
                <w:sz w:val="18"/>
                <w:szCs w:val="18"/>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31,934</w:t>
            </w:r>
          </w:p>
        </w:tc>
        <w:tc>
          <w:tcPr>
            <w:tcW w:w="100" w:type="dxa"/>
            <w:vAlign w:val="bottom"/>
            <w:shd w:val="clear" w:color="auto" w:fill="DBDBDB"/>
          </w:tcPr>
          <w:p>
            <w:pPr>
              <w:spacing w:after="0"/>
              <w:rPr>
                <w:sz w:val="18"/>
                <w:szCs w:val="18"/>
                <w:color w:val="auto"/>
              </w:rPr>
            </w:pPr>
          </w:p>
        </w:tc>
        <w:tc>
          <w:tcPr>
            <w:tcW w:w="460" w:type="dxa"/>
            <w:vAlign w:val="bottom"/>
            <w:tcBorders>
              <w:bottom w:val="single" w:sz="8" w:color="auto"/>
            </w:tcBorders>
            <w:shd w:val="clear" w:color="auto" w:fill="DBDBDB"/>
          </w:tcPr>
          <w:p>
            <w:pPr>
              <w:spacing w:after="0"/>
              <w:rPr>
                <w:sz w:val="18"/>
                <w:szCs w:val="18"/>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31,094</w:t>
            </w:r>
          </w:p>
        </w:tc>
        <w:tc>
          <w:tcPr>
            <w:tcW w:w="0" w:type="dxa"/>
            <w:vAlign w:val="bottom"/>
          </w:tcPr>
          <w:p>
            <w:pPr>
              <w:spacing w:after="0"/>
              <w:rPr>
                <w:sz w:val="1"/>
                <w:szCs w:val="1"/>
                <w:color w:val="auto"/>
              </w:rPr>
            </w:pPr>
          </w:p>
        </w:tc>
      </w:tr>
      <w:tr>
        <w:trPr>
          <w:trHeight w:val="209"/>
        </w:trPr>
        <w:tc>
          <w:tcPr>
            <w:tcW w:w="7900" w:type="dxa"/>
            <w:vAlign w:val="bottom"/>
          </w:tcPr>
          <w:p>
            <w:pPr>
              <w:ind w:left="46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670,282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611,104</w:t>
            </w:r>
          </w:p>
        </w:tc>
        <w:tc>
          <w:tcPr>
            <w:tcW w:w="0" w:type="dxa"/>
            <w:vAlign w:val="bottom"/>
          </w:tcPr>
          <w:p>
            <w:pPr>
              <w:spacing w:after="0"/>
              <w:rPr>
                <w:sz w:val="1"/>
                <w:szCs w:val="1"/>
                <w:color w:val="auto"/>
              </w:rPr>
            </w:pPr>
          </w:p>
        </w:tc>
      </w:tr>
      <w:tr>
        <w:trPr>
          <w:trHeight w:val="217"/>
        </w:trPr>
        <w:tc>
          <w:tcPr>
            <w:tcW w:w="7900" w:type="dxa"/>
            <w:vAlign w:val="bottom"/>
            <w:shd w:val="clear" w:color="auto" w:fill="DBDBDB"/>
          </w:tcPr>
          <w:p>
            <w:pPr>
              <w:ind w:left="240"/>
              <w:spacing w:after="0"/>
              <w:rPr>
                <w:sz w:val="20"/>
                <w:szCs w:val="20"/>
                <w:color w:val="auto"/>
              </w:rPr>
            </w:pPr>
            <w:r>
              <w:rPr>
                <w:rFonts w:ascii="Arial" w:cs="Arial" w:eastAsia="Arial" w:hAnsi="Arial"/>
                <w:sz w:val="16"/>
                <w:szCs w:val="16"/>
                <w:color w:val="auto"/>
              </w:rPr>
              <w:t>Long-term debt</w:t>
            </w:r>
          </w:p>
        </w:tc>
        <w:tc>
          <w:tcPr>
            <w:tcW w:w="180" w:type="dxa"/>
            <w:vAlign w:val="bottom"/>
            <w:shd w:val="clear" w:color="auto" w:fill="DBDBDB"/>
          </w:tcPr>
          <w:p>
            <w:pPr>
              <w:spacing w:after="0"/>
              <w:rPr>
                <w:sz w:val="18"/>
                <w:szCs w:val="18"/>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3,482,297</w:t>
            </w: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3,557,074</w:t>
            </w:r>
          </w:p>
        </w:tc>
        <w:tc>
          <w:tcPr>
            <w:tcW w:w="0" w:type="dxa"/>
            <w:vAlign w:val="bottom"/>
          </w:tcPr>
          <w:p>
            <w:pPr>
              <w:spacing w:after="0"/>
              <w:rPr>
                <w:sz w:val="1"/>
                <w:szCs w:val="1"/>
                <w:color w:val="auto"/>
              </w:rPr>
            </w:pPr>
          </w:p>
        </w:tc>
      </w:tr>
      <w:tr>
        <w:trPr>
          <w:trHeight w:val="215"/>
        </w:trPr>
        <w:tc>
          <w:tcPr>
            <w:tcW w:w="7900" w:type="dxa"/>
            <w:vAlign w:val="bottom"/>
          </w:tcPr>
          <w:p>
            <w:pPr>
              <w:ind w:left="240"/>
              <w:spacing w:after="0"/>
              <w:rPr>
                <w:sz w:val="20"/>
                <w:szCs w:val="20"/>
                <w:color w:val="auto"/>
              </w:rPr>
            </w:pPr>
            <w:r>
              <w:rPr>
                <w:rFonts w:ascii="Arial" w:cs="Arial" w:eastAsia="Arial" w:hAnsi="Arial"/>
                <w:sz w:val="16"/>
                <w:szCs w:val="16"/>
                <w:color w:val="auto"/>
              </w:rPr>
              <w:t>Deferred tax liabilities</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501,582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492,332</w:t>
            </w:r>
          </w:p>
        </w:tc>
        <w:tc>
          <w:tcPr>
            <w:tcW w:w="0" w:type="dxa"/>
            <w:vAlign w:val="bottom"/>
          </w:tcPr>
          <w:p>
            <w:pPr>
              <w:spacing w:after="0"/>
              <w:rPr>
                <w:sz w:val="1"/>
                <w:szCs w:val="1"/>
                <w:color w:val="auto"/>
              </w:rPr>
            </w:pPr>
          </w:p>
        </w:tc>
      </w:tr>
      <w:tr>
        <w:trPr>
          <w:trHeight w:val="217"/>
        </w:trPr>
        <w:tc>
          <w:tcPr>
            <w:tcW w:w="7900" w:type="dxa"/>
            <w:vAlign w:val="bottom"/>
            <w:shd w:val="clear" w:color="auto" w:fill="DBDBDB"/>
          </w:tcPr>
          <w:p>
            <w:pPr>
              <w:ind w:left="240"/>
              <w:spacing w:after="0"/>
              <w:rPr>
                <w:sz w:val="20"/>
                <w:szCs w:val="20"/>
                <w:color w:val="auto"/>
              </w:rPr>
            </w:pPr>
            <w:r>
              <w:rPr>
                <w:rFonts w:ascii="Arial" w:cs="Arial" w:eastAsia="Arial" w:hAnsi="Arial"/>
                <w:sz w:val="16"/>
                <w:szCs w:val="16"/>
                <w:color w:val="auto"/>
              </w:rPr>
              <w:t>Operating lease liabilities – non-current</w:t>
            </w:r>
          </w:p>
        </w:tc>
        <w:tc>
          <w:tcPr>
            <w:tcW w:w="180" w:type="dxa"/>
            <w:vAlign w:val="bottom"/>
            <w:shd w:val="clear" w:color="auto" w:fill="DBDBDB"/>
          </w:tcPr>
          <w:p>
            <w:pPr>
              <w:spacing w:after="0"/>
              <w:rPr>
                <w:sz w:val="18"/>
                <w:szCs w:val="18"/>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231,075</w:t>
            </w: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241,933</w:t>
            </w:r>
          </w:p>
        </w:tc>
        <w:tc>
          <w:tcPr>
            <w:tcW w:w="0" w:type="dxa"/>
            <w:vAlign w:val="bottom"/>
          </w:tcPr>
          <w:p>
            <w:pPr>
              <w:spacing w:after="0"/>
              <w:rPr>
                <w:sz w:val="1"/>
                <w:szCs w:val="1"/>
                <w:color w:val="auto"/>
              </w:rPr>
            </w:pPr>
          </w:p>
        </w:tc>
      </w:tr>
      <w:tr>
        <w:trPr>
          <w:trHeight w:val="215"/>
        </w:trPr>
        <w:tc>
          <w:tcPr>
            <w:tcW w:w="7900" w:type="dxa"/>
            <w:vAlign w:val="bottom"/>
            <w:tcBorders>
              <w:bottom w:val="single" w:sz="8" w:color="DBDBDB"/>
            </w:tcBorders>
          </w:tcPr>
          <w:p>
            <w:pPr>
              <w:ind w:left="240"/>
              <w:spacing w:after="0"/>
              <w:rPr>
                <w:sz w:val="20"/>
                <w:szCs w:val="20"/>
                <w:color w:val="auto"/>
              </w:rPr>
            </w:pPr>
            <w:r>
              <w:rPr>
                <w:rFonts w:ascii="Arial" w:cs="Arial" w:eastAsia="Arial" w:hAnsi="Arial"/>
                <w:sz w:val="16"/>
                <w:szCs w:val="16"/>
                <w:color w:val="auto"/>
              </w:rPr>
              <w:t>Other non-current liabilities</w:t>
            </w: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54,896</w:t>
            </w:r>
          </w:p>
        </w:tc>
        <w:tc>
          <w:tcPr>
            <w:tcW w:w="100" w:type="dxa"/>
            <w:vAlign w:val="bottom"/>
            <w:tcBorders>
              <w:bottom w:val="single" w:sz="8" w:color="DBDBDB"/>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57,470</w:t>
            </w:r>
          </w:p>
        </w:tc>
        <w:tc>
          <w:tcPr>
            <w:tcW w:w="0" w:type="dxa"/>
            <w:vAlign w:val="bottom"/>
          </w:tcPr>
          <w:p>
            <w:pPr>
              <w:spacing w:after="0"/>
              <w:rPr>
                <w:sz w:val="1"/>
                <w:szCs w:val="1"/>
                <w:color w:val="auto"/>
              </w:rPr>
            </w:pPr>
          </w:p>
        </w:tc>
      </w:tr>
      <w:tr>
        <w:trPr>
          <w:trHeight w:val="210"/>
        </w:trPr>
        <w:tc>
          <w:tcPr>
            <w:tcW w:w="7900" w:type="dxa"/>
            <w:vAlign w:val="bottom"/>
            <w:shd w:val="clear" w:color="auto" w:fill="DBDBDB"/>
          </w:tcPr>
          <w:p>
            <w:pPr>
              <w:ind w:left="460"/>
              <w:spacing w:after="0"/>
              <w:rPr>
                <w:sz w:val="20"/>
                <w:szCs w:val="20"/>
                <w:color w:val="auto"/>
              </w:rPr>
            </w:pPr>
            <w:r>
              <w:rPr>
                <w:rFonts w:ascii="Arial" w:cs="Arial" w:eastAsia="Arial" w:hAnsi="Arial"/>
                <w:sz w:val="16"/>
                <w:szCs w:val="16"/>
                <w:color w:val="auto"/>
              </w:rPr>
              <w:t>Long-term liabilities</w:t>
            </w:r>
          </w:p>
        </w:tc>
        <w:tc>
          <w:tcPr>
            <w:tcW w:w="180" w:type="dxa"/>
            <w:vAlign w:val="bottom"/>
            <w:tcBorders>
              <w:bottom w:val="single" w:sz="8" w:color="auto"/>
            </w:tcBorders>
            <w:shd w:val="clear" w:color="auto" w:fill="DBDBDB"/>
          </w:tcPr>
          <w:p>
            <w:pPr>
              <w:spacing w:after="0"/>
              <w:rPr>
                <w:sz w:val="18"/>
                <w:szCs w:val="18"/>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4,269,850</w:t>
            </w:r>
          </w:p>
        </w:tc>
        <w:tc>
          <w:tcPr>
            <w:tcW w:w="100" w:type="dxa"/>
            <w:vAlign w:val="bottom"/>
            <w:shd w:val="clear" w:color="auto" w:fill="DBDBDB"/>
          </w:tcPr>
          <w:p>
            <w:pPr>
              <w:spacing w:after="0"/>
              <w:rPr>
                <w:sz w:val="18"/>
                <w:szCs w:val="18"/>
                <w:color w:val="auto"/>
              </w:rPr>
            </w:pPr>
          </w:p>
        </w:tc>
        <w:tc>
          <w:tcPr>
            <w:tcW w:w="460" w:type="dxa"/>
            <w:vAlign w:val="bottom"/>
            <w:tcBorders>
              <w:bottom w:val="single" w:sz="8" w:color="auto"/>
            </w:tcBorders>
            <w:shd w:val="clear" w:color="auto" w:fill="DBDBDB"/>
          </w:tcPr>
          <w:p>
            <w:pPr>
              <w:spacing w:after="0"/>
              <w:rPr>
                <w:sz w:val="18"/>
                <w:szCs w:val="18"/>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4,348,809</w:t>
            </w:r>
          </w:p>
        </w:tc>
        <w:tc>
          <w:tcPr>
            <w:tcW w:w="0" w:type="dxa"/>
            <w:vAlign w:val="bottom"/>
          </w:tcPr>
          <w:p>
            <w:pPr>
              <w:spacing w:after="0"/>
              <w:rPr>
                <w:sz w:val="1"/>
                <w:szCs w:val="1"/>
                <w:color w:val="auto"/>
              </w:rPr>
            </w:pPr>
          </w:p>
        </w:tc>
      </w:tr>
      <w:tr>
        <w:trPr>
          <w:trHeight w:val="209"/>
        </w:trPr>
        <w:tc>
          <w:tcPr>
            <w:tcW w:w="790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4,940,132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4,959,913</w:t>
            </w:r>
          </w:p>
        </w:tc>
        <w:tc>
          <w:tcPr>
            <w:tcW w:w="0" w:type="dxa"/>
            <w:vAlign w:val="bottom"/>
          </w:tcPr>
          <w:p>
            <w:pPr>
              <w:spacing w:after="0"/>
              <w:rPr>
                <w:sz w:val="1"/>
                <w:szCs w:val="1"/>
                <w:color w:val="auto"/>
              </w:rPr>
            </w:pPr>
          </w:p>
        </w:tc>
      </w:tr>
      <w:tr>
        <w:trPr>
          <w:trHeight w:val="163"/>
        </w:trPr>
        <w:tc>
          <w:tcPr>
            <w:tcW w:w="7900" w:type="dxa"/>
            <w:vAlign w:val="bottom"/>
            <w:shd w:val="clear" w:color="auto" w:fill="DBDBDB"/>
          </w:tcPr>
          <w:p>
            <w:pPr>
              <w:ind w:left="240"/>
              <w:spacing w:after="0" w:line="163" w:lineRule="exact"/>
              <w:rPr>
                <w:sz w:val="20"/>
                <w:szCs w:val="20"/>
                <w:color w:val="auto"/>
              </w:rPr>
            </w:pPr>
            <w:r>
              <w:rPr>
                <w:rFonts w:ascii="Arial" w:cs="Arial" w:eastAsia="Arial" w:hAnsi="Arial"/>
                <w:sz w:val="16"/>
                <w:szCs w:val="16"/>
                <w:color w:val="auto"/>
              </w:rPr>
              <w:t>Preferred Stock: $0.0001 par, 1,000,000 shares authorized and zero shares issued and outstanding at</w:t>
            </w:r>
          </w:p>
        </w:tc>
        <w:tc>
          <w:tcPr>
            <w:tcW w:w="180" w:type="dxa"/>
            <w:vAlign w:val="bottom"/>
            <w:shd w:val="clear" w:color="auto" w:fill="DBDBDB"/>
          </w:tcPr>
          <w:p>
            <w:pPr>
              <w:spacing w:after="0"/>
              <w:rPr>
                <w:sz w:val="14"/>
                <w:szCs w:val="14"/>
                <w:color w:val="auto"/>
              </w:rPr>
            </w:pPr>
          </w:p>
        </w:tc>
        <w:tc>
          <w:tcPr>
            <w:tcW w:w="154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shd w:val="clear" w:color="auto" w:fill="DBDBDB"/>
          </w:tcPr>
          <w:p>
            <w:pPr>
              <w:spacing w:after="0"/>
              <w:rPr>
                <w:sz w:val="14"/>
                <w:szCs w:val="14"/>
                <w:color w:val="auto"/>
              </w:rPr>
            </w:pPr>
          </w:p>
        </w:tc>
        <w:tc>
          <w:tcPr>
            <w:tcW w:w="116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900" w:type="dxa"/>
            <w:vAlign w:val="bottom"/>
            <w:shd w:val="clear" w:color="auto" w:fill="DBDBDB"/>
          </w:tcPr>
          <w:p>
            <w:pPr>
              <w:ind w:left="240"/>
              <w:spacing w:after="0"/>
              <w:rPr>
                <w:sz w:val="20"/>
                <w:szCs w:val="20"/>
                <w:color w:val="auto"/>
              </w:rPr>
            </w:pPr>
            <w:r>
              <w:rPr>
                <w:rFonts w:ascii="Arial" w:cs="Arial" w:eastAsia="Arial" w:hAnsi="Arial"/>
                <w:sz w:val="16"/>
                <w:szCs w:val="16"/>
                <w:color w:val="auto"/>
              </w:rPr>
              <w:t>March 31, 2026 and December 31, 2025</w:t>
            </w:r>
          </w:p>
        </w:tc>
        <w:tc>
          <w:tcPr>
            <w:tcW w:w="180" w:type="dxa"/>
            <w:vAlign w:val="bottom"/>
            <w:shd w:val="clear" w:color="auto" w:fill="DBDBDB"/>
          </w:tcPr>
          <w:p>
            <w:pPr>
              <w:spacing w:after="0"/>
              <w:rPr>
                <w:sz w:val="18"/>
                <w:szCs w:val="18"/>
                <w:color w:val="auto"/>
              </w:rPr>
            </w:pPr>
          </w:p>
        </w:tc>
        <w:tc>
          <w:tcPr>
            <w:tcW w:w="1540" w:type="dxa"/>
            <w:vAlign w:val="bottom"/>
            <w:gridSpan w:val="2"/>
            <w:vMerge w:val="continue"/>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160" w:type="dxa"/>
            <w:vAlign w:val="bottom"/>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900" w:type="dxa"/>
            <w:vAlign w:val="bottom"/>
          </w:tcPr>
          <w:p>
            <w:pPr>
              <w:ind w:left="240"/>
              <w:spacing w:after="0" w:line="162" w:lineRule="exact"/>
              <w:rPr>
                <w:sz w:val="20"/>
                <w:szCs w:val="20"/>
                <w:color w:val="auto"/>
              </w:rPr>
            </w:pPr>
            <w:r>
              <w:rPr>
                <w:rFonts w:ascii="Arial" w:cs="Arial" w:eastAsia="Arial" w:hAnsi="Arial"/>
                <w:sz w:val="16"/>
                <w:szCs w:val="16"/>
                <w:color w:val="auto"/>
              </w:rPr>
              <w:t>Common Stock: $0.0001 par, 500,000,000 shares authorized and 180,994,679 and 181,184,438 shares</w:t>
            </w:r>
          </w:p>
        </w:tc>
        <w:tc>
          <w:tcPr>
            <w:tcW w:w="18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5"/>
        </w:trPr>
        <w:tc>
          <w:tcPr>
            <w:tcW w:w="7900" w:type="dxa"/>
            <w:vAlign w:val="bottom"/>
          </w:tcPr>
          <w:p>
            <w:pPr>
              <w:ind w:left="240"/>
              <w:spacing w:after="0"/>
              <w:rPr>
                <w:sz w:val="20"/>
                <w:szCs w:val="20"/>
                <w:color w:val="auto"/>
              </w:rPr>
            </w:pPr>
            <w:r>
              <w:rPr>
                <w:rFonts w:ascii="Arial" w:cs="Arial" w:eastAsia="Arial" w:hAnsi="Arial"/>
                <w:sz w:val="16"/>
                <w:szCs w:val="16"/>
                <w:color w:val="auto"/>
              </w:rPr>
              <w:t>issued and outstanding at March 31, 2026 and December 31, 2025, respectively</w:t>
            </w:r>
          </w:p>
        </w:tc>
        <w:tc>
          <w:tcPr>
            <w:tcW w:w="18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900" w:type="dxa"/>
            <w:vAlign w:val="bottom"/>
            <w:shd w:val="clear" w:color="auto" w:fill="DBDBDB"/>
          </w:tcPr>
          <w:p>
            <w:pPr>
              <w:ind w:left="240"/>
              <w:spacing w:after="0"/>
              <w:rPr>
                <w:sz w:val="20"/>
                <w:szCs w:val="20"/>
                <w:color w:val="auto"/>
              </w:rPr>
            </w:pPr>
            <w:r>
              <w:rPr>
                <w:rFonts w:ascii="Arial" w:cs="Arial" w:eastAsia="Arial" w:hAnsi="Arial"/>
                <w:sz w:val="16"/>
                <w:szCs w:val="16"/>
                <w:color w:val="auto"/>
              </w:rPr>
              <w:t>Additional paid-in-capital</w:t>
            </w:r>
          </w:p>
        </w:tc>
        <w:tc>
          <w:tcPr>
            <w:tcW w:w="180" w:type="dxa"/>
            <w:vAlign w:val="bottom"/>
            <w:shd w:val="clear" w:color="auto" w:fill="DBDBDB"/>
          </w:tcPr>
          <w:p>
            <w:pPr>
              <w:spacing w:after="0"/>
              <w:rPr>
                <w:sz w:val="18"/>
                <w:szCs w:val="18"/>
                <w:color w:val="auto"/>
              </w:rPr>
            </w:pPr>
          </w:p>
        </w:tc>
        <w:tc>
          <w:tcPr>
            <w:tcW w:w="14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1,710,836</w:t>
            </w: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1,725,642</w:t>
            </w:r>
          </w:p>
        </w:tc>
        <w:tc>
          <w:tcPr>
            <w:tcW w:w="0" w:type="dxa"/>
            <w:vAlign w:val="bottom"/>
          </w:tcPr>
          <w:p>
            <w:pPr>
              <w:spacing w:after="0"/>
              <w:rPr>
                <w:sz w:val="1"/>
                <w:szCs w:val="1"/>
                <w:color w:val="auto"/>
              </w:rPr>
            </w:pPr>
          </w:p>
        </w:tc>
      </w:tr>
      <w:tr>
        <w:trPr>
          <w:trHeight w:val="215"/>
        </w:trPr>
        <w:tc>
          <w:tcPr>
            <w:tcW w:w="7900" w:type="dxa"/>
            <w:vAlign w:val="bottom"/>
          </w:tcPr>
          <w:p>
            <w:pPr>
              <w:ind w:left="24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(68,500)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(69,453)</w:t>
            </w:r>
          </w:p>
        </w:tc>
        <w:tc>
          <w:tcPr>
            <w:tcW w:w="0" w:type="dxa"/>
            <w:vAlign w:val="bottom"/>
          </w:tcPr>
          <w:p>
            <w:pPr>
              <w:spacing w:after="0"/>
              <w:rPr>
                <w:sz w:val="1"/>
                <w:szCs w:val="1"/>
                <w:color w:val="auto"/>
              </w:rPr>
            </w:pPr>
          </w:p>
        </w:tc>
      </w:tr>
      <w:tr>
        <w:trPr>
          <w:trHeight w:val="217"/>
        </w:trPr>
        <w:tc>
          <w:tcPr>
            <w:tcW w:w="7900" w:type="dxa"/>
            <w:vAlign w:val="bottom"/>
            <w:shd w:val="clear" w:color="auto" w:fill="DBDBDB"/>
          </w:tcPr>
          <w:p>
            <w:pPr>
              <w:ind w:left="240"/>
              <w:spacing w:after="0"/>
              <w:rPr>
                <w:sz w:val="20"/>
                <w:szCs w:val="20"/>
                <w:color w:val="auto"/>
              </w:rPr>
            </w:pPr>
            <w:r>
              <w:rPr>
                <w:rFonts w:ascii="Arial" w:cs="Arial" w:eastAsia="Arial" w:hAnsi="Arial"/>
                <w:sz w:val="16"/>
                <w:szCs w:val="16"/>
                <w:color w:val="auto"/>
              </w:rPr>
              <w:t>Accumulated deficit</w:t>
            </w:r>
          </w:p>
        </w:tc>
        <w:tc>
          <w:tcPr>
            <w:tcW w:w="180" w:type="dxa"/>
            <w:vAlign w:val="bottom"/>
            <w:tcBorders>
              <w:bottom w:val="single" w:sz="8" w:color="auto"/>
            </w:tcBorders>
            <w:shd w:val="clear" w:color="auto" w:fill="DBDBDB"/>
          </w:tcPr>
          <w:p>
            <w:pPr>
              <w:spacing w:after="0"/>
              <w:rPr>
                <w:sz w:val="18"/>
                <w:szCs w:val="18"/>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(771,831)</w:t>
            </w:r>
          </w:p>
        </w:tc>
        <w:tc>
          <w:tcPr>
            <w:tcW w:w="100" w:type="dxa"/>
            <w:vAlign w:val="bottom"/>
            <w:shd w:val="clear" w:color="auto" w:fill="DBDBDB"/>
          </w:tcPr>
          <w:p>
            <w:pPr>
              <w:spacing w:after="0"/>
              <w:rPr>
                <w:sz w:val="18"/>
                <w:szCs w:val="18"/>
                <w:color w:val="auto"/>
              </w:rPr>
            </w:pPr>
          </w:p>
        </w:tc>
        <w:tc>
          <w:tcPr>
            <w:tcW w:w="460" w:type="dxa"/>
            <w:vAlign w:val="bottom"/>
            <w:tcBorders>
              <w:bottom w:val="single" w:sz="8" w:color="auto"/>
            </w:tcBorders>
            <w:shd w:val="clear" w:color="auto" w:fill="DBDBDB"/>
          </w:tcPr>
          <w:p>
            <w:pPr>
              <w:spacing w:after="0"/>
              <w:rPr>
                <w:sz w:val="18"/>
                <w:szCs w:val="18"/>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(799,954)</w:t>
            </w:r>
          </w:p>
        </w:tc>
        <w:tc>
          <w:tcPr>
            <w:tcW w:w="0" w:type="dxa"/>
            <w:vAlign w:val="bottom"/>
          </w:tcPr>
          <w:p>
            <w:pPr>
              <w:spacing w:after="0"/>
              <w:rPr>
                <w:sz w:val="1"/>
                <w:szCs w:val="1"/>
                <w:color w:val="auto"/>
              </w:rPr>
            </w:pPr>
          </w:p>
        </w:tc>
      </w:tr>
      <w:tr>
        <w:trPr>
          <w:trHeight w:val="209"/>
        </w:trPr>
        <w:tc>
          <w:tcPr>
            <w:tcW w:w="79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Total shareholders' equity</w:t>
            </w: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870,524</w:t>
            </w:r>
          </w:p>
        </w:tc>
        <w:tc>
          <w:tcPr>
            <w:tcW w:w="100" w:type="dxa"/>
            <w:vAlign w:val="bottom"/>
            <w:tcBorders>
              <w:bottom w:val="single" w:sz="8" w:color="DBDBDB"/>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856,254</w:t>
            </w:r>
          </w:p>
        </w:tc>
        <w:tc>
          <w:tcPr>
            <w:tcW w:w="0" w:type="dxa"/>
            <w:vAlign w:val="bottom"/>
          </w:tcPr>
          <w:p>
            <w:pPr>
              <w:spacing w:after="0"/>
              <w:rPr>
                <w:sz w:val="1"/>
                <w:szCs w:val="1"/>
                <w:color w:val="auto"/>
              </w:rPr>
            </w:pPr>
          </w:p>
        </w:tc>
      </w:tr>
      <w:tr>
        <w:trPr>
          <w:trHeight w:val="235"/>
        </w:trPr>
        <w:tc>
          <w:tcPr>
            <w:tcW w:w="79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Total liabilities and shareholders' equity</w:t>
            </w: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5,810,656</w:t>
            </w:r>
          </w:p>
        </w:tc>
        <w:tc>
          <w:tcPr>
            <w:tcW w:w="100" w:type="dxa"/>
            <w:vAlign w:val="bottom"/>
            <w:tcBorders>
              <w:bottom w:val="single" w:sz="8" w:color="DBDBDB"/>
            </w:tcBorders>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jc w:val="right"/>
              <w:ind w:right="2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5,816,167</w:t>
            </w:r>
          </w:p>
        </w:tc>
        <w:tc>
          <w:tcPr>
            <w:tcW w:w="0" w:type="dxa"/>
            <w:vAlign w:val="bottom"/>
          </w:tcPr>
          <w:p>
            <w:pPr>
              <w:spacing w:after="0"/>
              <w:rPr>
                <w:sz w:val="1"/>
                <w:szCs w:val="1"/>
                <w:color w:val="auto"/>
              </w:rPr>
            </w:pPr>
          </w:p>
        </w:tc>
      </w:tr>
      <w:tr>
        <w:trPr>
          <w:trHeight w:val="20"/>
        </w:trPr>
        <w:tc>
          <w:tcPr>
            <w:tcW w:w="790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4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1097"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b w:val="1"/>
          <w:bCs w:val="1"/>
          <w:color w:val="1D2758"/>
        </w:rPr>
        <w:t>Reconciliation of Non-GAAP Financial Measures</w:t>
      </w:r>
    </w:p>
    <w:p>
      <w:pPr>
        <w:spacing w:after="0" w:line="6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In addition to using GAAP financial measurements, we use certain non-GAAP financial measures to evaluate our operating results. Set forth below are definitions of the non-GAAP financial measures used in this press release, reconciliations of these non-GAAP financial measures to the most directly comparable GAAP financial measures, and the reasons why we believe these measures provide useful information to investors. Each of these non-GAAP financial measures has limitations as an analytical tool and should not be considered in isolation from, or as a substitute for analysis of, results reported under GAAP. Our measurements of these metrics may not be comparable to similarly titled measures of other companies.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1D2758"/>
        </w:rPr>
        <w:t>Adjusted EBITDA and Adjusted EBITDA Margin</w:t>
      </w:r>
    </w:p>
    <w:p>
      <w:pPr>
        <w:spacing w:after="0" w:line="6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We define EBITDA as net income plus net interest (income) expense, income tax expense (benefit), depreciation and amortization. Our adjusted EBITDA ("Adjusted EBITDA") reflects the following further adjustments to EBITDA to exclude certain non-cash items and the effect of what we consider transactions or events not related to our core business operations:</w:t>
      </w:r>
    </w:p>
    <w:p>
      <w:pPr>
        <w:spacing w:after="0" w:line="2"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Currency (gains) losses, net on monetary assets and liabilities denominated in foreign currencies other than the subsidiaries’ functional currency.</w:t>
      </w:r>
    </w:p>
    <w:p>
      <w:pPr>
        <w:spacing w:after="0" w:line="72"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Restructuring costs, lease impairment expense, and other related charges associated with restructuring plans designed to streamline operations and reduce costs including employee and lease termination costs.</w:t>
      </w:r>
    </w:p>
    <w:p>
      <w:pPr>
        <w:spacing w:after="0" w:line="7" w:lineRule="exact"/>
        <w:rPr>
          <w:rFonts w:ascii="Arial" w:cs="Arial" w:eastAsia="Arial" w:hAnsi="Arial"/>
          <w:sz w:val="16"/>
          <w:szCs w:val="16"/>
          <w:color w:val="auto"/>
        </w:rPr>
      </w:pPr>
    </w:p>
    <w:p>
      <w:pPr>
        <w:ind w:left="660" w:hanging="328"/>
        <w:spacing w:after="0" w:line="281"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Goodwill and other impairment charges related to non-cash costs associated with impairment charges to goodwill, other intangibles, rental fleet and property, plant and equipment.</w:t>
      </w:r>
    </w:p>
    <w:p>
      <w:pPr>
        <w:spacing w:after="0" w:line="1" w:lineRule="exact"/>
        <w:rPr>
          <w:rFonts w:ascii="Arial" w:cs="Arial" w:eastAsia="Arial" w:hAnsi="Arial"/>
          <w:sz w:val="16"/>
          <w:szCs w:val="16"/>
          <w:color w:val="auto"/>
        </w:rPr>
      </w:pPr>
    </w:p>
    <w:p>
      <w:pPr>
        <w:ind w:left="660" w:hanging="328"/>
        <w:spacing w:after="0" w:line="290"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Costs to integrate acquired companies, including outside professional fees, non-capitalized costs associated with system integrations, non-lease branch and fleet relocation expenses, employee relocation and training costs, and other costs required to realize cost or revenue synergies.</w:t>
      </w: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Transaction costs including legal and professional fees and other transaction specific related costs.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Non-cash charges for stock compensation plans.</w:t>
      </w:r>
    </w:p>
    <w:p>
      <w:pPr>
        <w:spacing w:after="0" w:line="59"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Other expense, including consulting expenses related to certain one-time projects, financing costs not classified as interest expense, gains and losses on disposals of property, plant, and equipment, unrealized gains and losses on investments, costs to implement the Company's real estate exits prior to the approval of the Network Optimization Plan, and non-equity executive transition costs.</w:t>
      </w:r>
    </w:p>
    <w:p>
      <w:pPr>
        <w:spacing w:after="0" w:line="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We define Adjusted EBITDA Margin as Adjusted EBITDA divided by revenue.</w:t>
      </w:r>
    </w:p>
    <w:p>
      <w:pPr>
        <w:spacing w:after="0" w:line="5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We evaluate business performance utilizing Adjusted EBITDA and Adjusted EBITDA Margin as shown in the reconciliations below. We believe that evaluating performance excluding such items noted above is meaningful because it provides insight with respect to the intrinsic and ongoing operating results of the Company and captures the business performance, inclusive of indirect costs. We believe that Adjusted EBITDA and Adjusted EBITDA Margin (as defined below) are useful to investors because they (i) allow investors to compare performance over various reporting periods on a consistent basis by removing from operating results the impact of items that do not reflect core operating performance; (ii) are used by our board of directors and management to assess our performance; (iii) may, subject to certain limitations, enable investors to compare the performance of the Company to its competitors; (iv) provide additional tools for investors to use in evaluating ongoing operating results and trends; and (v) align with definitions in our ABL Facility.</w:t>
      </w:r>
    </w:p>
    <w:p>
      <w:pPr>
        <w:spacing w:after="0" w:line="1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reconciliations of net income to Adjusted EBITDA:</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shd w:val="clear" w:color="auto" w:fill="1D2758"/>
          </w:tcPr>
          <w:p>
            <w:pPr>
              <w:spacing w:after="0"/>
              <w:rPr>
                <w:sz w:val="16"/>
                <w:szCs w:val="16"/>
                <w:color w:val="auto"/>
              </w:rPr>
            </w:pPr>
          </w:p>
        </w:tc>
        <w:tc>
          <w:tcPr>
            <w:tcW w:w="340" w:type="dxa"/>
            <w:vAlign w:val="bottom"/>
            <w:shd w:val="clear" w:color="auto" w:fill="1D2758"/>
          </w:tcPr>
          <w:p>
            <w:pPr>
              <w:spacing w:after="0"/>
              <w:rPr>
                <w:sz w:val="16"/>
                <w:szCs w:val="16"/>
                <w:color w:val="auto"/>
              </w:rPr>
            </w:pPr>
          </w:p>
        </w:tc>
        <w:tc>
          <w:tcPr>
            <w:tcW w:w="2880" w:type="dxa"/>
            <w:vAlign w:val="bottom"/>
            <w:gridSpan w:val="4"/>
            <w:shd w:val="clear" w:color="auto" w:fill="1D2758"/>
          </w:tcPr>
          <w:p>
            <w:pPr>
              <w:jc w:val="right"/>
              <w:ind w:right="739"/>
              <w:spacing w:after="0"/>
              <w:rPr>
                <w:sz w:val="20"/>
                <w:szCs w:val="20"/>
                <w:color w:val="auto"/>
              </w:rPr>
            </w:pPr>
            <w:r>
              <w:rPr>
                <w:rFonts w:ascii="Arial" w:cs="Arial" w:eastAsia="Arial" w:hAnsi="Arial"/>
                <w:sz w:val="16"/>
                <w:szCs w:val="16"/>
                <w:b w:val="1"/>
                <w:bCs w:val="1"/>
                <w:color w:val="FFFFFF"/>
              </w:rPr>
              <w:t>Three Months Ended</w:t>
            </w:r>
          </w:p>
        </w:tc>
      </w:tr>
      <w:tr>
        <w:trPr>
          <w:trHeight w:val="216"/>
        </w:trPr>
        <w:tc>
          <w:tcPr>
            <w:tcW w:w="8020" w:type="dxa"/>
            <w:vAlign w:val="bottom"/>
            <w:shd w:val="clear" w:color="auto" w:fill="1D2758"/>
          </w:tcPr>
          <w:p>
            <w:pPr>
              <w:spacing w:after="0"/>
              <w:rPr>
                <w:sz w:val="18"/>
                <w:szCs w:val="18"/>
                <w:color w:val="auto"/>
              </w:rPr>
            </w:pPr>
          </w:p>
        </w:tc>
        <w:tc>
          <w:tcPr>
            <w:tcW w:w="340" w:type="dxa"/>
            <w:vAlign w:val="bottom"/>
            <w:shd w:val="clear" w:color="auto" w:fill="1D2758"/>
          </w:tcPr>
          <w:p>
            <w:pPr>
              <w:spacing w:after="0"/>
              <w:rPr>
                <w:sz w:val="18"/>
                <w:szCs w:val="18"/>
                <w:color w:val="auto"/>
              </w:rPr>
            </w:pPr>
          </w:p>
        </w:tc>
        <w:tc>
          <w:tcPr>
            <w:tcW w:w="1780" w:type="dxa"/>
            <w:vAlign w:val="bottom"/>
            <w:gridSpan w:val="3"/>
            <w:shd w:val="clear" w:color="auto" w:fill="1D2758"/>
          </w:tcPr>
          <w:p>
            <w:pPr>
              <w:jc w:val="right"/>
              <w:ind w:right="59"/>
              <w:spacing w:after="0"/>
              <w:rPr>
                <w:sz w:val="20"/>
                <w:szCs w:val="20"/>
                <w:color w:val="auto"/>
              </w:rPr>
            </w:pPr>
            <w:r>
              <w:rPr>
                <w:rFonts w:ascii="Arial" w:cs="Arial" w:eastAsia="Arial" w:hAnsi="Arial"/>
                <w:sz w:val="16"/>
                <w:szCs w:val="16"/>
                <w:b w:val="1"/>
                <w:bCs w:val="1"/>
                <w:color w:val="FFFFFF"/>
              </w:rPr>
              <w:t>March 31,</w:t>
            </w:r>
          </w:p>
        </w:tc>
        <w:tc>
          <w:tcPr>
            <w:tcW w:w="1100" w:type="dxa"/>
            <w:vAlign w:val="bottom"/>
            <w:shd w:val="clear" w:color="auto" w:fill="1D2758"/>
          </w:tcPr>
          <w:p>
            <w:pPr>
              <w:spacing w:after="0"/>
              <w:rPr>
                <w:sz w:val="18"/>
                <w:szCs w:val="18"/>
                <w:color w:val="auto"/>
              </w:rPr>
            </w:pPr>
          </w:p>
        </w:tc>
      </w:tr>
      <w:tr>
        <w:trPr>
          <w:trHeight w:val="216"/>
        </w:trPr>
        <w:tc>
          <w:tcPr>
            <w:tcW w:w="802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40" w:type="dxa"/>
            <w:vAlign w:val="bottom"/>
            <w:shd w:val="clear" w:color="auto" w:fill="1D2758"/>
          </w:tcPr>
          <w:p>
            <w:pPr>
              <w:spacing w:after="0"/>
              <w:rPr>
                <w:sz w:val="18"/>
                <w:szCs w:val="18"/>
                <w:color w:val="auto"/>
              </w:rPr>
            </w:pPr>
          </w:p>
        </w:tc>
        <w:tc>
          <w:tcPr>
            <w:tcW w:w="1220" w:type="dxa"/>
            <w:vAlign w:val="bottom"/>
            <w:shd w:val="clear" w:color="auto" w:fill="1D2758"/>
          </w:tcPr>
          <w:p>
            <w:pPr>
              <w:jc w:val="right"/>
              <w:ind w:right="519"/>
              <w:spacing w:after="0"/>
              <w:rPr>
                <w:sz w:val="20"/>
                <w:szCs w:val="20"/>
                <w:color w:val="auto"/>
              </w:rPr>
            </w:pPr>
            <w:r>
              <w:rPr>
                <w:rFonts w:ascii="Arial" w:cs="Arial" w:eastAsia="Arial" w:hAnsi="Arial"/>
                <w:sz w:val="16"/>
                <w:szCs w:val="16"/>
                <w:b w:val="1"/>
                <w:bCs w:val="1"/>
                <w:color w:val="FFFFFF"/>
              </w:rPr>
              <w:t>2026</w:t>
            </w:r>
          </w:p>
        </w:tc>
        <w:tc>
          <w:tcPr>
            <w:tcW w:w="100" w:type="dxa"/>
            <w:vAlign w:val="bottom"/>
            <w:shd w:val="clear" w:color="auto" w:fill="1D2758"/>
          </w:tcPr>
          <w:p>
            <w:pPr>
              <w:spacing w:after="0"/>
              <w:rPr>
                <w:sz w:val="18"/>
                <w:szCs w:val="18"/>
                <w:color w:val="auto"/>
              </w:rPr>
            </w:pPr>
          </w:p>
        </w:tc>
        <w:tc>
          <w:tcPr>
            <w:tcW w:w="460" w:type="dxa"/>
            <w:vAlign w:val="bottom"/>
            <w:shd w:val="clear" w:color="auto" w:fill="1D2758"/>
          </w:tcPr>
          <w:p>
            <w:pPr>
              <w:spacing w:after="0"/>
              <w:rPr>
                <w:sz w:val="18"/>
                <w:szCs w:val="18"/>
                <w:color w:val="auto"/>
              </w:rPr>
            </w:pPr>
          </w:p>
        </w:tc>
        <w:tc>
          <w:tcPr>
            <w:tcW w:w="1100" w:type="dxa"/>
            <w:vAlign w:val="bottom"/>
            <w:shd w:val="clear" w:color="auto" w:fill="1D2758"/>
          </w:tcPr>
          <w:p>
            <w:pPr>
              <w:jc w:val="right"/>
              <w:ind w:right="519"/>
              <w:spacing w:after="0"/>
              <w:rPr>
                <w:sz w:val="20"/>
                <w:szCs w:val="20"/>
                <w:color w:val="auto"/>
              </w:rPr>
            </w:pPr>
            <w:r>
              <w:rPr>
                <w:rFonts w:ascii="Arial" w:cs="Arial" w:eastAsia="Arial" w:hAnsi="Arial"/>
                <w:sz w:val="16"/>
                <w:szCs w:val="16"/>
                <w:b w:val="1"/>
                <w:bCs w:val="1"/>
                <w:color w:val="FFFFFF"/>
              </w:rPr>
              <w:t>2025</w:t>
            </w:r>
          </w:p>
        </w:tc>
      </w:tr>
      <w:tr>
        <w:trPr>
          <w:trHeight w:val="216"/>
        </w:trPr>
        <w:tc>
          <w:tcPr>
            <w:tcW w:w="802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income</w:t>
            </w:r>
          </w:p>
        </w:tc>
        <w:tc>
          <w:tcPr>
            <w:tcW w:w="34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28,123</w:t>
            </w: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jc w:val="right"/>
              <w:ind w:right="2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43,055</w:t>
            </w:r>
          </w:p>
        </w:tc>
      </w:tr>
      <w:tr>
        <w:trPr>
          <w:trHeight w:val="215"/>
        </w:trPr>
        <w:tc>
          <w:tcPr>
            <w:tcW w:w="8020" w:type="dxa"/>
            <w:vAlign w:val="bottom"/>
          </w:tcPr>
          <w:p>
            <w:pPr>
              <w:ind w:left="240"/>
              <w:spacing w:after="0"/>
              <w:rPr>
                <w:sz w:val="20"/>
                <w:szCs w:val="20"/>
                <w:color w:val="auto"/>
              </w:rPr>
            </w:pPr>
            <w:r>
              <w:rPr>
                <w:rFonts w:ascii="Arial" w:cs="Arial" w:eastAsia="Arial" w:hAnsi="Arial"/>
                <w:sz w:val="16"/>
                <w:szCs w:val="16"/>
                <w:color w:val="auto"/>
              </w:rPr>
              <w:t>Income tax expense</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14,933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17,910</w:t>
            </w:r>
          </w:p>
        </w:tc>
      </w:tr>
      <w:tr>
        <w:trPr>
          <w:trHeight w:val="217"/>
        </w:trPr>
        <w:tc>
          <w:tcPr>
            <w:tcW w:w="80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Interest expense, net</w:t>
            </w:r>
          </w:p>
        </w:tc>
        <w:tc>
          <w:tcPr>
            <w:tcW w:w="34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53,607</w:t>
            </w: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58,469</w:t>
            </w:r>
          </w:p>
        </w:tc>
      </w:tr>
      <w:tr>
        <w:trPr>
          <w:trHeight w:val="215"/>
        </w:trPr>
        <w:tc>
          <w:tcPr>
            <w:tcW w:w="802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92,431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97,092</w:t>
            </w:r>
          </w:p>
        </w:tc>
      </w:tr>
      <w:tr>
        <w:trPr>
          <w:trHeight w:val="217"/>
        </w:trPr>
        <w:tc>
          <w:tcPr>
            <w:tcW w:w="80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Currency losses, net</w:t>
            </w:r>
          </w:p>
        </w:tc>
        <w:tc>
          <w:tcPr>
            <w:tcW w:w="34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223</w:t>
            </w:r>
          </w:p>
        </w:tc>
      </w:tr>
      <w:tr>
        <w:trPr>
          <w:trHeight w:val="215"/>
        </w:trPr>
        <w:tc>
          <w:tcPr>
            <w:tcW w:w="8020" w:type="dxa"/>
            <w:vAlign w:val="bottom"/>
          </w:tcPr>
          <w:p>
            <w:pPr>
              <w:ind w:left="240"/>
              <w:spacing w:after="0"/>
              <w:rPr>
                <w:sz w:val="20"/>
                <w:szCs w:val="20"/>
                <w:color w:val="auto"/>
              </w:rPr>
            </w:pPr>
            <w:r>
              <w:rPr>
                <w:rFonts w:ascii="Arial" w:cs="Arial" w:eastAsia="Arial" w:hAnsi="Arial"/>
                <w:sz w:val="16"/>
                <w:szCs w:val="16"/>
                <w:color w:val="auto"/>
              </w:rPr>
              <w:t>Restructuring costs, lease impairment expense and other related charges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11,273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702</w:t>
            </w:r>
          </w:p>
        </w:tc>
      </w:tr>
      <w:tr>
        <w:trPr>
          <w:trHeight w:val="217"/>
        </w:trPr>
        <w:tc>
          <w:tcPr>
            <w:tcW w:w="80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Integration and transaction costs</w:t>
            </w:r>
          </w:p>
        </w:tc>
        <w:tc>
          <w:tcPr>
            <w:tcW w:w="34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261</w:t>
            </w:r>
          </w:p>
        </w:tc>
      </w:tr>
      <w:tr>
        <w:trPr>
          <w:trHeight w:val="215"/>
        </w:trPr>
        <w:tc>
          <w:tcPr>
            <w:tcW w:w="8020" w:type="dxa"/>
            <w:vAlign w:val="bottom"/>
          </w:tcPr>
          <w:p>
            <w:pPr>
              <w:ind w:left="240"/>
              <w:spacing w:after="0"/>
              <w:rPr>
                <w:sz w:val="20"/>
                <w:szCs w:val="20"/>
                <w:color w:val="auto"/>
              </w:rPr>
            </w:pPr>
            <w:r>
              <w:rPr>
                <w:rFonts w:ascii="Arial" w:cs="Arial" w:eastAsia="Arial" w:hAnsi="Arial"/>
                <w:sz w:val="16"/>
                <w:szCs w:val="16"/>
                <w:color w:val="auto"/>
              </w:rPr>
              <w:t>Stock compensation expense</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7,107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8,341</w:t>
            </w:r>
          </w:p>
        </w:tc>
      </w:tr>
      <w:tr>
        <w:trPr>
          <w:trHeight w:val="217"/>
        </w:trPr>
        <w:tc>
          <w:tcPr>
            <w:tcW w:w="8020" w:type="dxa"/>
            <w:vAlign w:val="bottom"/>
            <w:shd w:val="clear" w:color="auto" w:fill="DBDBDB"/>
          </w:tcPr>
          <w:p>
            <w:pPr>
              <w:ind w:left="240"/>
              <w:spacing w:after="0" w:line="217"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(a)</w:t>
            </w:r>
          </w:p>
        </w:tc>
        <w:tc>
          <w:tcPr>
            <w:tcW w:w="340" w:type="dxa"/>
            <w:vAlign w:val="bottom"/>
            <w:tcBorders>
              <w:bottom w:val="single" w:sz="8" w:color="auto"/>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3,303</w:t>
            </w:r>
          </w:p>
        </w:tc>
        <w:tc>
          <w:tcPr>
            <w:tcW w:w="100" w:type="dxa"/>
            <w:vAlign w:val="bottom"/>
            <w:shd w:val="clear" w:color="auto" w:fill="DBDBDB"/>
          </w:tcPr>
          <w:p>
            <w:pPr>
              <w:spacing w:after="0"/>
              <w:rPr>
                <w:sz w:val="18"/>
                <w:szCs w:val="18"/>
                <w:color w:val="auto"/>
              </w:rPr>
            </w:pPr>
          </w:p>
        </w:tc>
        <w:tc>
          <w:tcPr>
            <w:tcW w:w="46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2,732</w:t>
            </w:r>
          </w:p>
        </w:tc>
      </w:tr>
      <w:tr>
        <w:trPr>
          <w:trHeight w:val="210"/>
        </w:trPr>
        <w:tc>
          <w:tcPr>
            <w:tcW w:w="802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211,014</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228,785</w:t>
            </w:r>
          </w:p>
        </w:tc>
      </w:tr>
      <w:tr>
        <w:trPr>
          <w:trHeight w:val="20"/>
        </w:trPr>
        <w:tc>
          <w:tcPr>
            <w:tcW w:w="8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220" w:hanging="212"/>
        <w:spacing w:after="0"/>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For the three months ended March 31, 2026, other included $1.8 million in non-equity executive transition costs</w:t>
      </w:r>
    </w:p>
    <w:p>
      <w:pPr>
        <w:spacing w:after="0" w:line="28"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1128" w:right="339" w:bottom="1440" w:gutter="0" w:footer="0" w:header="0"/>
        </w:sectPr>
      </w:pPr>
    </w:p>
    <w:bookmarkStart w:id="11" w:name="page12"/>
    <w:bookmarkEnd w:id="11"/>
    <w:p>
      <w:pPr>
        <w:ind w:left="660"/>
        <w:spacing w:after="0"/>
        <w:rPr>
          <w:sz w:val="20"/>
          <w:szCs w:val="20"/>
          <w:color w:val="auto"/>
        </w:rPr>
      </w:pPr>
      <w:r>
        <w:rPr>
          <w:rFonts w:ascii="Arial" w:cs="Arial" w:eastAsia="Arial" w:hAnsi="Arial"/>
          <w:sz w:val="16"/>
          <w:szCs w:val="16"/>
          <w:color w:val="auto"/>
        </w:rPr>
        <w:t>The following table provides comparisons of Adjusted EBITDA Margin to Gross Profit Margin: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00" w:type="dxa"/>
            <w:vAlign w:val="bottom"/>
            <w:shd w:val="clear" w:color="auto" w:fill="1D2758"/>
          </w:tcPr>
          <w:p>
            <w:pPr>
              <w:spacing w:after="0"/>
              <w:rPr>
                <w:sz w:val="16"/>
                <w:szCs w:val="16"/>
                <w:color w:val="auto"/>
              </w:rPr>
            </w:pPr>
          </w:p>
        </w:tc>
        <w:tc>
          <w:tcPr>
            <w:tcW w:w="380" w:type="dxa"/>
            <w:vAlign w:val="bottom"/>
            <w:shd w:val="clear" w:color="auto" w:fill="1D2758"/>
          </w:tcPr>
          <w:p>
            <w:pPr>
              <w:spacing w:after="0"/>
              <w:rPr>
                <w:sz w:val="16"/>
                <w:szCs w:val="16"/>
                <w:color w:val="auto"/>
              </w:rPr>
            </w:pPr>
          </w:p>
        </w:tc>
        <w:tc>
          <w:tcPr>
            <w:tcW w:w="3060" w:type="dxa"/>
            <w:vAlign w:val="bottom"/>
            <w:gridSpan w:val="4"/>
            <w:shd w:val="clear" w:color="auto" w:fill="1D2758"/>
          </w:tcPr>
          <w:p>
            <w:pPr>
              <w:jc w:val="right"/>
              <w:ind w:right="839"/>
              <w:spacing w:after="0"/>
              <w:rPr>
                <w:sz w:val="20"/>
                <w:szCs w:val="20"/>
                <w:color w:val="auto"/>
              </w:rPr>
            </w:pPr>
            <w:r>
              <w:rPr>
                <w:rFonts w:ascii="Arial" w:cs="Arial" w:eastAsia="Arial" w:hAnsi="Arial"/>
                <w:sz w:val="16"/>
                <w:szCs w:val="16"/>
                <w:b w:val="1"/>
                <w:bCs w:val="1"/>
                <w:color w:val="FFFFFF"/>
              </w:rPr>
              <w:t>Three Months Ended</w:t>
            </w:r>
          </w:p>
        </w:tc>
      </w:tr>
      <w:tr>
        <w:trPr>
          <w:trHeight w:val="216"/>
        </w:trPr>
        <w:tc>
          <w:tcPr>
            <w:tcW w:w="780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880" w:type="dxa"/>
            <w:vAlign w:val="bottom"/>
            <w:gridSpan w:val="3"/>
            <w:shd w:val="clear" w:color="auto" w:fill="1D2758"/>
          </w:tcPr>
          <w:p>
            <w:pPr>
              <w:jc w:val="right"/>
              <w:ind w:right="79"/>
              <w:spacing w:after="0"/>
              <w:rPr>
                <w:sz w:val="20"/>
                <w:szCs w:val="20"/>
                <w:color w:val="auto"/>
              </w:rPr>
            </w:pPr>
            <w:r>
              <w:rPr>
                <w:rFonts w:ascii="Arial" w:cs="Arial" w:eastAsia="Arial" w:hAnsi="Arial"/>
                <w:sz w:val="16"/>
                <w:szCs w:val="16"/>
                <w:b w:val="1"/>
                <w:bCs w:val="1"/>
                <w:color w:val="FFFFFF"/>
              </w:rPr>
              <w:t>March 31,</w:t>
            </w:r>
          </w:p>
        </w:tc>
        <w:tc>
          <w:tcPr>
            <w:tcW w:w="1180" w:type="dxa"/>
            <w:vAlign w:val="bottom"/>
            <w:shd w:val="clear" w:color="auto" w:fill="1D2758"/>
          </w:tcPr>
          <w:p>
            <w:pPr>
              <w:spacing w:after="0"/>
              <w:rPr>
                <w:sz w:val="18"/>
                <w:szCs w:val="18"/>
                <w:color w:val="auto"/>
              </w:rPr>
            </w:pPr>
          </w:p>
        </w:tc>
      </w:tr>
      <w:tr>
        <w:trPr>
          <w:trHeight w:val="216"/>
        </w:trPr>
        <w:tc>
          <w:tcPr>
            <w:tcW w:w="780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80" w:type="dxa"/>
            <w:vAlign w:val="bottom"/>
            <w:shd w:val="clear" w:color="auto" w:fill="1D2758"/>
          </w:tcPr>
          <w:p>
            <w:pPr>
              <w:spacing w:after="0"/>
              <w:rPr>
                <w:sz w:val="18"/>
                <w:szCs w:val="18"/>
                <w:color w:val="auto"/>
              </w:rPr>
            </w:pPr>
          </w:p>
        </w:tc>
        <w:tc>
          <w:tcPr>
            <w:tcW w:w="1300" w:type="dxa"/>
            <w:vAlign w:val="bottom"/>
            <w:shd w:val="clear" w:color="auto" w:fill="1D2758"/>
          </w:tcPr>
          <w:p>
            <w:pPr>
              <w:jc w:val="right"/>
              <w:ind w:right="579"/>
              <w:spacing w:after="0"/>
              <w:rPr>
                <w:sz w:val="20"/>
                <w:szCs w:val="20"/>
                <w:color w:val="auto"/>
              </w:rPr>
            </w:pPr>
            <w:r>
              <w:rPr>
                <w:rFonts w:ascii="Arial" w:cs="Arial" w:eastAsia="Arial" w:hAnsi="Arial"/>
                <w:sz w:val="16"/>
                <w:szCs w:val="16"/>
                <w:b w:val="1"/>
                <w:bCs w:val="1"/>
                <w:color w:val="FFFFFF"/>
              </w:rPr>
              <w:t>2026</w:t>
            </w:r>
          </w:p>
        </w:tc>
        <w:tc>
          <w:tcPr>
            <w:tcW w:w="80" w:type="dxa"/>
            <w:vAlign w:val="bottom"/>
            <w:shd w:val="clear" w:color="auto" w:fill="1D2758"/>
          </w:tcPr>
          <w:p>
            <w:pPr>
              <w:spacing w:after="0"/>
              <w:rPr>
                <w:sz w:val="18"/>
                <w:szCs w:val="18"/>
                <w:color w:val="auto"/>
              </w:rPr>
            </w:pPr>
          </w:p>
        </w:tc>
        <w:tc>
          <w:tcPr>
            <w:tcW w:w="500" w:type="dxa"/>
            <w:vAlign w:val="bottom"/>
            <w:shd w:val="clear" w:color="auto" w:fill="1D2758"/>
          </w:tcPr>
          <w:p>
            <w:pPr>
              <w:spacing w:after="0"/>
              <w:rPr>
                <w:sz w:val="18"/>
                <w:szCs w:val="18"/>
                <w:color w:val="auto"/>
              </w:rPr>
            </w:pPr>
          </w:p>
        </w:tc>
        <w:tc>
          <w:tcPr>
            <w:tcW w:w="1180" w:type="dxa"/>
            <w:vAlign w:val="bottom"/>
            <w:shd w:val="clear" w:color="auto" w:fill="1D2758"/>
          </w:tcPr>
          <w:p>
            <w:pPr>
              <w:jc w:val="right"/>
              <w:ind w:right="579"/>
              <w:spacing w:after="0"/>
              <w:rPr>
                <w:sz w:val="20"/>
                <w:szCs w:val="20"/>
                <w:color w:val="auto"/>
              </w:rPr>
            </w:pPr>
            <w:r>
              <w:rPr>
                <w:rFonts w:ascii="Arial" w:cs="Arial" w:eastAsia="Arial" w:hAnsi="Arial"/>
                <w:sz w:val="16"/>
                <w:szCs w:val="16"/>
                <w:b w:val="1"/>
                <w:bCs w:val="1"/>
                <w:color w:val="FFFFFF"/>
              </w:rPr>
              <w:t>2025</w:t>
            </w:r>
          </w:p>
        </w:tc>
      </w:tr>
      <w:tr>
        <w:trPr>
          <w:trHeight w:val="216"/>
        </w:trPr>
        <w:tc>
          <w:tcPr>
            <w:tcW w:w="780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Adjusted EBITDA (A)</w:t>
            </w: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211,014</w:t>
            </w:r>
          </w:p>
        </w:tc>
        <w:tc>
          <w:tcPr>
            <w:tcW w:w="80" w:type="dxa"/>
            <w:vAlign w:val="bottom"/>
            <w:shd w:val="clear" w:color="auto" w:fill="DBDBDB"/>
          </w:tcPr>
          <w:p>
            <w:pPr>
              <w:spacing w:after="0"/>
              <w:rPr>
                <w:sz w:val="18"/>
                <w:szCs w:val="18"/>
                <w:color w:val="auto"/>
              </w:rPr>
            </w:pPr>
          </w:p>
        </w:tc>
        <w:tc>
          <w:tcPr>
            <w:tcW w:w="500" w:type="dxa"/>
            <w:vAlign w:val="bottom"/>
            <w:shd w:val="clear" w:color="auto" w:fill="DBDBDB"/>
          </w:tcPr>
          <w:p>
            <w:pPr>
              <w:jc w:val="right"/>
              <w:ind w:right="2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228,785</w:t>
            </w:r>
          </w:p>
        </w:tc>
      </w:tr>
      <w:tr>
        <w:trPr>
          <w:trHeight w:val="215"/>
        </w:trPr>
        <w:tc>
          <w:tcPr>
            <w:tcW w:w="78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Revenue (B)</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548,628</w:t>
            </w:r>
          </w:p>
        </w:tc>
        <w:tc>
          <w:tcPr>
            <w:tcW w:w="80" w:type="dxa"/>
            <w:vAlign w:val="bottom"/>
            <w:tcBorders>
              <w:bottom w:val="single" w:sz="8" w:color="DBDBDB"/>
            </w:tcBorders>
          </w:tcPr>
          <w:p>
            <w:pPr>
              <w:spacing w:after="0"/>
              <w:rPr>
                <w:sz w:val="18"/>
                <w:szCs w:val="18"/>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559,551</w:t>
            </w:r>
          </w:p>
        </w:tc>
      </w:tr>
      <w:tr>
        <w:trPr>
          <w:trHeight w:val="210"/>
        </w:trPr>
        <w:tc>
          <w:tcPr>
            <w:tcW w:w="7800" w:type="dxa"/>
            <w:vAlign w:val="bottom"/>
            <w:shd w:val="clear" w:color="auto" w:fill="DBDBDB"/>
          </w:tcPr>
          <w:p>
            <w:pPr>
              <w:ind w:left="240"/>
              <w:spacing w:after="0"/>
              <w:rPr>
                <w:sz w:val="20"/>
                <w:szCs w:val="20"/>
                <w:color w:val="auto"/>
              </w:rPr>
            </w:pPr>
            <w:r>
              <w:rPr>
                <w:rFonts w:ascii="Arial" w:cs="Arial" w:eastAsia="Arial" w:hAnsi="Arial"/>
                <w:sz w:val="16"/>
                <w:szCs w:val="16"/>
                <w:color w:val="auto"/>
              </w:rPr>
              <w:t>Adjusted EBITDA Margin (A/B)</w:t>
            </w: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38.5 %</w:t>
            </w:r>
          </w:p>
        </w:tc>
        <w:tc>
          <w:tcPr>
            <w:tcW w:w="80" w:type="dxa"/>
            <w:vAlign w:val="bottom"/>
            <w:shd w:val="clear" w:color="auto" w:fill="DBDBDB"/>
          </w:tcPr>
          <w:p>
            <w:pPr>
              <w:spacing w:after="0"/>
              <w:rPr>
                <w:sz w:val="18"/>
                <w:szCs w:val="18"/>
                <w:color w:val="auto"/>
              </w:rPr>
            </w:pPr>
          </w:p>
        </w:tc>
        <w:tc>
          <w:tcPr>
            <w:tcW w:w="50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40.9 %</w:t>
            </w:r>
          </w:p>
        </w:tc>
      </w:tr>
      <w:tr>
        <w:trPr>
          <w:trHeight w:val="215"/>
        </w:trPr>
        <w:tc>
          <w:tcPr>
            <w:tcW w:w="78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Gross profit (C)</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285,675</w:t>
            </w:r>
          </w:p>
        </w:tc>
        <w:tc>
          <w:tcPr>
            <w:tcW w:w="80" w:type="dxa"/>
            <w:vAlign w:val="bottom"/>
            <w:tcBorders>
              <w:bottom w:val="single" w:sz="8" w:color="DBDBDB"/>
            </w:tcBorders>
          </w:tcPr>
          <w:p>
            <w:pPr>
              <w:spacing w:after="0"/>
              <w:rPr>
                <w:sz w:val="18"/>
                <w:szCs w:val="18"/>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300,366</w:t>
            </w:r>
          </w:p>
        </w:tc>
      </w:tr>
      <w:tr>
        <w:trPr>
          <w:trHeight w:val="210"/>
        </w:trPr>
        <w:tc>
          <w:tcPr>
            <w:tcW w:w="7800" w:type="dxa"/>
            <w:vAlign w:val="bottom"/>
            <w:shd w:val="clear" w:color="auto" w:fill="DBDBDB"/>
          </w:tcPr>
          <w:p>
            <w:pPr>
              <w:ind w:left="240"/>
              <w:spacing w:after="0"/>
              <w:rPr>
                <w:sz w:val="20"/>
                <w:szCs w:val="20"/>
                <w:color w:val="auto"/>
              </w:rPr>
            </w:pPr>
            <w:r>
              <w:rPr>
                <w:rFonts w:ascii="Arial" w:cs="Arial" w:eastAsia="Arial" w:hAnsi="Arial"/>
                <w:sz w:val="16"/>
                <w:szCs w:val="16"/>
                <w:color w:val="auto"/>
              </w:rPr>
              <w:t>Gross Profit Margin (C/B)</w:t>
            </w: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52.1 %</w:t>
            </w:r>
          </w:p>
        </w:tc>
        <w:tc>
          <w:tcPr>
            <w:tcW w:w="80" w:type="dxa"/>
            <w:vAlign w:val="bottom"/>
            <w:shd w:val="clear" w:color="auto" w:fill="DBDBDB"/>
          </w:tcPr>
          <w:p>
            <w:pPr>
              <w:spacing w:after="0"/>
              <w:rPr>
                <w:sz w:val="18"/>
                <w:szCs w:val="18"/>
                <w:color w:val="auto"/>
              </w:rPr>
            </w:pPr>
          </w:p>
        </w:tc>
        <w:tc>
          <w:tcPr>
            <w:tcW w:w="50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53.7 %</w:t>
            </w: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1D2758"/>
        </w:rPr>
        <w:t>Net Debt to Adjusted EBITDA Ratio</w:t>
      </w:r>
    </w:p>
    <w:p>
      <w:pPr>
        <w:spacing w:after="0" w:line="68"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Net Debt to Adjusted EBITDA ratio is defined as Net Debt divided by Adjusted EBITDA from the last twelve months. We define Net Debt as total debt net of total cash and cash equivalents. Management believes that Net Debt to Adjusted EBITDA ratio provides useful information to management and investors in evaluating our borrowing capacity and allocation strategies. The following table provides a reconciliation of Net Debt to Adjusted EBITDA ratio:</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6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400" w:type="dxa"/>
            <w:vAlign w:val="bottom"/>
            <w:shd w:val="clear" w:color="auto" w:fill="1D2758"/>
          </w:tcPr>
          <w:p>
            <w:pPr>
              <w:spacing w:after="0"/>
              <w:rPr>
                <w:sz w:val="18"/>
                <w:szCs w:val="18"/>
                <w:color w:val="auto"/>
              </w:rPr>
            </w:pPr>
          </w:p>
        </w:tc>
        <w:tc>
          <w:tcPr>
            <w:tcW w:w="2080" w:type="dxa"/>
            <w:vAlign w:val="bottom"/>
            <w:shd w:val="clear" w:color="auto" w:fill="1D2758"/>
          </w:tcPr>
          <w:p>
            <w:pPr>
              <w:jc w:val="right"/>
              <w:ind w:right="579"/>
              <w:spacing w:after="0"/>
              <w:rPr>
                <w:sz w:val="20"/>
                <w:szCs w:val="20"/>
                <w:color w:val="auto"/>
              </w:rPr>
            </w:pPr>
            <w:r>
              <w:rPr>
                <w:rFonts w:ascii="Arial" w:cs="Arial" w:eastAsia="Arial" w:hAnsi="Arial"/>
                <w:sz w:val="16"/>
                <w:szCs w:val="16"/>
                <w:b w:val="1"/>
                <w:bCs w:val="1"/>
                <w:color w:val="FFFFFF"/>
              </w:rPr>
              <w:t>March 31, 2026</w:t>
            </w:r>
          </w:p>
        </w:tc>
      </w:tr>
      <w:tr>
        <w:trPr>
          <w:trHeight w:val="216"/>
        </w:trPr>
        <w:tc>
          <w:tcPr>
            <w:tcW w:w="8760" w:type="dxa"/>
            <w:vAlign w:val="bottom"/>
            <w:shd w:val="clear" w:color="auto" w:fill="DBDBDB"/>
          </w:tcPr>
          <w:p>
            <w:pPr>
              <w:ind w:left="20"/>
              <w:spacing w:after="0"/>
              <w:rPr>
                <w:sz w:val="20"/>
                <w:szCs w:val="20"/>
                <w:color w:val="auto"/>
              </w:rPr>
            </w:pPr>
            <w:r>
              <w:rPr>
                <w:rFonts w:ascii="Arial" w:cs="Arial" w:eastAsia="Arial" w:hAnsi="Arial"/>
                <w:sz w:val="16"/>
                <w:szCs w:val="16"/>
                <w:color w:val="auto"/>
              </w:rPr>
              <w:t>Long-term debt</w:t>
            </w:r>
          </w:p>
        </w:tc>
        <w:tc>
          <w:tcPr>
            <w:tcW w:w="40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rPr>
              <w:t>$</w:t>
            </w:r>
          </w:p>
        </w:tc>
        <w:tc>
          <w:tcPr>
            <w:tcW w:w="2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3,482,297</w:t>
            </w:r>
          </w:p>
        </w:tc>
      </w:tr>
      <w:tr>
        <w:trPr>
          <w:trHeight w:val="215"/>
        </w:trPr>
        <w:tc>
          <w:tcPr>
            <w:tcW w:w="87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Current portion of long-term debt</w:t>
            </w:r>
          </w:p>
        </w:tc>
        <w:tc>
          <w:tcPr>
            <w:tcW w:w="4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31,934</w:t>
            </w:r>
          </w:p>
        </w:tc>
      </w:tr>
      <w:tr>
        <w:trPr>
          <w:trHeight w:val="210"/>
        </w:trPr>
        <w:tc>
          <w:tcPr>
            <w:tcW w:w="87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Total debt</w:t>
            </w:r>
          </w:p>
        </w:tc>
        <w:tc>
          <w:tcPr>
            <w:tcW w:w="400" w:type="dxa"/>
            <w:vAlign w:val="bottom"/>
            <w:shd w:val="clear" w:color="auto" w:fill="DBDBDB"/>
          </w:tcPr>
          <w:p>
            <w:pPr>
              <w:spacing w:after="0"/>
              <w:rPr>
                <w:sz w:val="18"/>
                <w:szCs w:val="18"/>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3,514,231</w:t>
            </w:r>
          </w:p>
        </w:tc>
      </w:tr>
      <w:tr>
        <w:trPr>
          <w:trHeight w:val="215"/>
        </w:trPr>
        <w:tc>
          <w:tcPr>
            <w:tcW w:w="87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Cash and cash equivalents</w:t>
            </w:r>
          </w:p>
        </w:tc>
        <w:tc>
          <w:tcPr>
            <w:tcW w:w="4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15,543</w:t>
            </w:r>
          </w:p>
        </w:tc>
      </w:tr>
      <w:tr>
        <w:trPr>
          <w:trHeight w:val="210"/>
        </w:trPr>
        <w:tc>
          <w:tcPr>
            <w:tcW w:w="8760" w:type="dxa"/>
            <w:vAlign w:val="bottom"/>
            <w:shd w:val="clear" w:color="auto" w:fill="DBDBDB"/>
          </w:tcPr>
          <w:p>
            <w:pPr>
              <w:ind w:left="240"/>
              <w:spacing w:after="0"/>
              <w:rPr>
                <w:sz w:val="20"/>
                <w:szCs w:val="20"/>
                <w:color w:val="auto"/>
              </w:rPr>
            </w:pPr>
            <w:r>
              <w:rPr>
                <w:rFonts w:ascii="Arial" w:cs="Arial" w:eastAsia="Arial" w:hAnsi="Arial"/>
                <w:sz w:val="16"/>
                <w:szCs w:val="16"/>
                <w:color w:val="auto"/>
              </w:rPr>
              <w:t>Net debt (A)</w:t>
            </w:r>
          </w:p>
        </w:tc>
        <w:tc>
          <w:tcPr>
            <w:tcW w:w="400" w:type="dxa"/>
            <w:vAlign w:val="bottom"/>
            <w:tcBorders>
              <w:bottom w:val="single" w:sz="8" w:color="auto"/>
            </w:tcBorders>
            <w:shd w:val="clear" w:color="auto" w:fill="DBDBDB"/>
          </w:tcPr>
          <w:p>
            <w:pPr>
              <w:jc w:val="right"/>
              <w:ind w:right="199"/>
              <w:spacing w:after="0"/>
              <w:rPr>
                <w:sz w:val="20"/>
                <w:szCs w:val="20"/>
                <w:color w:val="auto"/>
              </w:rPr>
            </w:pPr>
            <w:r>
              <w:rPr>
                <w:rFonts w:ascii="Arial" w:cs="Arial" w:eastAsia="Arial" w:hAnsi="Arial"/>
                <w:sz w:val="16"/>
                <w:szCs w:val="16"/>
                <w:color w:val="auto"/>
              </w:rPr>
              <w:t>$</w:t>
            </w:r>
          </w:p>
        </w:tc>
        <w:tc>
          <w:tcPr>
            <w:tcW w:w="2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3,498,688</w:t>
            </w:r>
          </w:p>
        </w:tc>
      </w:tr>
      <w:tr>
        <w:trPr>
          <w:trHeight w:val="237"/>
        </w:trPr>
        <w:tc>
          <w:tcPr>
            <w:tcW w:w="8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216"/>
        </w:trPr>
        <w:tc>
          <w:tcPr>
            <w:tcW w:w="876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Adjusted EBITDA from the three months ended June 30, 2025</w:t>
            </w:r>
          </w:p>
        </w:tc>
        <w:tc>
          <w:tcPr>
            <w:tcW w:w="40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rPr>
              <w:t>$</w:t>
            </w:r>
          </w:p>
        </w:tc>
        <w:tc>
          <w:tcPr>
            <w:tcW w:w="2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248,913</w:t>
            </w:r>
          </w:p>
        </w:tc>
      </w:tr>
      <w:tr>
        <w:trPr>
          <w:trHeight w:val="215"/>
        </w:trPr>
        <w:tc>
          <w:tcPr>
            <w:tcW w:w="8760" w:type="dxa"/>
            <w:vAlign w:val="bottom"/>
          </w:tcPr>
          <w:p>
            <w:pPr>
              <w:ind w:left="20"/>
              <w:spacing w:after="0"/>
              <w:rPr>
                <w:sz w:val="20"/>
                <w:szCs w:val="20"/>
                <w:color w:val="auto"/>
              </w:rPr>
            </w:pPr>
            <w:r>
              <w:rPr>
                <w:rFonts w:ascii="Arial" w:cs="Arial" w:eastAsia="Arial" w:hAnsi="Arial"/>
                <w:sz w:val="16"/>
                <w:szCs w:val="16"/>
                <w:color w:val="auto"/>
              </w:rPr>
              <w:t>Adjusted EBITDA from the three months ended September 30, 2025</w:t>
            </w:r>
          </w:p>
        </w:tc>
        <w:tc>
          <w:tcPr>
            <w:tcW w:w="4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243,307</w:t>
            </w:r>
          </w:p>
        </w:tc>
      </w:tr>
      <w:tr>
        <w:trPr>
          <w:trHeight w:val="217"/>
        </w:trPr>
        <w:tc>
          <w:tcPr>
            <w:tcW w:w="876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Adjusted EBITDA from the three months ended December 31, 2025</w:t>
            </w:r>
          </w:p>
        </w:tc>
        <w:tc>
          <w:tcPr>
            <w:tcW w:w="400" w:type="dxa"/>
            <w:vAlign w:val="bottom"/>
            <w:shd w:val="clear" w:color="auto" w:fill="DBDBDB"/>
          </w:tcPr>
          <w:p>
            <w:pPr>
              <w:spacing w:after="0"/>
              <w:rPr>
                <w:sz w:val="18"/>
                <w:szCs w:val="18"/>
                <w:color w:val="auto"/>
              </w:rPr>
            </w:pPr>
          </w:p>
        </w:tc>
        <w:tc>
          <w:tcPr>
            <w:tcW w:w="20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250,034</w:t>
            </w:r>
          </w:p>
        </w:tc>
      </w:tr>
      <w:tr>
        <w:trPr>
          <w:trHeight w:val="215"/>
        </w:trPr>
        <w:tc>
          <w:tcPr>
            <w:tcW w:w="876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Adjusted EBITDA from the three months ended March 31, 2026</w:t>
            </w:r>
          </w:p>
        </w:tc>
        <w:tc>
          <w:tcPr>
            <w:tcW w:w="4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211,014</w:t>
            </w:r>
          </w:p>
        </w:tc>
      </w:tr>
      <w:tr>
        <w:trPr>
          <w:trHeight w:val="209"/>
        </w:trPr>
        <w:tc>
          <w:tcPr>
            <w:tcW w:w="876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Adjusted EBITDA from the last twelve months (B)</w:t>
            </w:r>
          </w:p>
        </w:tc>
        <w:tc>
          <w:tcPr>
            <w:tcW w:w="400" w:type="dxa"/>
            <w:vAlign w:val="bottom"/>
            <w:tcBorders>
              <w:bottom w:val="single" w:sz="8" w:color="auto"/>
            </w:tcBorders>
            <w:shd w:val="clear" w:color="auto" w:fill="DBDBDB"/>
          </w:tcPr>
          <w:p>
            <w:pPr>
              <w:jc w:val="right"/>
              <w:ind w:right="199"/>
              <w:spacing w:after="0"/>
              <w:rPr>
                <w:sz w:val="20"/>
                <w:szCs w:val="20"/>
                <w:color w:val="auto"/>
              </w:rPr>
            </w:pPr>
            <w:r>
              <w:rPr>
                <w:rFonts w:ascii="Arial" w:cs="Arial" w:eastAsia="Arial" w:hAnsi="Arial"/>
                <w:sz w:val="16"/>
                <w:szCs w:val="16"/>
                <w:color w:val="auto"/>
              </w:rPr>
              <w:t>$</w:t>
            </w:r>
          </w:p>
        </w:tc>
        <w:tc>
          <w:tcPr>
            <w:tcW w:w="2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953,268</w:t>
            </w:r>
          </w:p>
        </w:tc>
      </w:tr>
    </w:tbl>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940" w:type="dxa"/>
            <w:vAlign w:val="bottom"/>
          </w:tcPr>
          <w:p>
            <w:pPr>
              <w:spacing w:after="0"/>
              <w:rPr>
                <w:sz w:val="20"/>
                <w:szCs w:val="20"/>
                <w:color w:val="auto"/>
              </w:rPr>
            </w:pPr>
            <w:r>
              <w:rPr>
                <w:rFonts w:ascii="Arial" w:cs="Arial" w:eastAsia="Arial" w:hAnsi="Arial"/>
                <w:sz w:val="16"/>
                <w:szCs w:val="16"/>
                <w:color w:val="auto"/>
              </w:rPr>
              <w:t>Net Debt to Adjusted EBITDA ratio (A/B)</w:t>
            </w:r>
          </w:p>
        </w:tc>
        <w:tc>
          <w:tcPr>
            <w:tcW w:w="4260" w:type="dxa"/>
            <w:vAlign w:val="bottom"/>
            <w:vMerge w:val="restart"/>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08"/>
        </w:trPr>
        <w:tc>
          <w:tcPr>
            <w:tcW w:w="6940" w:type="dxa"/>
            <w:vAlign w:val="bottom"/>
          </w:tcPr>
          <w:p>
            <w:pPr>
              <w:spacing w:after="0"/>
              <w:rPr>
                <w:sz w:val="9"/>
                <w:szCs w:val="9"/>
                <w:color w:val="auto"/>
              </w:rPr>
            </w:pPr>
          </w:p>
        </w:tc>
        <w:tc>
          <w:tcPr>
            <w:tcW w:w="4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1D2758"/>
        </w:rPr>
        <w:t>Adjusted Net Income and Adjusted Diluted Earnings Per Share</w:t>
      </w:r>
    </w:p>
    <w:p>
      <w:pPr>
        <w:spacing w:after="0" w:line="6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define Adjusted Net Income as net income, plus certain non-cash items and the effect of what we consider transactions not related to our core business operations, including:</w:t>
      </w:r>
    </w:p>
    <w:p>
      <w:pPr>
        <w:spacing w:after="0" w:line="7" w:lineRule="exact"/>
        <w:rPr>
          <w:sz w:val="20"/>
          <w:szCs w:val="20"/>
          <w:color w:val="auto"/>
        </w:rPr>
      </w:pPr>
    </w:p>
    <w:p>
      <w:pPr>
        <w:ind w:left="660" w:hanging="328"/>
        <w:spacing w:after="0" w:line="281"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color w:val="auto"/>
        </w:rPr>
        <w:t>Restructuring costs, lease impairment expense, and other related charges associated with restructuring plans designed to streamline operations and reduce costs including employee and lease termination costs.</w:t>
      </w:r>
    </w:p>
    <w:p>
      <w:pPr>
        <w:spacing w:after="0" w:line="1" w:lineRule="exact"/>
        <w:rPr>
          <w:rFonts w:ascii="Arial" w:cs="Arial" w:eastAsia="Arial" w:hAnsi="Arial"/>
          <w:sz w:val="16"/>
          <w:szCs w:val="16"/>
          <w:color w:val="auto"/>
        </w:rPr>
      </w:pPr>
    </w:p>
    <w:p>
      <w:pPr>
        <w:ind w:left="660" w:hanging="328"/>
        <w:spacing w:after="0" w:line="290"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color w:val="auto"/>
        </w:rPr>
        <w:t>Goodwill and other impairment charges related to non-cash costs associated with impairment charges to goodwill, other intangibles, rental fleet and property, plant and equipment.</w:t>
      </w: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Depreciation expense related real estate exits.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Equity-based executive transition costs.</w:t>
      </w:r>
    </w:p>
    <w:p>
      <w:pPr>
        <w:spacing w:after="0" w:line="59" w:lineRule="exact"/>
        <w:rPr>
          <w:rFonts w:ascii="Arial" w:cs="Arial" w:eastAsia="Arial" w:hAnsi="Arial"/>
          <w:sz w:val="16"/>
          <w:szCs w:val="16"/>
          <w:color w:val="auto"/>
        </w:rPr>
      </w:pPr>
    </w:p>
    <w:p>
      <w:pPr>
        <w:ind w:left="660" w:hanging="328"/>
        <w:spacing w:after="0" w:line="286"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color w:val="auto"/>
        </w:rPr>
        <w:t>Costs to integrate acquired companies, including outside professional fees, non-capitalized costs associated with system integrations, non-lease branch and fleet relocation expenses, employee relocation and training costs, and other costs required to realize cost or revenue synergies.</w:t>
      </w:r>
    </w:p>
    <w:p>
      <w:pPr>
        <w:spacing w:after="0" w:line="7"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Transaction costs including legal and professional fees and other transaction specific related costs.</w:t>
      </w:r>
    </w:p>
    <w:p>
      <w:pPr>
        <w:spacing w:after="0" w:line="59" w:lineRule="exact"/>
        <w:rPr>
          <w:rFonts w:ascii="Arial" w:cs="Arial" w:eastAsia="Arial" w:hAnsi="Arial"/>
          <w:sz w:val="16"/>
          <w:szCs w:val="16"/>
          <w:color w:val="auto"/>
        </w:rPr>
      </w:pPr>
    </w:p>
    <w:p>
      <w:pPr>
        <w:jc w:val="both"/>
        <w:ind w:left="660" w:hanging="328"/>
        <w:spacing w:after="0" w:line="275"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color w:val="auto"/>
        </w:rPr>
        <w:t>Other expense, including consulting expenses related to certain one-time projects, financing costs not classified as interest expense, gains and losses on disposals of property, plant, and equipment, unrealized gains and losses on investments, costs to implement the Company's real estate exits prior to the approval of the Network Optimization Plan, and non-equity executive transition costs.</w:t>
      </w:r>
    </w:p>
    <w:p>
      <w:pPr>
        <w:spacing w:after="0" w:line="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We define Adjusted Diluted Earnings Per Share as Adjusted Net Income divided by Adjusted Diluted Weighted Average Common Shares Outstanding. Management believes that Adjusted Net Income and Adjusted Diluted Earnings Per Share are important measures that allow investors to evaluate performance between periods on a more comparable basis and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40"/>
          </w:cols>
          <w:pgMar w:left="320" w:top="1097" w:right="339" w:bottom="1440" w:gutter="0" w:footer="0" w:header="0"/>
        </w:sectPr>
      </w:pPr>
    </w:p>
    <w:bookmarkStart w:id="12" w:name="page13"/>
    <w:bookmarkEnd w:id="12"/>
    <w:p>
      <w:pPr>
        <w:spacing w:after="0" w:line="286" w:lineRule="auto"/>
        <w:rPr>
          <w:sz w:val="20"/>
          <w:szCs w:val="20"/>
          <w:color w:val="auto"/>
        </w:rPr>
      </w:pPr>
      <w:r>
        <w:rPr>
          <w:rFonts w:ascii="Arial" w:cs="Arial" w:eastAsia="Arial" w:hAnsi="Arial"/>
          <w:sz w:val="16"/>
          <w:szCs w:val="16"/>
          <w:color w:val="auto"/>
        </w:rPr>
        <w:t>provide useful information to both management and investors by excluding certain items that may not be indicative of our core operating results and operational strength of our business.</w:t>
      </w:r>
    </w:p>
    <w:p>
      <w:pPr>
        <w:spacing w:after="0" w:line="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following table provides reconciliations of Net income to Adjusted Net Income, Diluted earnings per share to Adjusted Diluted Earnings Per Share and weighted average diluted shares outstanding to Adjusted Weighted Average Diluted Shares Outstanding:</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shd w:val="clear" w:color="auto" w:fill="1D2758"/>
          </w:tcPr>
          <w:p>
            <w:pPr>
              <w:spacing w:after="0"/>
              <w:rPr>
                <w:sz w:val="16"/>
                <w:szCs w:val="16"/>
                <w:color w:val="auto"/>
              </w:rPr>
            </w:pPr>
          </w:p>
        </w:tc>
        <w:tc>
          <w:tcPr>
            <w:tcW w:w="340" w:type="dxa"/>
            <w:vAlign w:val="bottom"/>
            <w:shd w:val="clear" w:color="auto" w:fill="1D2758"/>
          </w:tcPr>
          <w:p>
            <w:pPr>
              <w:spacing w:after="0"/>
              <w:rPr>
                <w:sz w:val="16"/>
                <w:szCs w:val="16"/>
                <w:color w:val="auto"/>
              </w:rPr>
            </w:pPr>
          </w:p>
        </w:tc>
        <w:tc>
          <w:tcPr>
            <w:tcW w:w="2880" w:type="dxa"/>
            <w:vAlign w:val="bottom"/>
            <w:gridSpan w:val="4"/>
            <w:shd w:val="clear" w:color="auto" w:fill="1D2758"/>
          </w:tcPr>
          <w:p>
            <w:pPr>
              <w:jc w:val="right"/>
              <w:ind w:right="739"/>
              <w:spacing w:after="0"/>
              <w:rPr>
                <w:sz w:val="20"/>
                <w:szCs w:val="20"/>
                <w:color w:val="auto"/>
              </w:rPr>
            </w:pPr>
            <w:r>
              <w:rPr>
                <w:rFonts w:ascii="Arial" w:cs="Arial" w:eastAsia="Arial" w:hAnsi="Arial"/>
                <w:sz w:val="16"/>
                <w:szCs w:val="16"/>
                <w:b w:val="1"/>
                <w:bCs w:val="1"/>
                <w:color w:val="FFFFFF"/>
              </w:rPr>
              <w:t>Three Months Ended</w:t>
            </w:r>
          </w:p>
        </w:tc>
      </w:tr>
      <w:tr>
        <w:trPr>
          <w:trHeight w:val="216"/>
        </w:trPr>
        <w:tc>
          <w:tcPr>
            <w:tcW w:w="8020" w:type="dxa"/>
            <w:vAlign w:val="bottom"/>
            <w:shd w:val="clear" w:color="auto" w:fill="1D2758"/>
          </w:tcPr>
          <w:p>
            <w:pPr>
              <w:spacing w:after="0"/>
              <w:rPr>
                <w:sz w:val="18"/>
                <w:szCs w:val="18"/>
                <w:color w:val="auto"/>
              </w:rPr>
            </w:pPr>
          </w:p>
        </w:tc>
        <w:tc>
          <w:tcPr>
            <w:tcW w:w="340" w:type="dxa"/>
            <w:vAlign w:val="bottom"/>
            <w:shd w:val="clear" w:color="auto" w:fill="1D2758"/>
          </w:tcPr>
          <w:p>
            <w:pPr>
              <w:spacing w:after="0"/>
              <w:rPr>
                <w:sz w:val="18"/>
                <w:szCs w:val="18"/>
                <w:color w:val="auto"/>
              </w:rPr>
            </w:pPr>
          </w:p>
        </w:tc>
        <w:tc>
          <w:tcPr>
            <w:tcW w:w="1780" w:type="dxa"/>
            <w:vAlign w:val="bottom"/>
            <w:gridSpan w:val="3"/>
            <w:shd w:val="clear" w:color="auto" w:fill="1D2758"/>
          </w:tcPr>
          <w:p>
            <w:pPr>
              <w:jc w:val="right"/>
              <w:ind w:right="59"/>
              <w:spacing w:after="0"/>
              <w:rPr>
                <w:sz w:val="20"/>
                <w:szCs w:val="20"/>
                <w:color w:val="auto"/>
              </w:rPr>
            </w:pPr>
            <w:r>
              <w:rPr>
                <w:rFonts w:ascii="Arial" w:cs="Arial" w:eastAsia="Arial" w:hAnsi="Arial"/>
                <w:sz w:val="16"/>
                <w:szCs w:val="16"/>
                <w:b w:val="1"/>
                <w:bCs w:val="1"/>
                <w:color w:val="FFFFFF"/>
              </w:rPr>
              <w:t>March 31,</w:t>
            </w:r>
          </w:p>
        </w:tc>
        <w:tc>
          <w:tcPr>
            <w:tcW w:w="1100" w:type="dxa"/>
            <w:vAlign w:val="bottom"/>
            <w:shd w:val="clear" w:color="auto" w:fill="1D2758"/>
          </w:tcPr>
          <w:p>
            <w:pPr>
              <w:spacing w:after="0"/>
              <w:rPr>
                <w:sz w:val="18"/>
                <w:szCs w:val="18"/>
                <w:color w:val="auto"/>
              </w:rPr>
            </w:pPr>
          </w:p>
        </w:tc>
      </w:tr>
      <w:tr>
        <w:trPr>
          <w:trHeight w:val="216"/>
        </w:trPr>
        <w:tc>
          <w:tcPr>
            <w:tcW w:w="802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 except share and per share amounts)</w:t>
            </w:r>
          </w:p>
        </w:tc>
        <w:tc>
          <w:tcPr>
            <w:tcW w:w="340" w:type="dxa"/>
            <w:vAlign w:val="bottom"/>
            <w:shd w:val="clear" w:color="auto" w:fill="1D2758"/>
          </w:tcPr>
          <w:p>
            <w:pPr>
              <w:spacing w:after="0"/>
              <w:rPr>
                <w:sz w:val="18"/>
                <w:szCs w:val="18"/>
                <w:color w:val="auto"/>
              </w:rPr>
            </w:pPr>
          </w:p>
        </w:tc>
        <w:tc>
          <w:tcPr>
            <w:tcW w:w="1220" w:type="dxa"/>
            <w:vAlign w:val="bottom"/>
            <w:shd w:val="clear" w:color="auto" w:fill="1D2758"/>
          </w:tcPr>
          <w:p>
            <w:pPr>
              <w:jc w:val="right"/>
              <w:ind w:right="519"/>
              <w:spacing w:after="0"/>
              <w:rPr>
                <w:sz w:val="20"/>
                <w:szCs w:val="20"/>
                <w:color w:val="auto"/>
              </w:rPr>
            </w:pPr>
            <w:r>
              <w:rPr>
                <w:rFonts w:ascii="Arial" w:cs="Arial" w:eastAsia="Arial" w:hAnsi="Arial"/>
                <w:sz w:val="16"/>
                <w:szCs w:val="16"/>
                <w:b w:val="1"/>
                <w:bCs w:val="1"/>
                <w:color w:val="FFFFFF"/>
              </w:rPr>
              <w:t>2026</w:t>
            </w:r>
          </w:p>
        </w:tc>
        <w:tc>
          <w:tcPr>
            <w:tcW w:w="100" w:type="dxa"/>
            <w:vAlign w:val="bottom"/>
            <w:shd w:val="clear" w:color="auto" w:fill="1D2758"/>
          </w:tcPr>
          <w:p>
            <w:pPr>
              <w:spacing w:after="0"/>
              <w:rPr>
                <w:sz w:val="18"/>
                <w:szCs w:val="18"/>
                <w:color w:val="auto"/>
              </w:rPr>
            </w:pPr>
          </w:p>
        </w:tc>
        <w:tc>
          <w:tcPr>
            <w:tcW w:w="460" w:type="dxa"/>
            <w:vAlign w:val="bottom"/>
            <w:shd w:val="clear" w:color="auto" w:fill="1D2758"/>
          </w:tcPr>
          <w:p>
            <w:pPr>
              <w:spacing w:after="0"/>
              <w:rPr>
                <w:sz w:val="18"/>
                <w:szCs w:val="18"/>
                <w:color w:val="auto"/>
              </w:rPr>
            </w:pPr>
          </w:p>
        </w:tc>
        <w:tc>
          <w:tcPr>
            <w:tcW w:w="1100" w:type="dxa"/>
            <w:vAlign w:val="bottom"/>
            <w:shd w:val="clear" w:color="auto" w:fill="1D2758"/>
          </w:tcPr>
          <w:p>
            <w:pPr>
              <w:jc w:val="right"/>
              <w:ind w:right="519"/>
              <w:spacing w:after="0"/>
              <w:rPr>
                <w:sz w:val="20"/>
                <w:szCs w:val="20"/>
                <w:color w:val="auto"/>
              </w:rPr>
            </w:pPr>
            <w:r>
              <w:rPr>
                <w:rFonts w:ascii="Arial" w:cs="Arial" w:eastAsia="Arial" w:hAnsi="Arial"/>
                <w:sz w:val="16"/>
                <w:szCs w:val="16"/>
                <w:b w:val="1"/>
                <w:bCs w:val="1"/>
                <w:color w:val="FFFFFF"/>
              </w:rPr>
              <w:t>2025</w:t>
            </w:r>
          </w:p>
        </w:tc>
      </w:tr>
      <w:tr>
        <w:trPr>
          <w:trHeight w:val="216"/>
        </w:trPr>
        <w:tc>
          <w:tcPr>
            <w:tcW w:w="802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income</w:t>
            </w:r>
          </w:p>
        </w:tc>
        <w:tc>
          <w:tcPr>
            <w:tcW w:w="34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28,123</w:t>
            </w: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jc w:val="right"/>
              <w:ind w:right="2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43,055</w:t>
            </w:r>
          </w:p>
        </w:tc>
      </w:tr>
      <w:tr>
        <w:trPr>
          <w:trHeight w:val="215"/>
        </w:trPr>
        <w:tc>
          <w:tcPr>
            <w:tcW w:w="8020" w:type="dxa"/>
            <w:vAlign w:val="bottom"/>
          </w:tcPr>
          <w:p>
            <w:pPr>
              <w:ind w:left="240"/>
              <w:spacing w:after="0"/>
              <w:rPr>
                <w:sz w:val="20"/>
                <w:szCs w:val="20"/>
                <w:color w:val="auto"/>
              </w:rPr>
            </w:pPr>
            <w:r>
              <w:rPr>
                <w:rFonts w:ascii="Arial" w:cs="Arial" w:eastAsia="Arial" w:hAnsi="Arial"/>
                <w:sz w:val="16"/>
                <w:szCs w:val="16"/>
                <w:color w:val="auto"/>
              </w:rPr>
              <w:t>Restructuring costs, lease impairment expense and other related charges, net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11,273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702</w:t>
            </w:r>
          </w:p>
        </w:tc>
      </w:tr>
      <w:tr>
        <w:trPr>
          <w:trHeight w:val="217"/>
        </w:trPr>
        <w:tc>
          <w:tcPr>
            <w:tcW w:w="80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Depreciation expense related to real estate exits</w:t>
            </w:r>
          </w:p>
        </w:tc>
        <w:tc>
          <w:tcPr>
            <w:tcW w:w="34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3,776</w:t>
            </w:r>
          </w:p>
        </w:tc>
      </w:tr>
      <w:tr>
        <w:trPr>
          <w:trHeight w:val="215"/>
        </w:trPr>
        <w:tc>
          <w:tcPr>
            <w:tcW w:w="8020" w:type="dxa"/>
            <w:vAlign w:val="bottom"/>
          </w:tcPr>
          <w:p>
            <w:pPr>
              <w:ind w:left="240"/>
              <w:spacing w:after="0"/>
              <w:rPr>
                <w:sz w:val="20"/>
                <w:szCs w:val="20"/>
                <w:color w:val="auto"/>
              </w:rPr>
            </w:pPr>
            <w:r>
              <w:rPr>
                <w:rFonts w:ascii="Arial" w:cs="Arial" w:eastAsia="Arial" w:hAnsi="Arial"/>
                <w:sz w:val="16"/>
                <w:szCs w:val="16"/>
                <w:color w:val="auto"/>
              </w:rPr>
              <w:t>Equity-based executive transition costs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0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Integration and transaction costs</w:t>
            </w:r>
          </w:p>
        </w:tc>
        <w:tc>
          <w:tcPr>
            <w:tcW w:w="34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261</w:t>
            </w:r>
          </w:p>
        </w:tc>
      </w:tr>
      <w:tr>
        <w:trPr>
          <w:trHeight w:val="216"/>
        </w:trPr>
        <w:tc>
          <w:tcPr>
            <w:tcW w:w="8020" w:type="dxa"/>
            <w:vAlign w:val="bottom"/>
          </w:tcPr>
          <w:p>
            <w:pPr>
              <w:ind w:left="240"/>
              <w:spacing w:after="0" w:line="216"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3,303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2,732</w:t>
            </w:r>
          </w:p>
        </w:tc>
      </w:tr>
      <w:tr>
        <w:trPr>
          <w:trHeight w:val="216"/>
        </w:trPr>
        <w:tc>
          <w:tcPr>
            <w:tcW w:w="8020" w:type="dxa"/>
            <w:vAlign w:val="bottom"/>
            <w:shd w:val="clear" w:color="auto" w:fill="DBDBDB"/>
          </w:tcPr>
          <w:p>
            <w:pPr>
              <w:ind w:left="240"/>
              <w:spacing w:after="0" w:line="216" w:lineRule="exact"/>
              <w:rPr>
                <w:sz w:val="20"/>
                <w:szCs w:val="20"/>
                <w:color w:val="auto"/>
              </w:rPr>
            </w:pPr>
            <w:r>
              <w:rPr>
                <w:rFonts w:ascii="Arial" w:cs="Arial" w:eastAsia="Arial" w:hAnsi="Arial"/>
                <w:sz w:val="16"/>
                <w:szCs w:val="16"/>
                <w:color w:val="auto"/>
              </w:rPr>
              <w:t>Estimated tax impact</w:t>
            </w:r>
            <w:r>
              <w:rPr>
                <w:rFonts w:ascii="Arial" w:cs="Arial" w:eastAsia="Arial" w:hAnsi="Arial"/>
                <w:sz w:val="21"/>
                <w:szCs w:val="21"/>
                <w:color w:val="auto"/>
                <w:vertAlign w:val="superscript"/>
              </w:rPr>
              <w:t>2</w:t>
            </w:r>
          </w:p>
        </w:tc>
        <w:tc>
          <w:tcPr>
            <w:tcW w:w="340" w:type="dxa"/>
            <w:vAlign w:val="bottom"/>
            <w:tcBorders>
              <w:bottom w:val="single" w:sz="8" w:color="auto"/>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(3,967)</w:t>
            </w:r>
          </w:p>
        </w:tc>
        <w:tc>
          <w:tcPr>
            <w:tcW w:w="100" w:type="dxa"/>
            <w:vAlign w:val="bottom"/>
            <w:shd w:val="clear" w:color="auto" w:fill="DBDBDB"/>
          </w:tcPr>
          <w:p>
            <w:pPr>
              <w:spacing w:after="0"/>
              <w:rPr>
                <w:sz w:val="18"/>
                <w:szCs w:val="18"/>
                <w:color w:val="auto"/>
              </w:rPr>
            </w:pPr>
          </w:p>
        </w:tc>
        <w:tc>
          <w:tcPr>
            <w:tcW w:w="46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(1,868)</w:t>
            </w:r>
          </w:p>
        </w:tc>
      </w:tr>
      <w:tr>
        <w:trPr>
          <w:trHeight w:val="210"/>
        </w:trPr>
        <w:tc>
          <w:tcPr>
            <w:tcW w:w="8020" w:type="dxa"/>
            <w:vAlign w:val="bottom"/>
          </w:tcPr>
          <w:p>
            <w:pPr>
              <w:ind w:left="20"/>
              <w:spacing w:after="0"/>
              <w:rPr>
                <w:sz w:val="20"/>
                <w:szCs w:val="20"/>
                <w:color w:val="auto"/>
              </w:rPr>
            </w:pPr>
            <w:r>
              <w:rPr>
                <w:rFonts w:ascii="Arial" w:cs="Arial" w:eastAsia="Arial" w:hAnsi="Arial"/>
                <w:sz w:val="16"/>
                <w:szCs w:val="16"/>
                <w:color w:val="auto"/>
              </w:rPr>
              <w:t>Adjusted Net Income</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38,847</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48,658</w:t>
            </w:r>
          </w:p>
        </w:tc>
      </w:tr>
      <w:tr>
        <w:trPr>
          <w:trHeight w:val="20"/>
        </w:trPr>
        <w:tc>
          <w:tcPr>
            <w:tcW w:w="802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8020" w:type="dxa"/>
            <w:vAlign w:val="bottom"/>
            <w:shd w:val="clear" w:color="auto" w:fill="DBDBDB"/>
          </w:tcPr>
          <w:p>
            <w:pPr>
              <w:spacing w:after="0"/>
              <w:rPr>
                <w:sz w:val="19"/>
                <w:szCs w:val="19"/>
                <w:color w:val="auto"/>
              </w:rPr>
            </w:pPr>
          </w:p>
        </w:tc>
        <w:tc>
          <w:tcPr>
            <w:tcW w:w="340" w:type="dxa"/>
            <w:vAlign w:val="bottom"/>
            <w:shd w:val="clear" w:color="auto" w:fill="DBDBDB"/>
          </w:tcPr>
          <w:p>
            <w:pPr>
              <w:spacing w:after="0"/>
              <w:rPr>
                <w:sz w:val="19"/>
                <w:szCs w:val="19"/>
                <w:color w:val="auto"/>
              </w:rPr>
            </w:pPr>
          </w:p>
        </w:tc>
        <w:tc>
          <w:tcPr>
            <w:tcW w:w="12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460" w:type="dxa"/>
            <w:vAlign w:val="bottom"/>
            <w:shd w:val="clear" w:color="auto" w:fill="DBDBDB"/>
          </w:tcPr>
          <w:p>
            <w:pPr>
              <w:spacing w:after="0"/>
              <w:rPr>
                <w:sz w:val="19"/>
                <w:szCs w:val="19"/>
                <w:color w:val="auto"/>
              </w:rPr>
            </w:pPr>
          </w:p>
        </w:tc>
        <w:tc>
          <w:tcPr>
            <w:tcW w:w="1100" w:type="dxa"/>
            <w:vAlign w:val="bottom"/>
            <w:shd w:val="clear" w:color="auto" w:fill="DBDBDB"/>
          </w:tcPr>
          <w:p>
            <w:pPr>
              <w:spacing w:after="0"/>
              <w:rPr>
                <w:sz w:val="19"/>
                <w:szCs w:val="19"/>
                <w:color w:val="auto"/>
              </w:rPr>
            </w:pPr>
          </w:p>
        </w:tc>
      </w:tr>
      <w:tr>
        <w:trPr>
          <w:trHeight w:val="215"/>
        </w:trPr>
        <w:tc>
          <w:tcPr>
            <w:tcW w:w="802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0.15</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0.23</w:t>
            </w:r>
          </w:p>
        </w:tc>
      </w:tr>
      <w:tr>
        <w:trPr>
          <w:trHeight w:val="217"/>
        </w:trPr>
        <w:tc>
          <w:tcPr>
            <w:tcW w:w="80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Restructuring costs, lease impairment expense and other related charges, net</w:t>
            </w:r>
          </w:p>
        </w:tc>
        <w:tc>
          <w:tcPr>
            <w:tcW w:w="34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0.06</w:t>
            </w: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0.01</w:t>
            </w:r>
          </w:p>
        </w:tc>
      </w:tr>
      <w:tr>
        <w:trPr>
          <w:trHeight w:val="215"/>
        </w:trPr>
        <w:tc>
          <w:tcPr>
            <w:tcW w:w="8020" w:type="dxa"/>
            <w:vAlign w:val="bottom"/>
          </w:tcPr>
          <w:p>
            <w:pPr>
              <w:ind w:left="240"/>
              <w:spacing w:after="0"/>
              <w:rPr>
                <w:sz w:val="20"/>
                <w:szCs w:val="20"/>
                <w:color w:val="auto"/>
              </w:rPr>
            </w:pPr>
            <w:r>
              <w:rPr>
                <w:rFonts w:ascii="Arial" w:cs="Arial" w:eastAsia="Arial" w:hAnsi="Arial"/>
                <w:sz w:val="16"/>
                <w:szCs w:val="16"/>
                <w:color w:val="auto"/>
              </w:rPr>
              <w:t>Depreciation expense related to real estate exits</w:t>
            </w:r>
          </w:p>
        </w:tc>
        <w:tc>
          <w:tcPr>
            <w:tcW w:w="3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0.02</w:t>
            </w:r>
          </w:p>
        </w:tc>
      </w:tr>
      <w:tr>
        <w:trPr>
          <w:trHeight w:val="217"/>
        </w:trPr>
        <w:tc>
          <w:tcPr>
            <w:tcW w:w="80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Equity-based executive transition costs</w:t>
            </w:r>
          </w:p>
        </w:tc>
        <w:tc>
          <w:tcPr>
            <w:tcW w:w="340" w:type="dxa"/>
            <w:vAlign w:val="bottom"/>
            <w:shd w:val="clear" w:color="auto" w:fill="DBDBDB"/>
          </w:tcPr>
          <w:p>
            <w:pPr>
              <w:spacing w:after="0"/>
              <w:rPr>
                <w:sz w:val="18"/>
                <w:szCs w:val="18"/>
                <w:color w:val="auto"/>
              </w:rPr>
            </w:pPr>
          </w:p>
        </w:tc>
        <w:tc>
          <w:tcPr>
            <w:tcW w:w="1320" w:type="dxa"/>
            <w:vAlign w:val="bottom"/>
            <w:gridSpan w:val="2"/>
            <w:shd w:val="clear" w:color="auto" w:fill="DBDBDB"/>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020" w:type="dxa"/>
            <w:vAlign w:val="bottom"/>
          </w:tcPr>
          <w:p>
            <w:pPr>
              <w:ind w:left="240"/>
              <w:spacing w:after="0"/>
              <w:rPr>
                <w:sz w:val="20"/>
                <w:szCs w:val="20"/>
                <w:color w:val="auto"/>
              </w:rPr>
            </w:pPr>
            <w:r>
              <w:rPr>
                <w:rFonts w:ascii="Arial" w:cs="Arial" w:eastAsia="Arial" w:hAnsi="Arial"/>
                <w:sz w:val="16"/>
                <w:szCs w:val="16"/>
                <w:color w:val="auto"/>
              </w:rPr>
              <w:t>Integration and transaction costs</w:t>
            </w:r>
          </w:p>
        </w:tc>
        <w:tc>
          <w:tcPr>
            <w:tcW w:w="3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020" w:type="dxa"/>
            <w:vAlign w:val="bottom"/>
            <w:shd w:val="clear" w:color="auto" w:fill="DBDBDB"/>
          </w:tcPr>
          <w:p>
            <w:pPr>
              <w:ind w:left="240"/>
              <w:spacing w:after="0" w:line="217"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34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0.02</w:t>
            </w: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0.01</w:t>
            </w:r>
          </w:p>
        </w:tc>
      </w:tr>
      <w:tr>
        <w:trPr>
          <w:trHeight w:val="216"/>
        </w:trPr>
        <w:tc>
          <w:tcPr>
            <w:tcW w:w="8020" w:type="dxa"/>
            <w:vAlign w:val="bottom"/>
            <w:tcBorders>
              <w:bottom w:val="single" w:sz="8" w:color="DBDBDB"/>
            </w:tcBorders>
          </w:tcPr>
          <w:p>
            <w:pPr>
              <w:ind w:left="240"/>
              <w:spacing w:after="0" w:line="216" w:lineRule="exact"/>
              <w:rPr>
                <w:sz w:val="20"/>
                <w:szCs w:val="20"/>
                <w:color w:val="auto"/>
              </w:rPr>
            </w:pPr>
            <w:r>
              <w:rPr>
                <w:rFonts w:ascii="Arial" w:cs="Arial" w:eastAsia="Arial" w:hAnsi="Arial"/>
                <w:sz w:val="16"/>
                <w:szCs w:val="16"/>
                <w:color w:val="auto"/>
              </w:rPr>
              <w:t>Estimated tax impact</w:t>
            </w:r>
            <w:r>
              <w:rPr>
                <w:rFonts w:ascii="Arial" w:cs="Arial" w:eastAsia="Arial" w:hAnsi="Arial"/>
                <w:sz w:val="21"/>
                <w:szCs w:val="21"/>
                <w:color w:val="auto"/>
                <w:vertAlign w:val="superscript"/>
              </w:rPr>
              <w:t>2</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DBDBDB"/>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(0.01)</w:t>
            </w:r>
          </w:p>
        </w:tc>
      </w:tr>
      <w:tr>
        <w:trPr>
          <w:trHeight w:val="234"/>
        </w:trPr>
        <w:tc>
          <w:tcPr>
            <w:tcW w:w="80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Adjusted Diluted Earnings Per Share</w:t>
            </w:r>
          </w:p>
        </w:tc>
        <w:tc>
          <w:tcPr>
            <w:tcW w:w="340" w:type="dxa"/>
            <w:vAlign w:val="bottom"/>
            <w:tcBorders>
              <w:bottom w:val="single" w:sz="8" w:color="auto"/>
            </w:tcBorders>
            <w:shd w:val="clear" w:color="auto" w:fill="DBDBDB"/>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0.21</w:t>
            </w:r>
          </w:p>
        </w:tc>
        <w:tc>
          <w:tcPr>
            <w:tcW w:w="100" w:type="dxa"/>
            <w:vAlign w:val="bottom"/>
            <w:tcBorders>
              <w:bottom w:val="single" w:sz="8" w:color="DBDBDB"/>
            </w:tcBorders>
            <w:shd w:val="clear" w:color="auto" w:fill="DBDBDB"/>
          </w:tcPr>
          <w:p>
            <w:pPr>
              <w:spacing w:after="0"/>
              <w:rPr>
                <w:sz w:val="19"/>
                <w:szCs w:val="19"/>
                <w:color w:val="auto"/>
              </w:rPr>
            </w:pPr>
          </w:p>
        </w:tc>
        <w:tc>
          <w:tcPr>
            <w:tcW w:w="460" w:type="dxa"/>
            <w:vAlign w:val="bottom"/>
            <w:tcBorders>
              <w:bottom w:val="single" w:sz="8" w:color="auto"/>
            </w:tcBorders>
            <w:shd w:val="clear" w:color="auto" w:fill="DBDBDB"/>
          </w:tcPr>
          <w:p>
            <w:pPr>
              <w:jc w:val="right"/>
              <w:ind w:right="2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0.26</w:t>
            </w:r>
          </w:p>
        </w:tc>
      </w:tr>
      <w:tr>
        <w:trPr>
          <w:trHeight w:val="20"/>
        </w:trPr>
        <w:tc>
          <w:tcPr>
            <w:tcW w:w="802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r>
      <w:tr>
        <w:trPr>
          <w:trHeight w:val="204"/>
        </w:trPr>
        <w:tc>
          <w:tcPr>
            <w:tcW w:w="8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8020" w:type="dxa"/>
            <w:vAlign w:val="bottom"/>
            <w:shd w:val="clear" w:color="auto" w:fill="DBDBDB"/>
          </w:tcPr>
          <w:p>
            <w:pPr>
              <w:ind w:left="20"/>
              <w:spacing w:after="0"/>
              <w:rPr>
                <w:sz w:val="20"/>
                <w:szCs w:val="20"/>
                <w:color w:val="auto"/>
              </w:rPr>
            </w:pPr>
            <w:r>
              <w:rPr>
                <w:rFonts w:ascii="Arial" w:cs="Arial" w:eastAsia="Arial" w:hAnsi="Arial"/>
                <w:sz w:val="16"/>
                <w:szCs w:val="16"/>
                <w:color w:val="auto"/>
              </w:rPr>
              <w:t>Weighted average diluted shares outstanding</w:t>
            </w:r>
          </w:p>
        </w:tc>
        <w:tc>
          <w:tcPr>
            <w:tcW w:w="34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181,463,605</w:t>
            </w: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185,301,787</w:t>
            </w:r>
          </w:p>
        </w:tc>
      </w:tr>
      <w:tr>
        <w:trPr>
          <w:trHeight w:val="215"/>
        </w:trPr>
        <w:tc>
          <w:tcPr>
            <w:tcW w:w="8020" w:type="dxa"/>
            <w:vAlign w:val="bottom"/>
          </w:tcPr>
          <w:p>
            <w:pPr>
              <w:ind w:left="20"/>
              <w:spacing w:after="0"/>
              <w:rPr>
                <w:sz w:val="20"/>
                <w:szCs w:val="20"/>
                <w:color w:val="auto"/>
              </w:rPr>
            </w:pPr>
            <w:r>
              <w:rPr>
                <w:rFonts w:ascii="Arial" w:cs="Arial" w:eastAsia="Arial" w:hAnsi="Arial"/>
                <w:sz w:val="16"/>
                <w:szCs w:val="16"/>
                <w:color w:val="auto"/>
              </w:rPr>
              <w:t>Adjusted Weighted Average Diluted Shares Outstanding</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181,463,605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185,301,787</w:t>
            </w:r>
          </w:p>
        </w:tc>
      </w:tr>
    </w:tbl>
    <w:p>
      <w:pPr>
        <w:spacing w:after="0" w:line="370" w:lineRule="exact"/>
        <w:rPr>
          <w:sz w:val="20"/>
          <w:szCs w:val="20"/>
          <w:color w:val="auto"/>
        </w:rPr>
      </w:pPr>
    </w:p>
    <w:p>
      <w:pPr>
        <w:ind w:left="220" w:hanging="212"/>
        <w:spacing w:after="0"/>
        <w:tabs>
          <w:tab w:leader="none" w:pos="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For the three months ended March 31, 2026, other included $1.8 million in non-equity executive transition costs.</w:t>
      </w:r>
    </w:p>
    <w:p>
      <w:pPr>
        <w:spacing w:after="0" w:line="68" w:lineRule="exact"/>
        <w:rPr>
          <w:rFonts w:ascii="Arial" w:cs="Arial" w:eastAsia="Arial" w:hAnsi="Arial"/>
          <w:sz w:val="14"/>
          <w:szCs w:val="14"/>
          <w:color w:val="auto"/>
        </w:rPr>
      </w:pPr>
    </w:p>
    <w:p>
      <w:pPr>
        <w:ind w:firstLine="8"/>
        <w:spacing w:after="0" w:line="305" w:lineRule="auto"/>
        <w:tabs>
          <w:tab w:leader="none" w:pos="217"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include estimated taxes at our current statutory tax rate of approximately 27.0% for the three months ended March 31, 2026, and 25% for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109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1D2758"/>
        </w:rPr>
        <w:t>Adjusted Free Cash Flow and Adjusted Free Cash Flow Margin</w:t>
      </w:r>
    </w:p>
    <w:p>
      <w:pPr>
        <w:spacing w:after="0" w:line="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We define Adjusted Free Cash Flow as net cash provided by operating activities; less purchases of rental equipment and property, plant and equipment and plus proceeds from sale of rental equipment and property, plant and equipment, which are all included in cash flows from investing activities; and excluding payments for and proceeds from the implementation of the Network Optimization Plan and real estate exits prior to the approval of the Network Optimization Plan and payments for executive transition costs. Adjusted Free Cash Flow Margin is defined as Adjusted Free Cash Flow divided by Revenue. The Company believes that the presentation of Adjusted Free Cash Flow and Adjusted Free Cash Flow Margin provide useful additional information concerning cash flow available to fund our capital allocation alternatives and allow investors to compare cash generation performance over various reporting periods and against peers. The following table provides reconciliations of net cash provided by operating activities to Adjusted Free Cash Flow and Adjusted Free Cash Flow Margin:</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00" w:type="dxa"/>
            <w:vAlign w:val="bottom"/>
            <w:shd w:val="clear" w:color="auto" w:fill="1D2758"/>
          </w:tcPr>
          <w:p>
            <w:pPr>
              <w:spacing w:after="0"/>
              <w:rPr>
                <w:sz w:val="16"/>
                <w:szCs w:val="16"/>
                <w:color w:val="auto"/>
              </w:rPr>
            </w:pPr>
          </w:p>
        </w:tc>
        <w:tc>
          <w:tcPr>
            <w:tcW w:w="380" w:type="dxa"/>
            <w:vAlign w:val="bottom"/>
            <w:shd w:val="clear" w:color="auto" w:fill="1D2758"/>
          </w:tcPr>
          <w:p>
            <w:pPr>
              <w:spacing w:after="0"/>
              <w:rPr>
                <w:sz w:val="16"/>
                <w:szCs w:val="16"/>
                <w:color w:val="auto"/>
              </w:rPr>
            </w:pPr>
          </w:p>
        </w:tc>
        <w:tc>
          <w:tcPr>
            <w:tcW w:w="3060" w:type="dxa"/>
            <w:vAlign w:val="bottom"/>
            <w:gridSpan w:val="4"/>
            <w:shd w:val="clear" w:color="auto" w:fill="1D2758"/>
          </w:tcPr>
          <w:p>
            <w:pPr>
              <w:jc w:val="right"/>
              <w:ind w:right="839"/>
              <w:spacing w:after="0"/>
              <w:rPr>
                <w:sz w:val="20"/>
                <w:szCs w:val="20"/>
                <w:color w:val="auto"/>
              </w:rPr>
            </w:pPr>
            <w:r>
              <w:rPr>
                <w:rFonts w:ascii="Arial" w:cs="Arial" w:eastAsia="Arial" w:hAnsi="Arial"/>
                <w:sz w:val="16"/>
                <w:szCs w:val="16"/>
                <w:b w:val="1"/>
                <w:bCs w:val="1"/>
                <w:color w:val="FFFFFF"/>
              </w:rPr>
              <w:t>Three Months Ended</w:t>
            </w:r>
          </w:p>
        </w:tc>
        <w:tc>
          <w:tcPr>
            <w:tcW w:w="0" w:type="dxa"/>
            <w:vAlign w:val="bottom"/>
          </w:tcPr>
          <w:p>
            <w:pPr>
              <w:spacing w:after="0"/>
              <w:rPr>
                <w:sz w:val="1"/>
                <w:szCs w:val="1"/>
                <w:color w:val="auto"/>
              </w:rPr>
            </w:pPr>
          </w:p>
        </w:tc>
      </w:tr>
      <w:tr>
        <w:trPr>
          <w:trHeight w:val="216"/>
        </w:trPr>
        <w:tc>
          <w:tcPr>
            <w:tcW w:w="780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880" w:type="dxa"/>
            <w:vAlign w:val="bottom"/>
            <w:gridSpan w:val="3"/>
            <w:shd w:val="clear" w:color="auto" w:fill="1D2758"/>
          </w:tcPr>
          <w:p>
            <w:pPr>
              <w:jc w:val="right"/>
              <w:ind w:right="79"/>
              <w:spacing w:after="0"/>
              <w:rPr>
                <w:sz w:val="20"/>
                <w:szCs w:val="20"/>
                <w:color w:val="auto"/>
              </w:rPr>
            </w:pPr>
            <w:r>
              <w:rPr>
                <w:rFonts w:ascii="Arial" w:cs="Arial" w:eastAsia="Arial" w:hAnsi="Arial"/>
                <w:sz w:val="16"/>
                <w:szCs w:val="16"/>
                <w:b w:val="1"/>
                <w:bCs w:val="1"/>
                <w:color w:val="FFFFFF"/>
              </w:rPr>
              <w:t>March 31,</w:t>
            </w:r>
          </w:p>
        </w:tc>
        <w:tc>
          <w:tcPr>
            <w:tcW w:w="118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80" w:type="dxa"/>
            <w:vAlign w:val="bottom"/>
            <w:shd w:val="clear" w:color="auto" w:fill="1D2758"/>
          </w:tcPr>
          <w:p>
            <w:pPr>
              <w:spacing w:after="0"/>
              <w:rPr>
                <w:sz w:val="18"/>
                <w:szCs w:val="18"/>
                <w:color w:val="auto"/>
              </w:rPr>
            </w:pPr>
          </w:p>
        </w:tc>
        <w:tc>
          <w:tcPr>
            <w:tcW w:w="1300" w:type="dxa"/>
            <w:vAlign w:val="bottom"/>
            <w:shd w:val="clear" w:color="auto" w:fill="1D2758"/>
          </w:tcPr>
          <w:p>
            <w:pPr>
              <w:jc w:val="right"/>
              <w:ind w:right="579"/>
              <w:spacing w:after="0"/>
              <w:rPr>
                <w:sz w:val="20"/>
                <w:szCs w:val="20"/>
                <w:color w:val="auto"/>
              </w:rPr>
            </w:pPr>
            <w:r>
              <w:rPr>
                <w:rFonts w:ascii="Arial" w:cs="Arial" w:eastAsia="Arial" w:hAnsi="Arial"/>
                <w:sz w:val="16"/>
                <w:szCs w:val="16"/>
                <w:b w:val="1"/>
                <w:bCs w:val="1"/>
                <w:color w:val="FFFFFF"/>
              </w:rPr>
              <w:t>2026</w:t>
            </w:r>
          </w:p>
        </w:tc>
        <w:tc>
          <w:tcPr>
            <w:tcW w:w="80" w:type="dxa"/>
            <w:vAlign w:val="bottom"/>
            <w:shd w:val="clear" w:color="auto" w:fill="1D2758"/>
          </w:tcPr>
          <w:p>
            <w:pPr>
              <w:spacing w:after="0"/>
              <w:rPr>
                <w:sz w:val="18"/>
                <w:szCs w:val="18"/>
                <w:color w:val="auto"/>
              </w:rPr>
            </w:pPr>
          </w:p>
        </w:tc>
        <w:tc>
          <w:tcPr>
            <w:tcW w:w="500" w:type="dxa"/>
            <w:vAlign w:val="bottom"/>
            <w:shd w:val="clear" w:color="auto" w:fill="1D2758"/>
          </w:tcPr>
          <w:p>
            <w:pPr>
              <w:spacing w:after="0"/>
              <w:rPr>
                <w:sz w:val="18"/>
                <w:szCs w:val="18"/>
                <w:color w:val="auto"/>
              </w:rPr>
            </w:pPr>
          </w:p>
        </w:tc>
        <w:tc>
          <w:tcPr>
            <w:tcW w:w="1180" w:type="dxa"/>
            <w:vAlign w:val="bottom"/>
            <w:shd w:val="clear" w:color="auto" w:fill="1D2758"/>
          </w:tcPr>
          <w:p>
            <w:pPr>
              <w:jc w:val="right"/>
              <w:ind w:right="579"/>
              <w:spacing w:after="0"/>
              <w:rPr>
                <w:sz w:val="20"/>
                <w:szCs w:val="20"/>
                <w:color w:val="auto"/>
              </w:rPr>
            </w:pPr>
            <w:r>
              <w:rPr>
                <w:rFonts w:ascii="Arial" w:cs="Arial" w:eastAsia="Arial" w:hAnsi="Arial"/>
                <w:sz w:val="16"/>
                <w:szCs w:val="16"/>
                <w:b w:val="1"/>
                <w:bCs w:val="1"/>
                <w:color w:val="FFFFFF"/>
              </w:rPr>
              <w:t>2025</w:t>
            </w:r>
          </w:p>
        </w:tc>
        <w:tc>
          <w:tcPr>
            <w:tcW w:w="0" w:type="dxa"/>
            <w:vAlign w:val="bottom"/>
          </w:tcPr>
          <w:p>
            <w:pPr>
              <w:spacing w:after="0"/>
              <w:rPr>
                <w:sz w:val="1"/>
                <w:szCs w:val="1"/>
                <w:color w:val="auto"/>
              </w:rPr>
            </w:pPr>
          </w:p>
        </w:tc>
      </w:tr>
      <w:tr>
        <w:trPr>
          <w:trHeight w:val="216"/>
        </w:trPr>
        <w:tc>
          <w:tcPr>
            <w:tcW w:w="7800" w:type="dxa"/>
            <w:vAlign w:val="bottom"/>
            <w:shd w:val="clear" w:color="auto" w:fill="DBDBDB"/>
          </w:tcPr>
          <w:p>
            <w:pPr>
              <w:ind w:left="20"/>
              <w:spacing w:after="0"/>
              <w:rPr>
                <w:sz w:val="20"/>
                <w:szCs w:val="20"/>
                <w:color w:val="auto"/>
              </w:rPr>
            </w:pPr>
            <w:r>
              <w:rPr>
                <w:rFonts w:ascii="Arial" w:cs="Arial" w:eastAsia="Arial" w:hAnsi="Arial"/>
                <w:sz w:val="16"/>
                <w:szCs w:val="16"/>
                <w:color w:val="auto"/>
              </w:rPr>
              <w:t>Net cash provided by operating activities (A)</w:t>
            </w: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191,058</w:t>
            </w:r>
          </w:p>
        </w:tc>
        <w:tc>
          <w:tcPr>
            <w:tcW w:w="80" w:type="dxa"/>
            <w:vAlign w:val="bottom"/>
            <w:shd w:val="clear" w:color="auto" w:fill="DBDBDB"/>
          </w:tcPr>
          <w:p>
            <w:pPr>
              <w:spacing w:after="0"/>
              <w:rPr>
                <w:sz w:val="18"/>
                <w:szCs w:val="18"/>
                <w:color w:val="auto"/>
              </w:rPr>
            </w:pPr>
          </w:p>
        </w:tc>
        <w:tc>
          <w:tcPr>
            <w:tcW w:w="500" w:type="dxa"/>
            <w:vAlign w:val="bottom"/>
            <w:shd w:val="clear" w:color="auto" w:fill="DBDBDB"/>
          </w:tcPr>
          <w:p>
            <w:pPr>
              <w:jc w:val="right"/>
              <w:ind w:right="2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206,627</w:t>
            </w:r>
          </w:p>
        </w:tc>
        <w:tc>
          <w:tcPr>
            <w:tcW w:w="0" w:type="dxa"/>
            <w:vAlign w:val="bottom"/>
          </w:tcPr>
          <w:p>
            <w:pPr>
              <w:spacing w:after="0"/>
              <w:rPr>
                <w:sz w:val="1"/>
                <w:szCs w:val="1"/>
                <w:color w:val="auto"/>
              </w:rPr>
            </w:pPr>
          </w:p>
        </w:tc>
      </w:tr>
      <w:tr>
        <w:trPr>
          <w:trHeight w:val="215"/>
        </w:trPr>
        <w:tc>
          <w:tcPr>
            <w:tcW w:w="7800" w:type="dxa"/>
            <w:vAlign w:val="bottom"/>
          </w:tcPr>
          <w:p>
            <w:pPr>
              <w:ind w:left="20"/>
              <w:spacing w:after="0"/>
              <w:rPr>
                <w:sz w:val="20"/>
                <w:szCs w:val="20"/>
                <w:color w:val="auto"/>
              </w:rPr>
            </w:pPr>
            <w:r>
              <w:rPr>
                <w:rFonts w:ascii="Arial" w:cs="Arial" w:eastAsia="Arial" w:hAnsi="Arial"/>
                <w:sz w:val="16"/>
                <w:szCs w:val="16"/>
                <w:color w:val="auto"/>
              </w:rPr>
              <w:t>Purchase of rental equipment and refurbishments</w:t>
            </w:r>
          </w:p>
        </w:tc>
        <w:tc>
          <w:tcPr>
            <w:tcW w:w="380" w:type="dxa"/>
            <w:vAlign w:val="bottom"/>
          </w:tcPr>
          <w:p>
            <w:pPr>
              <w:spacing w:after="0"/>
              <w:rPr>
                <w:sz w:val="18"/>
                <w:szCs w:val="18"/>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(101,940)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(72,552)</w:t>
            </w:r>
          </w:p>
        </w:tc>
        <w:tc>
          <w:tcPr>
            <w:tcW w:w="0" w:type="dxa"/>
            <w:vAlign w:val="bottom"/>
          </w:tcPr>
          <w:p>
            <w:pPr>
              <w:spacing w:after="0"/>
              <w:rPr>
                <w:sz w:val="1"/>
                <w:szCs w:val="1"/>
                <w:color w:val="auto"/>
              </w:rPr>
            </w:pPr>
          </w:p>
        </w:tc>
      </w:tr>
      <w:tr>
        <w:trPr>
          <w:trHeight w:val="217"/>
        </w:trPr>
        <w:tc>
          <w:tcPr>
            <w:tcW w:w="7800" w:type="dxa"/>
            <w:vAlign w:val="bottom"/>
            <w:shd w:val="clear" w:color="auto" w:fill="DBDBDB"/>
          </w:tcPr>
          <w:p>
            <w:pPr>
              <w:ind w:left="20"/>
              <w:spacing w:after="0"/>
              <w:rPr>
                <w:sz w:val="20"/>
                <w:szCs w:val="20"/>
                <w:color w:val="auto"/>
              </w:rPr>
            </w:pPr>
            <w:r>
              <w:rPr>
                <w:rFonts w:ascii="Arial" w:cs="Arial" w:eastAsia="Arial" w:hAnsi="Arial"/>
                <w:sz w:val="16"/>
                <w:szCs w:val="16"/>
                <w:color w:val="auto"/>
              </w:rPr>
              <w:t>Proceeds from sale of rental equipment</w:t>
            </w: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19,278</w:t>
            </w:r>
          </w:p>
        </w:tc>
        <w:tc>
          <w:tcPr>
            <w:tcW w:w="80" w:type="dxa"/>
            <w:vAlign w:val="bottom"/>
            <w:shd w:val="clear" w:color="auto" w:fill="DBDBDB"/>
          </w:tcPr>
          <w:p>
            <w:pPr>
              <w:spacing w:after="0"/>
              <w:rPr>
                <w:sz w:val="18"/>
                <w:szCs w:val="18"/>
                <w:color w:val="auto"/>
              </w:rPr>
            </w:pPr>
          </w:p>
        </w:tc>
        <w:tc>
          <w:tcPr>
            <w:tcW w:w="500" w:type="dxa"/>
            <w:vAlign w:val="bottom"/>
            <w:shd w:val="clear" w:color="auto" w:fill="DBDBDB"/>
          </w:tcPr>
          <w:p>
            <w:pPr>
              <w:spacing w:after="0"/>
              <w:rPr>
                <w:sz w:val="18"/>
                <w:szCs w:val="18"/>
                <w:color w:val="auto"/>
              </w:rPr>
            </w:pPr>
          </w:p>
        </w:tc>
        <w:tc>
          <w:tcPr>
            <w:tcW w:w="118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14,063</w:t>
            </w:r>
          </w:p>
        </w:tc>
        <w:tc>
          <w:tcPr>
            <w:tcW w:w="0" w:type="dxa"/>
            <w:vAlign w:val="bottom"/>
          </w:tcPr>
          <w:p>
            <w:pPr>
              <w:spacing w:after="0"/>
              <w:rPr>
                <w:sz w:val="1"/>
                <w:szCs w:val="1"/>
                <w:color w:val="auto"/>
              </w:rPr>
            </w:pPr>
          </w:p>
        </w:tc>
      </w:tr>
      <w:tr>
        <w:trPr>
          <w:trHeight w:val="215"/>
        </w:trPr>
        <w:tc>
          <w:tcPr>
            <w:tcW w:w="7800" w:type="dxa"/>
            <w:vAlign w:val="bottom"/>
          </w:tcPr>
          <w:p>
            <w:pPr>
              <w:ind w:left="20"/>
              <w:spacing w:after="0"/>
              <w:rPr>
                <w:sz w:val="20"/>
                <w:szCs w:val="20"/>
                <w:color w:val="auto"/>
              </w:rPr>
            </w:pPr>
            <w:r>
              <w:rPr>
                <w:rFonts w:ascii="Arial" w:cs="Arial" w:eastAsia="Arial" w:hAnsi="Arial"/>
                <w:sz w:val="16"/>
                <w:szCs w:val="16"/>
                <w:color w:val="auto"/>
              </w:rPr>
              <w:t>Purchase of property, plant and equipment</w:t>
            </w:r>
          </w:p>
        </w:tc>
        <w:tc>
          <w:tcPr>
            <w:tcW w:w="380" w:type="dxa"/>
            <w:vAlign w:val="bottom"/>
          </w:tcPr>
          <w:p>
            <w:pPr>
              <w:spacing w:after="0"/>
              <w:rPr>
                <w:sz w:val="18"/>
                <w:szCs w:val="18"/>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(3,629)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(4,634)</w:t>
            </w:r>
          </w:p>
        </w:tc>
        <w:tc>
          <w:tcPr>
            <w:tcW w:w="0" w:type="dxa"/>
            <w:vAlign w:val="bottom"/>
          </w:tcPr>
          <w:p>
            <w:pPr>
              <w:spacing w:after="0"/>
              <w:rPr>
                <w:sz w:val="1"/>
                <w:szCs w:val="1"/>
                <w:color w:val="auto"/>
              </w:rPr>
            </w:pPr>
          </w:p>
        </w:tc>
      </w:tr>
      <w:tr>
        <w:trPr>
          <w:trHeight w:val="217"/>
        </w:trPr>
        <w:tc>
          <w:tcPr>
            <w:tcW w:w="7800" w:type="dxa"/>
            <w:vAlign w:val="bottom"/>
            <w:shd w:val="clear" w:color="auto" w:fill="DBDBDB"/>
          </w:tcPr>
          <w:p>
            <w:pPr>
              <w:ind w:left="20"/>
              <w:spacing w:after="0"/>
              <w:rPr>
                <w:sz w:val="20"/>
                <w:szCs w:val="20"/>
                <w:color w:val="auto"/>
              </w:rPr>
            </w:pPr>
            <w:r>
              <w:rPr>
                <w:rFonts w:ascii="Arial" w:cs="Arial" w:eastAsia="Arial" w:hAnsi="Arial"/>
                <w:sz w:val="16"/>
                <w:szCs w:val="16"/>
                <w:color w:val="auto"/>
              </w:rPr>
              <w:t>Proceeds from the sale of property, plant and equipment</w:t>
            </w: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1,625</w:t>
            </w:r>
          </w:p>
        </w:tc>
        <w:tc>
          <w:tcPr>
            <w:tcW w:w="80" w:type="dxa"/>
            <w:vAlign w:val="bottom"/>
            <w:shd w:val="clear" w:color="auto" w:fill="DBDBDB"/>
          </w:tcPr>
          <w:p>
            <w:pPr>
              <w:spacing w:after="0"/>
              <w:rPr>
                <w:sz w:val="18"/>
                <w:szCs w:val="18"/>
                <w:color w:val="auto"/>
              </w:rPr>
            </w:pPr>
          </w:p>
        </w:tc>
        <w:tc>
          <w:tcPr>
            <w:tcW w:w="500" w:type="dxa"/>
            <w:vAlign w:val="bottom"/>
            <w:shd w:val="clear" w:color="auto" w:fill="DBDBDB"/>
          </w:tcPr>
          <w:p>
            <w:pPr>
              <w:spacing w:after="0"/>
              <w:rPr>
                <w:sz w:val="18"/>
                <w:szCs w:val="18"/>
                <w:color w:val="auto"/>
              </w:rPr>
            </w:pPr>
          </w:p>
        </w:tc>
        <w:tc>
          <w:tcPr>
            <w:tcW w:w="118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1,291</w:t>
            </w:r>
          </w:p>
        </w:tc>
        <w:tc>
          <w:tcPr>
            <w:tcW w:w="0" w:type="dxa"/>
            <w:vAlign w:val="bottom"/>
          </w:tcPr>
          <w:p>
            <w:pPr>
              <w:spacing w:after="0"/>
              <w:rPr>
                <w:sz w:val="1"/>
                <w:szCs w:val="1"/>
                <w:color w:val="auto"/>
              </w:rPr>
            </w:pPr>
          </w:p>
        </w:tc>
      </w:tr>
      <w:tr>
        <w:trPr>
          <w:trHeight w:val="215"/>
        </w:trPr>
        <w:tc>
          <w:tcPr>
            <w:tcW w:w="7800" w:type="dxa"/>
            <w:vAlign w:val="bottom"/>
          </w:tcPr>
          <w:p>
            <w:pPr>
              <w:ind w:left="20"/>
              <w:spacing w:after="0"/>
              <w:rPr>
                <w:sz w:val="20"/>
                <w:szCs w:val="20"/>
                <w:color w:val="auto"/>
              </w:rPr>
            </w:pPr>
            <w:r>
              <w:rPr>
                <w:rFonts w:ascii="Arial" w:cs="Arial" w:eastAsia="Arial" w:hAnsi="Arial"/>
                <w:sz w:val="16"/>
                <w:szCs w:val="16"/>
                <w:color w:val="auto"/>
              </w:rPr>
              <w:t>Cash paid to implement Network Optimization Plan</w:t>
            </w:r>
          </w:p>
        </w:tc>
        <w:tc>
          <w:tcPr>
            <w:tcW w:w="380" w:type="dxa"/>
            <w:vAlign w:val="bottom"/>
          </w:tcPr>
          <w:p>
            <w:pPr>
              <w:spacing w:after="0"/>
              <w:rPr>
                <w:sz w:val="18"/>
                <w:szCs w:val="18"/>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8,795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800" w:type="dxa"/>
            <w:vAlign w:val="bottom"/>
            <w:shd w:val="clear" w:color="auto" w:fill="DBDBDB"/>
          </w:tcPr>
          <w:p>
            <w:pPr>
              <w:ind w:left="20"/>
              <w:spacing w:after="0"/>
              <w:rPr>
                <w:sz w:val="20"/>
                <w:szCs w:val="20"/>
                <w:color w:val="auto"/>
              </w:rPr>
            </w:pPr>
            <w:r>
              <w:rPr>
                <w:rFonts w:ascii="Arial" w:cs="Arial" w:eastAsia="Arial" w:hAnsi="Arial"/>
                <w:sz w:val="16"/>
                <w:szCs w:val="16"/>
                <w:color w:val="auto"/>
              </w:rPr>
              <w:t>Proceeds from sale of rental equipment for Network Optimization Plan</w:t>
            </w: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ind w:right="99"/>
              <w:spacing w:after="0"/>
              <w:rPr>
                <w:sz w:val="20"/>
                <w:szCs w:val="20"/>
                <w:color w:val="auto"/>
              </w:rPr>
            </w:pPr>
            <w:r>
              <w:rPr>
                <w:rFonts w:ascii="Arial" w:cs="Arial" w:eastAsia="Arial" w:hAnsi="Arial"/>
                <w:sz w:val="16"/>
                <w:szCs w:val="16"/>
                <w:color w:val="auto"/>
              </w:rPr>
              <w:t>(4,467)</w:t>
            </w:r>
          </w:p>
        </w:tc>
        <w:tc>
          <w:tcPr>
            <w:tcW w:w="80" w:type="dxa"/>
            <w:vAlign w:val="bottom"/>
            <w:shd w:val="clear" w:color="auto" w:fill="DBDBDB"/>
          </w:tcPr>
          <w:p>
            <w:pPr>
              <w:spacing w:after="0"/>
              <w:rPr>
                <w:sz w:val="18"/>
                <w:szCs w:val="18"/>
                <w:color w:val="auto"/>
              </w:rPr>
            </w:pPr>
          </w:p>
        </w:tc>
        <w:tc>
          <w:tcPr>
            <w:tcW w:w="500" w:type="dxa"/>
            <w:vAlign w:val="bottom"/>
            <w:shd w:val="clear" w:color="auto" w:fill="DBDBDB"/>
          </w:tcPr>
          <w:p>
            <w:pPr>
              <w:spacing w:after="0"/>
              <w:rPr>
                <w:sz w:val="18"/>
                <w:szCs w:val="18"/>
                <w:color w:val="auto"/>
              </w:rPr>
            </w:pPr>
          </w:p>
        </w:tc>
        <w:tc>
          <w:tcPr>
            <w:tcW w:w="118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7800" w:type="dxa"/>
            <w:vAlign w:val="bottom"/>
          </w:tcPr>
          <w:p>
            <w:pPr>
              <w:ind w:left="20"/>
              <w:spacing w:after="0"/>
              <w:rPr>
                <w:sz w:val="20"/>
                <w:szCs w:val="20"/>
                <w:color w:val="auto"/>
              </w:rPr>
            </w:pPr>
            <w:r>
              <w:rPr>
                <w:rFonts w:ascii="Arial" w:cs="Arial" w:eastAsia="Arial" w:hAnsi="Arial"/>
                <w:sz w:val="16"/>
                <w:szCs w:val="16"/>
                <w:color w:val="auto"/>
              </w:rPr>
              <w:t>Cash paid to implement real estate exits prior to approval of the Network Optimization Plan</w:t>
            </w:r>
          </w:p>
        </w:tc>
        <w:tc>
          <w:tcPr>
            <w:tcW w:w="380" w:type="dxa"/>
            <w:vAlign w:val="bottom"/>
          </w:tcPr>
          <w:p>
            <w:pPr>
              <w:spacing w:after="0"/>
              <w:rPr>
                <w:sz w:val="18"/>
                <w:szCs w:val="18"/>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779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7800" w:type="dxa"/>
            <w:vAlign w:val="bottom"/>
            <w:shd w:val="clear" w:color="auto" w:fill="DBDBDB"/>
          </w:tcPr>
          <w:p>
            <w:pPr>
              <w:ind w:left="20"/>
              <w:spacing w:after="0" w:line="163" w:lineRule="exact"/>
              <w:rPr>
                <w:sz w:val="20"/>
                <w:szCs w:val="20"/>
                <w:color w:val="auto"/>
              </w:rPr>
            </w:pPr>
            <w:r>
              <w:rPr>
                <w:rFonts w:ascii="Arial" w:cs="Arial" w:eastAsia="Arial" w:hAnsi="Arial"/>
                <w:sz w:val="16"/>
                <w:szCs w:val="16"/>
                <w:color w:val="auto"/>
              </w:rPr>
              <w:t>Proceeds from sale of rental equipment for real estate exits prior to approval of the Network Optimization</w:t>
            </w:r>
          </w:p>
        </w:tc>
        <w:tc>
          <w:tcPr>
            <w:tcW w:w="380" w:type="dxa"/>
            <w:vAlign w:val="bottom"/>
            <w:shd w:val="clear" w:color="auto" w:fill="DBDBDB"/>
          </w:tcPr>
          <w:p>
            <w:pPr>
              <w:spacing w:after="0"/>
              <w:rPr>
                <w:sz w:val="14"/>
                <w:szCs w:val="14"/>
                <w:color w:val="auto"/>
              </w:rPr>
            </w:pPr>
          </w:p>
        </w:tc>
        <w:tc>
          <w:tcPr>
            <w:tcW w:w="1300" w:type="dxa"/>
            <w:vAlign w:val="bottom"/>
            <w:vMerge w:val="restart"/>
            <w:shd w:val="clear" w:color="auto" w:fill="DBDBDB"/>
          </w:tcPr>
          <w:p>
            <w:pPr>
              <w:jc w:val="right"/>
              <w:ind w:right="99"/>
              <w:spacing w:after="0"/>
              <w:rPr>
                <w:sz w:val="20"/>
                <w:szCs w:val="20"/>
                <w:color w:val="auto"/>
              </w:rPr>
            </w:pPr>
            <w:r>
              <w:rPr>
                <w:rFonts w:ascii="Arial" w:cs="Arial" w:eastAsia="Arial" w:hAnsi="Arial"/>
                <w:sz w:val="16"/>
                <w:szCs w:val="16"/>
                <w:color w:val="auto"/>
              </w:rPr>
              <w:t>(213)</w:t>
            </w:r>
          </w:p>
        </w:tc>
        <w:tc>
          <w:tcPr>
            <w:tcW w:w="80" w:type="dxa"/>
            <w:vAlign w:val="bottom"/>
            <w:shd w:val="clear" w:color="auto" w:fill="DBDBDB"/>
          </w:tcPr>
          <w:p>
            <w:pPr>
              <w:spacing w:after="0"/>
              <w:rPr>
                <w:sz w:val="14"/>
                <w:szCs w:val="14"/>
                <w:color w:val="auto"/>
              </w:rPr>
            </w:pPr>
          </w:p>
        </w:tc>
        <w:tc>
          <w:tcPr>
            <w:tcW w:w="500" w:type="dxa"/>
            <w:vAlign w:val="bottom"/>
            <w:shd w:val="clear" w:color="auto" w:fill="DBDBDB"/>
          </w:tcPr>
          <w:p>
            <w:pPr>
              <w:spacing w:after="0"/>
              <w:rPr>
                <w:sz w:val="14"/>
                <w:szCs w:val="14"/>
                <w:color w:val="auto"/>
              </w:rPr>
            </w:pPr>
          </w:p>
        </w:tc>
        <w:tc>
          <w:tcPr>
            <w:tcW w:w="1180" w:type="dxa"/>
            <w:vAlign w:val="bottom"/>
            <w:vMerge w:val="restart"/>
            <w:shd w:val="clear" w:color="auto" w:fill="DBDBDB"/>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800" w:type="dxa"/>
            <w:vAlign w:val="bottom"/>
            <w:shd w:val="clear" w:color="auto" w:fill="DBDBDB"/>
          </w:tcPr>
          <w:p>
            <w:pPr>
              <w:ind w:left="20"/>
              <w:spacing w:after="0"/>
              <w:rPr>
                <w:sz w:val="20"/>
                <w:szCs w:val="20"/>
                <w:color w:val="auto"/>
              </w:rPr>
            </w:pPr>
            <w:r>
              <w:rPr>
                <w:rFonts w:ascii="Arial" w:cs="Arial" w:eastAsia="Arial" w:hAnsi="Arial"/>
                <w:sz w:val="16"/>
                <w:szCs w:val="16"/>
                <w:color w:val="auto"/>
              </w:rPr>
              <w:t>Plan</w:t>
            </w:r>
          </w:p>
        </w:tc>
        <w:tc>
          <w:tcPr>
            <w:tcW w:w="380" w:type="dxa"/>
            <w:vAlign w:val="bottom"/>
            <w:shd w:val="clear" w:color="auto" w:fill="DBDBDB"/>
          </w:tcPr>
          <w:p>
            <w:pPr>
              <w:spacing w:after="0"/>
              <w:rPr>
                <w:sz w:val="18"/>
                <w:szCs w:val="18"/>
                <w:color w:val="auto"/>
              </w:rPr>
            </w:pPr>
          </w:p>
        </w:tc>
        <w:tc>
          <w:tcPr>
            <w:tcW w:w="1300" w:type="dxa"/>
            <w:vAlign w:val="bottom"/>
            <w:vMerge w:val="continue"/>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500" w:type="dxa"/>
            <w:vAlign w:val="bottom"/>
            <w:shd w:val="clear" w:color="auto" w:fill="DBDBDB"/>
          </w:tcPr>
          <w:p>
            <w:pPr>
              <w:spacing w:after="0"/>
              <w:rPr>
                <w:sz w:val="18"/>
                <w:szCs w:val="18"/>
                <w:color w:val="auto"/>
              </w:rPr>
            </w:pPr>
          </w:p>
        </w:tc>
        <w:tc>
          <w:tcPr>
            <w:tcW w:w="1180" w:type="dxa"/>
            <w:vAlign w:val="bottom"/>
            <w:vMerge w:val="continue"/>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0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Cash paid for executive transition costs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4,270</w:t>
            </w:r>
          </w:p>
        </w:tc>
        <w:tc>
          <w:tcPr>
            <w:tcW w:w="80" w:type="dxa"/>
            <w:vAlign w:val="bottom"/>
            <w:tcBorders>
              <w:bottom w:val="single" w:sz="8" w:color="DBDBDB"/>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780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6"/>
                <w:szCs w:val="16"/>
                <w:color w:val="auto"/>
              </w:rPr>
              <w:t>Adjusted Free Cash Flow (C)</w:t>
            </w:r>
          </w:p>
        </w:tc>
        <w:tc>
          <w:tcPr>
            <w:tcW w:w="380" w:type="dxa"/>
            <w:vAlign w:val="bottom"/>
            <w:tcBorders>
              <w:bottom w:val="single" w:sz="8" w:color="auto"/>
            </w:tcBorders>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DBDBDB"/>
          </w:tcPr>
          <w:p>
            <w:pPr>
              <w:jc w:val="right"/>
              <w:ind w:right="139"/>
              <w:spacing w:after="0"/>
              <w:rPr>
                <w:sz w:val="20"/>
                <w:szCs w:val="20"/>
                <w:color w:val="auto"/>
              </w:rPr>
            </w:pPr>
            <w:r>
              <w:rPr>
                <w:rFonts w:ascii="Arial" w:cs="Arial" w:eastAsia="Arial" w:hAnsi="Arial"/>
                <w:sz w:val="16"/>
                <w:szCs w:val="16"/>
                <w:color w:val="auto"/>
              </w:rPr>
              <w:t>115,556</w:t>
            </w:r>
          </w:p>
        </w:tc>
        <w:tc>
          <w:tcPr>
            <w:tcW w:w="80" w:type="dxa"/>
            <w:vAlign w:val="bottom"/>
            <w:tcBorders>
              <w:bottom w:val="single" w:sz="8" w:color="DBDBDB"/>
            </w:tcBorders>
            <w:shd w:val="clear" w:color="auto" w:fill="DBDBDB"/>
          </w:tcPr>
          <w:p>
            <w:pPr>
              <w:spacing w:after="0"/>
              <w:rPr>
                <w:sz w:val="20"/>
                <w:szCs w:val="20"/>
                <w:color w:val="auto"/>
              </w:rPr>
            </w:pPr>
          </w:p>
        </w:tc>
        <w:tc>
          <w:tcPr>
            <w:tcW w:w="500" w:type="dxa"/>
            <w:vAlign w:val="bottom"/>
            <w:tcBorders>
              <w:bottom w:val="single" w:sz="8" w:color="auto"/>
            </w:tcBorders>
            <w:shd w:val="clear" w:color="auto" w:fill="DBDBDB"/>
          </w:tcPr>
          <w:p>
            <w:pPr>
              <w:jc w:val="right"/>
              <w:ind w:right="2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144,795</w:t>
            </w:r>
          </w:p>
        </w:tc>
        <w:tc>
          <w:tcPr>
            <w:tcW w:w="0" w:type="dxa"/>
            <w:vAlign w:val="bottom"/>
          </w:tcPr>
          <w:p>
            <w:pPr>
              <w:spacing w:after="0"/>
              <w:rPr>
                <w:sz w:val="1"/>
                <w:szCs w:val="1"/>
                <w:color w:val="auto"/>
              </w:rPr>
            </w:pPr>
          </w:p>
        </w:tc>
      </w:tr>
      <w:tr>
        <w:trPr>
          <w:trHeight w:val="20"/>
        </w:trPr>
        <w:tc>
          <w:tcPr>
            <w:tcW w:w="780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50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Revenue (B)</w:t>
            </w: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DBDBDB"/>
          </w:tcPr>
          <w:p>
            <w:pPr>
              <w:jc w:val="right"/>
              <w:ind w:right="139"/>
              <w:spacing w:after="0"/>
              <w:rPr>
                <w:sz w:val="20"/>
                <w:szCs w:val="20"/>
                <w:color w:val="auto"/>
              </w:rPr>
            </w:pPr>
            <w:r>
              <w:rPr>
                <w:rFonts w:ascii="Arial" w:cs="Arial" w:eastAsia="Arial" w:hAnsi="Arial"/>
                <w:sz w:val="16"/>
                <w:szCs w:val="16"/>
                <w:color w:val="auto"/>
              </w:rPr>
              <w:t>548,628</w:t>
            </w:r>
          </w:p>
        </w:tc>
        <w:tc>
          <w:tcPr>
            <w:tcW w:w="80" w:type="dxa"/>
            <w:vAlign w:val="bottom"/>
            <w:shd w:val="clear" w:color="auto" w:fill="DBDBDB"/>
          </w:tcPr>
          <w:p>
            <w:pPr>
              <w:spacing w:after="0"/>
              <w:rPr>
                <w:sz w:val="18"/>
                <w:szCs w:val="18"/>
                <w:color w:val="auto"/>
              </w:rPr>
            </w:pPr>
          </w:p>
        </w:tc>
        <w:tc>
          <w:tcPr>
            <w:tcW w:w="500" w:type="dxa"/>
            <w:vAlign w:val="bottom"/>
            <w:shd w:val="clear" w:color="auto" w:fill="DBDBDB"/>
          </w:tcPr>
          <w:p>
            <w:pPr>
              <w:jc w:val="right"/>
              <w:ind w:right="2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559,551</w:t>
            </w:r>
          </w:p>
        </w:tc>
        <w:tc>
          <w:tcPr>
            <w:tcW w:w="0" w:type="dxa"/>
            <w:vAlign w:val="bottom"/>
          </w:tcPr>
          <w:p>
            <w:pPr>
              <w:spacing w:after="0"/>
              <w:rPr>
                <w:sz w:val="1"/>
                <w:szCs w:val="1"/>
                <w:color w:val="auto"/>
              </w:rPr>
            </w:pPr>
          </w:p>
        </w:tc>
      </w:tr>
      <w:tr>
        <w:trPr>
          <w:trHeight w:val="215"/>
        </w:trPr>
        <w:tc>
          <w:tcPr>
            <w:tcW w:w="780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 margin (A/B)</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34.8 %</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36.9 %</w:t>
            </w:r>
          </w:p>
        </w:tc>
        <w:tc>
          <w:tcPr>
            <w:tcW w:w="0" w:type="dxa"/>
            <w:vAlign w:val="bottom"/>
          </w:tcPr>
          <w:p>
            <w:pPr>
              <w:spacing w:after="0"/>
              <w:rPr>
                <w:sz w:val="1"/>
                <w:szCs w:val="1"/>
                <w:color w:val="auto"/>
              </w:rPr>
            </w:pPr>
          </w:p>
        </w:tc>
      </w:tr>
      <w:tr>
        <w:trPr>
          <w:trHeight w:val="217"/>
        </w:trPr>
        <w:tc>
          <w:tcPr>
            <w:tcW w:w="780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Adjusted Free Cash Flow Margin (C/B)</w:t>
            </w: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21.1 %</w:t>
            </w:r>
          </w:p>
        </w:tc>
        <w:tc>
          <w:tcPr>
            <w:tcW w:w="80" w:type="dxa"/>
            <w:vAlign w:val="bottom"/>
            <w:shd w:val="clear" w:color="auto" w:fill="DBDBDB"/>
          </w:tcPr>
          <w:p>
            <w:pPr>
              <w:spacing w:after="0"/>
              <w:rPr>
                <w:sz w:val="18"/>
                <w:szCs w:val="18"/>
                <w:color w:val="auto"/>
              </w:rPr>
            </w:pPr>
          </w:p>
        </w:tc>
        <w:tc>
          <w:tcPr>
            <w:tcW w:w="50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25.9 %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1D2758"/>
        </w:rPr>
        <w:t>Net CAPEX</w:t>
      </w:r>
    </w:p>
    <w:p>
      <w:pPr>
        <w:spacing w:after="0" w:line="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We define Net CAPEX as purchases of rental equipment and refurbishments and purchases of property, plant and equipment, less proceeds from the sale of rental equipment (excluding proceeds from the implementation of the Network Optimization Plan and real estate exits prior to the approval of the Network Optimization Plan) and proceeds from the sale of property, plant and equipment, which are all included in cash flows from investing activities. Management believes that the presentation of Net CAPEX provides useful information regarding the net capital invested in our rental fleet and property, plant and equipment each year to assist in analyzing the performance of our business. The following table provides reconciliations of Net CAPEX:</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shd w:val="clear" w:color="auto" w:fill="1D2758"/>
          </w:tcPr>
          <w:p>
            <w:pPr>
              <w:spacing w:after="0"/>
              <w:rPr>
                <w:sz w:val="16"/>
                <w:szCs w:val="16"/>
                <w:color w:val="auto"/>
              </w:rPr>
            </w:pPr>
          </w:p>
        </w:tc>
        <w:tc>
          <w:tcPr>
            <w:tcW w:w="340" w:type="dxa"/>
            <w:vAlign w:val="bottom"/>
            <w:shd w:val="clear" w:color="auto" w:fill="1D2758"/>
          </w:tcPr>
          <w:p>
            <w:pPr>
              <w:spacing w:after="0"/>
              <w:rPr>
                <w:sz w:val="16"/>
                <w:szCs w:val="16"/>
                <w:color w:val="auto"/>
              </w:rPr>
            </w:pPr>
          </w:p>
        </w:tc>
        <w:tc>
          <w:tcPr>
            <w:tcW w:w="2880" w:type="dxa"/>
            <w:vAlign w:val="bottom"/>
            <w:gridSpan w:val="4"/>
            <w:shd w:val="clear" w:color="auto" w:fill="1D2758"/>
          </w:tcPr>
          <w:p>
            <w:pPr>
              <w:jc w:val="right"/>
              <w:ind w:right="739"/>
              <w:spacing w:after="0"/>
              <w:rPr>
                <w:sz w:val="20"/>
                <w:szCs w:val="20"/>
                <w:color w:val="auto"/>
              </w:rPr>
            </w:pPr>
            <w:r>
              <w:rPr>
                <w:rFonts w:ascii="Arial" w:cs="Arial" w:eastAsia="Arial" w:hAnsi="Arial"/>
                <w:sz w:val="16"/>
                <w:szCs w:val="16"/>
                <w:b w:val="1"/>
                <w:bCs w:val="1"/>
                <w:color w:val="FFFFFF"/>
              </w:rPr>
              <w:t>Three Months Ended</w:t>
            </w:r>
          </w:p>
        </w:tc>
        <w:tc>
          <w:tcPr>
            <w:tcW w:w="0" w:type="dxa"/>
            <w:vAlign w:val="bottom"/>
          </w:tcPr>
          <w:p>
            <w:pPr>
              <w:spacing w:after="0"/>
              <w:rPr>
                <w:sz w:val="1"/>
                <w:szCs w:val="1"/>
                <w:color w:val="auto"/>
              </w:rPr>
            </w:pPr>
          </w:p>
        </w:tc>
      </w:tr>
      <w:tr>
        <w:trPr>
          <w:trHeight w:val="216"/>
        </w:trPr>
        <w:tc>
          <w:tcPr>
            <w:tcW w:w="8020" w:type="dxa"/>
            <w:vAlign w:val="bottom"/>
            <w:shd w:val="clear" w:color="auto" w:fill="1D2758"/>
          </w:tcPr>
          <w:p>
            <w:pPr>
              <w:spacing w:after="0"/>
              <w:rPr>
                <w:sz w:val="18"/>
                <w:szCs w:val="18"/>
                <w:color w:val="auto"/>
              </w:rPr>
            </w:pPr>
          </w:p>
        </w:tc>
        <w:tc>
          <w:tcPr>
            <w:tcW w:w="340" w:type="dxa"/>
            <w:vAlign w:val="bottom"/>
            <w:shd w:val="clear" w:color="auto" w:fill="1D2758"/>
          </w:tcPr>
          <w:p>
            <w:pPr>
              <w:spacing w:after="0"/>
              <w:rPr>
                <w:sz w:val="18"/>
                <w:szCs w:val="18"/>
                <w:color w:val="auto"/>
              </w:rPr>
            </w:pPr>
          </w:p>
        </w:tc>
        <w:tc>
          <w:tcPr>
            <w:tcW w:w="1780" w:type="dxa"/>
            <w:vAlign w:val="bottom"/>
            <w:gridSpan w:val="3"/>
            <w:shd w:val="clear" w:color="auto" w:fill="1D2758"/>
          </w:tcPr>
          <w:p>
            <w:pPr>
              <w:jc w:val="right"/>
              <w:ind w:right="59"/>
              <w:spacing w:after="0"/>
              <w:rPr>
                <w:sz w:val="20"/>
                <w:szCs w:val="20"/>
                <w:color w:val="auto"/>
              </w:rPr>
            </w:pPr>
            <w:r>
              <w:rPr>
                <w:rFonts w:ascii="Arial" w:cs="Arial" w:eastAsia="Arial" w:hAnsi="Arial"/>
                <w:sz w:val="16"/>
                <w:szCs w:val="16"/>
                <w:b w:val="1"/>
                <w:bCs w:val="1"/>
                <w:color w:val="FFFFFF"/>
              </w:rPr>
              <w:t>March 31,</w:t>
            </w:r>
          </w:p>
        </w:tc>
        <w:tc>
          <w:tcPr>
            <w:tcW w:w="1100" w:type="dxa"/>
            <w:vAlign w:val="bottom"/>
            <w:shd w:val="clear" w:color="auto" w:fill="1D275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40" w:type="dxa"/>
            <w:vAlign w:val="bottom"/>
            <w:shd w:val="clear" w:color="auto" w:fill="1D2758"/>
          </w:tcPr>
          <w:p>
            <w:pPr>
              <w:spacing w:after="0"/>
              <w:rPr>
                <w:sz w:val="18"/>
                <w:szCs w:val="18"/>
                <w:color w:val="auto"/>
              </w:rPr>
            </w:pPr>
          </w:p>
        </w:tc>
        <w:tc>
          <w:tcPr>
            <w:tcW w:w="1220" w:type="dxa"/>
            <w:vAlign w:val="bottom"/>
            <w:shd w:val="clear" w:color="auto" w:fill="1D2758"/>
          </w:tcPr>
          <w:p>
            <w:pPr>
              <w:jc w:val="right"/>
              <w:ind w:right="519"/>
              <w:spacing w:after="0"/>
              <w:rPr>
                <w:sz w:val="20"/>
                <w:szCs w:val="20"/>
                <w:color w:val="auto"/>
              </w:rPr>
            </w:pPr>
            <w:r>
              <w:rPr>
                <w:rFonts w:ascii="Arial" w:cs="Arial" w:eastAsia="Arial" w:hAnsi="Arial"/>
                <w:sz w:val="16"/>
                <w:szCs w:val="16"/>
                <w:b w:val="1"/>
                <w:bCs w:val="1"/>
                <w:color w:val="FFFFFF"/>
              </w:rPr>
              <w:t>2026</w:t>
            </w:r>
          </w:p>
        </w:tc>
        <w:tc>
          <w:tcPr>
            <w:tcW w:w="100" w:type="dxa"/>
            <w:vAlign w:val="bottom"/>
            <w:shd w:val="clear" w:color="auto" w:fill="1D2758"/>
          </w:tcPr>
          <w:p>
            <w:pPr>
              <w:spacing w:after="0"/>
              <w:rPr>
                <w:sz w:val="18"/>
                <w:szCs w:val="18"/>
                <w:color w:val="auto"/>
              </w:rPr>
            </w:pPr>
          </w:p>
        </w:tc>
        <w:tc>
          <w:tcPr>
            <w:tcW w:w="460" w:type="dxa"/>
            <w:vAlign w:val="bottom"/>
            <w:shd w:val="clear" w:color="auto" w:fill="1D2758"/>
          </w:tcPr>
          <w:p>
            <w:pPr>
              <w:spacing w:after="0"/>
              <w:rPr>
                <w:sz w:val="18"/>
                <w:szCs w:val="18"/>
                <w:color w:val="auto"/>
              </w:rPr>
            </w:pPr>
          </w:p>
        </w:tc>
        <w:tc>
          <w:tcPr>
            <w:tcW w:w="1100" w:type="dxa"/>
            <w:vAlign w:val="bottom"/>
            <w:shd w:val="clear" w:color="auto" w:fill="1D2758"/>
          </w:tcPr>
          <w:p>
            <w:pPr>
              <w:jc w:val="right"/>
              <w:ind w:right="519"/>
              <w:spacing w:after="0"/>
              <w:rPr>
                <w:sz w:val="20"/>
                <w:szCs w:val="20"/>
                <w:color w:val="auto"/>
              </w:rPr>
            </w:pPr>
            <w:r>
              <w:rPr>
                <w:rFonts w:ascii="Arial" w:cs="Arial" w:eastAsia="Arial" w:hAnsi="Arial"/>
                <w:sz w:val="16"/>
                <w:szCs w:val="16"/>
                <w:b w:val="1"/>
                <w:bCs w:val="1"/>
                <w:color w:val="FFFFFF"/>
              </w:rPr>
              <w:t>2025</w:t>
            </w:r>
          </w:p>
        </w:tc>
        <w:tc>
          <w:tcPr>
            <w:tcW w:w="0" w:type="dxa"/>
            <w:vAlign w:val="bottom"/>
          </w:tcPr>
          <w:p>
            <w:pPr>
              <w:spacing w:after="0"/>
              <w:rPr>
                <w:sz w:val="1"/>
                <w:szCs w:val="1"/>
                <w:color w:val="auto"/>
              </w:rPr>
            </w:pPr>
          </w:p>
        </w:tc>
      </w:tr>
      <w:tr>
        <w:trPr>
          <w:trHeight w:val="216"/>
        </w:trPr>
        <w:tc>
          <w:tcPr>
            <w:tcW w:w="8020" w:type="dxa"/>
            <w:vAlign w:val="bottom"/>
            <w:shd w:val="clear" w:color="auto" w:fill="DBDBDB"/>
          </w:tcPr>
          <w:p>
            <w:pPr>
              <w:ind w:left="20"/>
              <w:spacing w:after="0"/>
              <w:rPr>
                <w:sz w:val="20"/>
                <w:szCs w:val="20"/>
                <w:color w:val="auto"/>
              </w:rPr>
            </w:pPr>
            <w:r>
              <w:rPr>
                <w:rFonts w:ascii="Arial" w:cs="Arial" w:eastAsia="Arial" w:hAnsi="Arial"/>
                <w:sz w:val="16"/>
                <w:szCs w:val="16"/>
                <w:color w:val="auto"/>
              </w:rPr>
              <w:t>Purchases of rental equipment and refurbishments</w:t>
            </w:r>
          </w:p>
        </w:tc>
        <w:tc>
          <w:tcPr>
            <w:tcW w:w="340" w:type="dxa"/>
            <w:vAlign w:val="bottom"/>
            <w:shd w:val="clear" w:color="auto" w:fill="DBDBDB"/>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(101,940)</w:t>
            </w: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jc w:val="right"/>
              <w:ind w:right="2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(72,552)</w:t>
            </w:r>
          </w:p>
        </w:tc>
        <w:tc>
          <w:tcPr>
            <w:tcW w:w="0" w:type="dxa"/>
            <w:vAlign w:val="bottom"/>
          </w:tcPr>
          <w:p>
            <w:pPr>
              <w:spacing w:after="0"/>
              <w:rPr>
                <w:sz w:val="1"/>
                <w:szCs w:val="1"/>
                <w:color w:val="auto"/>
              </w:rPr>
            </w:pPr>
          </w:p>
        </w:tc>
      </w:tr>
      <w:tr>
        <w:trPr>
          <w:trHeight w:val="215"/>
        </w:trPr>
        <w:tc>
          <w:tcPr>
            <w:tcW w:w="8020" w:type="dxa"/>
            <w:vAlign w:val="bottom"/>
          </w:tcPr>
          <w:p>
            <w:pPr>
              <w:ind w:left="20"/>
              <w:spacing w:after="0"/>
              <w:rPr>
                <w:sz w:val="20"/>
                <w:szCs w:val="20"/>
                <w:color w:val="auto"/>
              </w:rPr>
            </w:pPr>
            <w:r>
              <w:rPr>
                <w:rFonts w:ascii="Arial" w:cs="Arial" w:eastAsia="Arial" w:hAnsi="Arial"/>
                <w:sz w:val="16"/>
                <w:szCs w:val="16"/>
                <w:color w:val="auto"/>
              </w:rPr>
              <w:t>Proceeds from sale of rental equipment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19,278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14,063</w:t>
            </w:r>
          </w:p>
        </w:tc>
        <w:tc>
          <w:tcPr>
            <w:tcW w:w="0" w:type="dxa"/>
            <w:vAlign w:val="bottom"/>
          </w:tcPr>
          <w:p>
            <w:pPr>
              <w:spacing w:after="0"/>
              <w:rPr>
                <w:sz w:val="1"/>
                <w:szCs w:val="1"/>
                <w:color w:val="auto"/>
              </w:rPr>
            </w:pPr>
          </w:p>
        </w:tc>
      </w:tr>
      <w:tr>
        <w:trPr>
          <w:trHeight w:val="217"/>
        </w:trPr>
        <w:tc>
          <w:tcPr>
            <w:tcW w:w="8020" w:type="dxa"/>
            <w:vAlign w:val="bottom"/>
            <w:shd w:val="clear" w:color="auto" w:fill="DBDBDB"/>
          </w:tcPr>
          <w:p>
            <w:pPr>
              <w:ind w:left="20"/>
              <w:spacing w:after="0"/>
              <w:rPr>
                <w:sz w:val="20"/>
                <w:szCs w:val="20"/>
                <w:color w:val="auto"/>
              </w:rPr>
            </w:pPr>
            <w:r>
              <w:rPr>
                <w:rFonts w:ascii="Arial" w:cs="Arial" w:eastAsia="Arial" w:hAnsi="Arial"/>
                <w:sz w:val="16"/>
                <w:szCs w:val="16"/>
                <w:color w:val="auto"/>
              </w:rPr>
              <w:t>Less: Proceeds from sale of rental equipment for Network Optimization Plan</w:t>
            </w:r>
          </w:p>
        </w:tc>
        <w:tc>
          <w:tcPr>
            <w:tcW w:w="34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(4,467)</w:t>
            </w: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8020" w:type="dxa"/>
            <w:vAlign w:val="bottom"/>
          </w:tcPr>
          <w:p>
            <w:pPr>
              <w:ind w:left="20"/>
              <w:spacing w:after="0" w:line="162" w:lineRule="exact"/>
              <w:rPr>
                <w:sz w:val="20"/>
                <w:szCs w:val="20"/>
                <w:color w:val="auto"/>
              </w:rPr>
            </w:pPr>
            <w:r>
              <w:rPr>
                <w:rFonts w:ascii="Arial" w:cs="Arial" w:eastAsia="Arial" w:hAnsi="Arial"/>
                <w:sz w:val="16"/>
                <w:szCs w:val="16"/>
                <w:color w:val="auto"/>
              </w:rPr>
              <w:t>Less: Proceeds from sale of rental equipment for real estate exits prior to approval of Network Optimization</w:t>
            </w:r>
          </w:p>
        </w:tc>
        <w:tc>
          <w:tcPr>
            <w:tcW w:w="34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802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Plan</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DBDBDB"/>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20" w:type="dxa"/>
            <w:vAlign w:val="bottom"/>
            <w:shd w:val="clear" w:color="auto" w:fill="DBDBDB"/>
          </w:tcPr>
          <w:p>
            <w:pPr>
              <w:ind w:left="240"/>
              <w:spacing w:after="0"/>
              <w:rPr>
                <w:sz w:val="20"/>
                <w:szCs w:val="20"/>
                <w:color w:val="auto"/>
              </w:rPr>
            </w:pPr>
            <w:r>
              <w:rPr>
                <w:rFonts w:ascii="Arial" w:cs="Arial" w:eastAsia="Arial" w:hAnsi="Arial"/>
                <w:sz w:val="16"/>
                <w:szCs w:val="16"/>
                <w:color w:val="auto"/>
              </w:rPr>
              <w:t>Net CAPEX for Rental Equipment</w:t>
            </w:r>
          </w:p>
        </w:tc>
        <w:tc>
          <w:tcPr>
            <w:tcW w:w="340" w:type="dxa"/>
            <w:vAlign w:val="bottom"/>
            <w:shd w:val="clear" w:color="auto" w:fill="DBDBDB"/>
          </w:tcPr>
          <w:p>
            <w:pPr>
              <w:spacing w:after="0"/>
              <w:rPr>
                <w:sz w:val="18"/>
                <w:szCs w:val="18"/>
                <w:color w:val="auto"/>
              </w:rPr>
            </w:pPr>
          </w:p>
        </w:tc>
        <w:tc>
          <w:tcPr>
            <w:tcW w:w="12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(87,342)</w:t>
            </w:r>
          </w:p>
        </w:tc>
        <w:tc>
          <w:tcPr>
            <w:tcW w:w="10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(58,489)</w:t>
            </w:r>
          </w:p>
        </w:tc>
        <w:tc>
          <w:tcPr>
            <w:tcW w:w="0" w:type="dxa"/>
            <w:vAlign w:val="bottom"/>
          </w:tcPr>
          <w:p>
            <w:pPr>
              <w:spacing w:after="0"/>
              <w:rPr>
                <w:sz w:val="1"/>
                <w:szCs w:val="1"/>
                <w:color w:val="auto"/>
              </w:rPr>
            </w:pPr>
          </w:p>
        </w:tc>
      </w:tr>
      <w:tr>
        <w:trPr>
          <w:trHeight w:val="215"/>
        </w:trPr>
        <w:tc>
          <w:tcPr>
            <w:tcW w:w="8020" w:type="dxa"/>
            <w:vAlign w:val="bottom"/>
          </w:tcPr>
          <w:p>
            <w:pPr>
              <w:ind w:left="20"/>
              <w:spacing w:after="0"/>
              <w:rPr>
                <w:sz w:val="20"/>
                <w:szCs w:val="20"/>
                <w:color w:val="auto"/>
              </w:rPr>
            </w:pPr>
            <w:r>
              <w:rPr>
                <w:rFonts w:ascii="Arial" w:cs="Arial" w:eastAsia="Arial" w:hAnsi="Arial"/>
                <w:sz w:val="16"/>
                <w:szCs w:val="16"/>
                <w:color w:val="auto"/>
              </w:rPr>
              <w:t>Purchases of property, plant and equipment</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(3,629)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(4,634)</w:t>
            </w:r>
          </w:p>
        </w:tc>
        <w:tc>
          <w:tcPr>
            <w:tcW w:w="0" w:type="dxa"/>
            <w:vAlign w:val="bottom"/>
          </w:tcPr>
          <w:p>
            <w:pPr>
              <w:spacing w:after="0"/>
              <w:rPr>
                <w:sz w:val="1"/>
                <w:szCs w:val="1"/>
                <w:color w:val="auto"/>
              </w:rPr>
            </w:pPr>
          </w:p>
        </w:tc>
      </w:tr>
      <w:tr>
        <w:trPr>
          <w:trHeight w:val="217"/>
        </w:trPr>
        <w:tc>
          <w:tcPr>
            <w:tcW w:w="8020" w:type="dxa"/>
            <w:vAlign w:val="bottom"/>
            <w:shd w:val="clear" w:color="auto" w:fill="DBDBDB"/>
          </w:tcPr>
          <w:p>
            <w:pPr>
              <w:ind w:left="20"/>
              <w:spacing w:after="0"/>
              <w:rPr>
                <w:sz w:val="20"/>
                <w:szCs w:val="20"/>
                <w:color w:val="auto"/>
              </w:rPr>
            </w:pPr>
            <w:r>
              <w:rPr>
                <w:rFonts w:ascii="Arial" w:cs="Arial" w:eastAsia="Arial" w:hAnsi="Arial"/>
                <w:sz w:val="16"/>
                <w:szCs w:val="16"/>
                <w:color w:val="auto"/>
              </w:rPr>
              <w:t>Proceeds from sale of property, plant and equipment</w:t>
            </w:r>
          </w:p>
        </w:tc>
        <w:tc>
          <w:tcPr>
            <w:tcW w:w="340" w:type="dxa"/>
            <w:vAlign w:val="bottom"/>
            <w:tcBorders>
              <w:bottom w:val="single" w:sz="8" w:color="auto"/>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1,625</w:t>
            </w:r>
          </w:p>
        </w:tc>
        <w:tc>
          <w:tcPr>
            <w:tcW w:w="100" w:type="dxa"/>
            <w:vAlign w:val="bottom"/>
            <w:shd w:val="clear" w:color="auto" w:fill="DBDBDB"/>
          </w:tcPr>
          <w:p>
            <w:pPr>
              <w:spacing w:after="0"/>
              <w:rPr>
                <w:sz w:val="18"/>
                <w:szCs w:val="18"/>
                <w:color w:val="auto"/>
              </w:rPr>
            </w:pPr>
          </w:p>
        </w:tc>
        <w:tc>
          <w:tcPr>
            <w:tcW w:w="460" w:type="dxa"/>
            <w:vAlign w:val="bottom"/>
            <w:tcBorders>
              <w:bottom w:val="single" w:sz="8" w:color="auto"/>
            </w:tcBorders>
            <w:shd w:val="clear" w:color="auto" w:fill="DBDBDB"/>
          </w:tcPr>
          <w:p>
            <w:pPr>
              <w:spacing w:after="0"/>
              <w:rPr>
                <w:sz w:val="18"/>
                <w:szCs w:val="18"/>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6"/>
                <w:szCs w:val="16"/>
                <w:color w:val="auto"/>
              </w:rPr>
              <w:t>1,291</w:t>
            </w:r>
          </w:p>
        </w:tc>
        <w:tc>
          <w:tcPr>
            <w:tcW w:w="0" w:type="dxa"/>
            <w:vAlign w:val="bottom"/>
          </w:tcPr>
          <w:p>
            <w:pPr>
              <w:spacing w:after="0"/>
              <w:rPr>
                <w:sz w:val="1"/>
                <w:szCs w:val="1"/>
                <w:color w:val="auto"/>
              </w:rPr>
            </w:pPr>
          </w:p>
        </w:tc>
      </w:tr>
      <w:tr>
        <w:trPr>
          <w:trHeight w:val="209"/>
        </w:trPr>
        <w:tc>
          <w:tcPr>
            <w:tcW w:w="8020" w:type="dxa"/>
            <w:vAlign w:val="bottom"/>
          </w:tcPr>
          <w:p>
            <w:pPr>
              <w:ind w:left="240"/>
              <w:spacing w:after="0"/>
              <w:rPr>
                <w:sz w:val="20"/>
                <w:szCs w:val="20"/>
                <w:color w:val="auto"/>
              </w:rPr>
            </w:pPr>
            <w:r>
              <w:rPr>
                <w:rFonts w:ascii="Arial" w:cs="Arial" w:eastAsia="Arial" w:hAnsi="Arial"/>
                <w:sz w:val="16"/>
                <w:szCs w:val="16"/>
                <w:color w:val="auto"/>
              </w:rPr>
              <w:t>Net CAPEX</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(89,346)</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(61,832)</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09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1D2758"/>
        </w:rPr>
        <w:t>Return on Invested Capital</w:t>
      </w:r>
    </w:p>
    <w:p>
      <w:pPr>
        <w:spacing w:after="0" w:line="6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Return on Invested Capital is defined as Adjusted earnings before interest and amortization divided by Average Invested Capital. Management believes that the presentation of Return on Invested Capital provides useful information regarding the long-term health and profitability of the business relative to the Company's cost of capital. We define Adjusted earnings before interest and amortization as Adjusted EBITDA (see reconciliation above) reduced by depreciation and estimated taxes. We include estimated taxes at our current statutory tax rate.</w:t>
      </w:r>
    </w:p>
    <w:p>
      <w:pPr>
        <w:spacing w:after="0" w:line="24"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color w:val="auto"/>
        </w:rPr>
        <w:t>Average Invested Capital is calculated as an average of Net Assets, a four quarter average for annual metrics and two quarter average for quarterly metrics. Net assets is defined for purposes of the calculation below as total assets less goodwill, intangible assets, net, and all non-interest bearing liabilities.</w:t>
      </w:r>
    </w:p>
    <w:p>
      <w:pPr>
        <w:spacing w:after="0" w:line="1"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The following table provides reconciliations of Return on Invested Capital, which has been adjusted to reflect depreciation related to real estate exits prior to initiating our Network Optimization Plan.</w:t>
      </w:r>
    </w:p>
    <w:tbl>
      <w:tblPr>
        <w:tblLayout w:type="fixed"/>
        <w:tblInd w:w="0" w:type="dxa"/>
        <w:tblCellMar>
          <w:top w:w="0" w:type="dxa"/>
          <w:left w:w="0" w:type="dxa"/>
          <w:bottom w:w="0" w:type="dxa"/>
          <w:right w:w="0" w:type="dxa"/>
        </w:tblCellMar>
      </w:tblPr>
      <w:tr>
        <w:trPr>
          <w:trHeight w:val="183"/>
        </w:trPr>
        <w:tc>
          <w:tcPr>
            <w:tcW w:w="7780" w:type="dxa"/>
            <w:vAlign w:val="bottom"/>
            <w:shd w:val="clear" w:color="auto" w:fill="1D2758"/>
          </w:tcPr>
          <w:p>
            <w:pPr>
              <w:spacing w:after="0"/>
              <w:rPr>
                <w:sz w:val="15"/>
                <w:szCs w:val="15"/>
                <w:color w:val="auto"/>
              </w:rPr>
            </w:pPr>
          </w:p>
        </w:tc>
        <w:tc>
          <w:tcPr>
            <w:tcW w:w="380" w:type="dxa"/>
            <w:vAlign w:val="bottom"/>
            <w:shd w:val="clear" w:color="auto" w:fill="1D2758"/>
          </w:tcPr>
          <w:p>
            <w:pPr>
              <w:spacing w:after="0"/>
              <w:rPr>
                <w:sz w:val="15"/>
                <w:szCs w:val="15"/>
                <w:color w:val="auto"/>
              </w:rPr>
            </w:pPr>
          </w:p>
        </w:tc>
        <w:tc>
          <w:tcPr>
            <w:tcW w:w="3080" w:type="dxa"/>
            <w:vAlign w:val="bottom"/>
            <w:gridSpan w:val="4"/>
            <w:shd w:val="clear" w:color="auto" w:fill="1D2758"/>
          </w:tcPr>
          <w:p>
            <w:pPr>
              <w:jc w:val="right"/>
              <w:ind w:right="859"/>
              <w:spacing w:after="0" w:line="183" w:lineRule="exact"/>
              <w:rPr>
                <w:sz w:val="20"/>
                <w:szCs w:val="20"/>
                <w:color w:val="auto"/>
              </w:rPr>
            </w:pPr>
            <w:r>
              <w:rPr>
                <w:rFonts w:ascii="Arial" w:cs="Arial" w:eastAsia="Arial" w:hAnsi="Arial"/>
                <w:sz w:val="16"/>
                <w:szCs w:val="16"/>
                <w:b w:val="1"/>
                <w:bCs w:val="1"/>
                <w:color w:val="FFFFFF"/>
              </w:rPr>
              <w:t>Three Months Ended</w:t>
            </w:r>
          </w:p>
        </w:tc>
      </w:tr>
      <w:tr>
        <w:trPr>
          <w:trHeight w:val="216"/>
        </w:trPr>
        <w:tc>
          <w:tcPr>
            <w:tcW w:w="7780" w:type="dxa"/>
            <w:vAlign w:val="bottom"/>
            <w:shd w:val="clear" w:color="auto" w:fill="1D2758"/>
          </w:tcPr>
          <w:p>
            <w:pPr>
              <w:spacing w:after="0"/>
              <w:rPr>
                <w:sz w:val="18"/>
                <w:szCs w:val="18"/>
                <w:color w:val="auto"/>
              </w:rPr>
            </w:pPr>
          </w:p>
        </w:tc>
        <w:tc>
          <w:tcPr>
            <w:tcW w:w="380" w:type="dxa"/>
            <w:vAlign w:val="bottom"/>
            <w:shd w:val="clear" w:color="auto" w:fill="1D2758"/>
          </w:tcPr>
          <w:p>
            <w:pPr>
              <w:spacing w:after="0"/>
              <w:rPr>
                <w:sz w:val="18"/>
                <w:szCs w:val="18"/>
                <w:color w:val="auto"/>
              </w:rPr>
            </w:pPr>
          </w:p>
        </w:tc>
        <w:tc>
          <w:tcPr>
            <w:tcW w:w="1880" w:type="dxa"/>
            <w:vAlign w:val="bottom"/>
            <w:gridSpan w:val="3"/>
            <w:shd w:val="clear" w:color="auto" w:fill="1D2758"/>
          </w:tcPr>
          <w:p>
            <w:pPr>
              <w:jc w:val="right"/>
              <w:ind w:right="79"/>
              <w:spacing w:after="0"/>
              <w:rPr>
                <w:sz w:val="20"/>
                <w:szCs w:val="20"/>
                <w:color w:val="auto"/>
              </w:rPr>
            </w:pPr>
            <w:r>
              <w:rPr>
                <w:rFonts w:ascii="Arial" w:cs="Arial" w:eastAsia="Arial" w:hAnsi="Arial"/>
                <w:sz w:val="16"/>
                <w:szCs w:val="16"/>
                <w:b w:val="1"/>
                <w:bCs w:val="1"/>
                <w:color w:val="FFFFFF"/>
              </w:rPr>
              <w:t>March 31,</w:t>
            </w:r>
          </w:p>
        </w:tc>
        <w:tc>
          <w:tcPr>
            <w:tcW w:w="1200" w:type="dxa"/>
            <w:vAlign w:val="bottom"/>
            <w:shd w:val="clear" w:color="auto" w:fill="1D2758"/>
          </w:tcPr>
          <w:p>
            <w:pPr>
              <w:spacing w:after="0"/>
              <w:rPr>
                <w:sz w:val="18"/>
                <w:szCs w:val="18"/>
                <w:color w:val="auto"/>
              </w:rPr>
            </w:pPr>
          </w:p>
        </w:tc>
      </w:tr>
      <w:tr>
        <w:trPr>
          <w:trHeight w:val="216"/>
        </w:trPr>
        <w:tc>
          <w:tcPr>
            <w:tcW w:w="7780" w:type="dxa"/>
            <w:vAlign w:val="bottom"/>
            <w:shd w:val="clear" w:color="auto" w:fill="1D2758"/>
          </w:tcPr>
          <w:p>
            <w:pPr>
              <w:ind w:left="20"/>
              <w:spacing w:after="0"/>
              <w:rPr>
                <w:sz w:val="20"/>
                <w:szCs w:val="20"/>
                <w:color w:val="auto"/>
              </w:rPr>
            </w:pPr>
            <w:r>
              <w:rPr>
                <w:rFonts w:ascii="Arial" w:cs="Arial" w:eastAsia="Arial" w:hAnsi="Arial"/>
                <w:sz w:val="16"/>
                <w:szCs w:val="16"/>
                <w:b w:val="1"/>
                <w:bCs w:val="1"/>
                <w:i w:val="1"/>
                <w:iCs w:val="1"/>
                <w:color w:val="FFFFFF"/>
              </w:rPr>
              <w:t>(in thousands)</w:t>
            </w:r>
          </w:p>
        </w:tc>
        <w:tc>
          <w:tcPr>
            <w:tcW w:w="380" w:type="dxa"/>
            <w:vAlign w:val="bottom"/>
            <w:shd w:val="clear" w:color="auto" w:fill="1D2758"/>
          </w:tcPr>
          <w:p>
            <w:pPr>
              <w:spacing w:after="0"/>
              <w:rPr>
                <w:sz w:val="18"/>
                <w:szCs w:val="18"/>
                <w:color w:val="auto"/>
              </w:rPr>
            </w:pPr>
          </w:p>
        </w:tc>
        <w:tc>
          <w:tcPr>
            <w:tcW w:w="1300" w:type="dxa"/>
            <w:vAlign w:val="bottom"/>
            <w:shd w:val="clear" w:color="auto" w:fill="1D2758"/>
          </w:tcPr>
          <w:p>
            <w:pPr>
              <w:jc w:val="right"/>
              <w:ind w:right="579"/>
              <w:spacing w:after="0"/>
              <w:rPr>
                <w:sz w:val="20"/>
                <w:szCs w:val="20"/>
                <w:color w:val="auto"/>
              </w:rPr>
            </w:pPr>
            <w:r>
              <w:rPr>
                <w:rFonts w:ascii="Arial" w:cs="Arial" w:eastAsia="Arial" w:hAnsi="Arial"/>
                <w:sz w:val="16"/>
                <w:szCs w:val="16"/>
                <w:b w:val="1"/>
                <w:bCs w:val="1"/>
                <w:color w:val="FFFFFF"/>
              </w:rPr>
              <w:t>2026</w:t>
            </w:r>
          </w:p>
        </w:tc>
        <w:tc>
          <w:tcPr>
            <w:tcW w:w="100" w:type="dxa"/>
            <w:vAlign w:val="bottom"/>
            <w:shd w:val="clear" w:color="auto" w:fill="1D2758"/>
          </w:tcPr>
          <w:p>
            <w:pPr>
              <w:spacing w:after="0"/>
              <w:rPr>
                <w:sz w:val="18"/>
                <w:szCs w:val="18"/>
                <w:color w:val="auto"/>
              </w:rPr>
            </w:pPr>
          </w:p>
        </w:tc>
        <w:tc>
          <w:tcPr>
            <w:tcW w:w="480" w:type="dxa"/>
            <w:vAlign w:val="bottom"/>
            <w:shd w:val="clear" w:color="auto" w:fill="1D2758"/>
          </w:tcPr>
          <w:p>
            <w:pPr>
              <w:spacing w:after="0"/>
              <w:rPr>
                <w:sz w:val="18"/>
                <w:szCs w:val="18"/>
                <w:color w:val="auto"/>
              </w:rPr>
            </w:pPr>
          </w:p>
        </w:tc>
        <w:tc>
          <w:tcPr>
            <w:tcW w:w="1200" w:type="dxa"/>
            <w:vAlign w:val="bottom"/>
            <w:shd w:val="clear" w:color="auto" w:fill="1D2758"/>
          </w:tcPr>
          <w:p>
            <w:pPr>
              <w:jc w:val="right"/>
              <w:ind w:right="579"/>
              <w:spacing w:after="0"/>
              <w:rPr>
                <w:sz w:val="20"/>
                <w:szCs w:val="20"/>
                <w:color w:val="auto"/>
              </w:rPr>
            </w:pPr>
            <w:r>
              <w:rPr>
                <w:rFonts w:ascii="Arial" w:cs="Arial" w:eastAsia="Arial" w:hAnsi="Arial"/>
                <w:sz w:val="16"/>
                <w:szCs w:val="16"/>
                <w:b w:val="1"/>
                <w:bCs w:val="1"/>
                <w:color w:val="FFFFFF"/>
              </w:rPr>
              <w:t>2025</w:t>
            </w:r>
          </w:p>
        </w:tc>
      </w:tr>
      <w:tr>
        <w:trPr>
          <w:trHeight w:val="216"/>
        </w:trPr>
        <w:tc>
          <w:tcPr>
            <w:tcW w:w="7780" w:type="dxa"/>
            <w:vAlign w:val="bottom"/>
            <w:shd w:val="clear" w:color="auto" w:fill="DBDBDB"/>
          </w:tcPr>
          <w:p>
            <w:pPr>
              <w:ind w:left="20"/>
              <w:spacing w:after="0"/>
              <w:rPr>
                <w:sz w:val="20"/>
                <w:szCs w:val="20"/>
                <w:color w:val="auto"/>
              </w:rPr>
            </w:pPr>
            <w:r>
              <w:rPr>
                <w:rFonts w:ascii="Arial" w:cs="Arial" w:eastAsia="Arial" w:hAnsi="Arial"/>
                <w:sz w:val="16"/>
                <w:szCs w:val="16"/>
                <w:color w:val="auto"/>
              </w:rPr>
              <w:t>Total Assets</w:t>
            </w: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5,810,656</w:t>
            </w:r>
          </w:p>
        </w:tc>
        <w:tc>
          <w:tcPr>
            <w:tcW w:w="100" w:type="dxa"/>
            <w:vAlign w:val="bottom"/>
            <w:shd w:val="clear" w:color="auto" w:fill="DBDBDB"/>
          </w:tcPr>
          <w:p>
            <w:pPr>
              <w:spacing w:after="0"/>
              <w:rPr>
                <w:sz w:val="18"/>
                <w:szCs w:val="18"/>
                <w:color w:val="auto"/>
              </w:rPr>
            </w:pPr>
          </w:p>
        </w:tc>
        <w:tc>
          <w:tcPr>
            <w:tcW w:w="480" w:type="dxa"/>
            <w:vAlign w:val="bottom"/>
            <w:shd w:val="clear" w:color="auto" w:fill="DBDBDB"/>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5,961,676</w:t>
            </w: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Goodwill</w:t>
            </w:r>
          </w:p>
        </w:tc>
        <w:tc>
          <w:tcPr>
            <w:tcW w:w="380" w:type="dxa"/>
            <w:vAlign w:val="bottom"/>
          </w:tcPr>
          <w:p>
            <w:pPr>
              <w:spacing w:after="0"/>
              <w:rPr>
                <w:sz w:val="18"/>
                <w:szCs w:val="18"/>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(1,257,201)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(1,201,710)</w:t>
            </w:r>
          </w:p>
        </w:tc>
      </w:tr>
      <w:tr>
        <w:trPr>
          <w:trHeight w:val="217"/>
        </w:trPr>
        <w:tc>
          <w:tcPr>
            <w:tcW w:w="7780" w:type="dxa"/>
            <w:vAlign w:val="bottom"/>
            <w:shd w:val="clear" w:color="auto" w:fill="DBDBDB"/>
          </w:tcPr>
          <w:p>
            <w:pPr>
              <w:ind w:left="20"/>
              <w:spacing w:after="0"/>
              <w:rPr>
                <w:sz w:val="20"/>
                <w:szCs w:val="20"/>
                <w:color w:val="auto"/>
              </w:rPr>
            </w:pPr>
            <w:r>
              <w:rPr>
                <w:rFonts w:ascii="Arial" w:cs="Arial" w:eastAsia="Arial" w:hAnsi="Arial"/>
                <w:sz w:val="16"/>
                <w:szCs w:val="16"/>
                <w:color w:val="auto"/>
              </w:rPr>
              <w:t>Intangible Assets, net</w:t>
            </w: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(213,432)</w:t>
            </w:r>
          </w:p>
        </w:tc>
        <w:tc>
          <w:tcPr>
            <w:tcW w:w="10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79"/>
              <w:spacing w:after="0"/>
              <w:rPr>
                <w:sz w:val="20"/>
                <w:szCs w:val="20"/>
                <w:color w:val="auto"/>
              </w:rPr>
            </w:pPr>
            <w:r>
              <w:rPr>
                <w:rFonts w:ascii="Arial" w:cs="Arial" w:eastAsia="Arial" w:hAnsi="Arial"/>
                <w:sz w:val="16"/>
                <w:szCs w:val="16"/>
                <w:color w:val="auto"/>
              </w:rPr>
              <w:t>(239,816)</w:t>
            </w: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380" w:type="dxa"/>
            <w:vAlign w:val="bottom"/>
          </w:tcPr>
          <w:p>
            <w:pPr>
              <w:spacing w:after="0"/>
              <w:rPr>
                <w:sz w:val="18"/>
                <w:szCs w:val="18"/>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(4,940,132)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(4,950,314)</w:t>
            </w:r>
          </w:p>
        </w:tc>
      </w:tr>
      <w:tr>
        <w:trPr>
          <w:trHeight w:val="217"/>
        </w:trPr>
        <w:tc>
          <w:tcPr>
            <w:tcW w:w="7780" w:type="dxa"/>
            <w:vAlign w:val="bottom"/>
            <w:shd w:val="clear" w:color="auto" w:fill="DBDBDB"/>
          </w:tcPr>
          <w:p>
            <w:pPr>
              <w:ind w:left="20"/>
              <w:spacing w:after="0"/>
              <w:rPr>
                <w:sz w:val="20"/>
                <w:szCs w:val="20"/>
                <w:color w:val="auto"/>
              </w:rPr>
            </w:pPr>
            <w:r>
              <w:rPr>
                <w:rFonts w:ascii="Arial" w:cs="Arial" w:eastAsia="Arial" w:hAnsi="Arial"/>
                <w:sz w:val="16"/>
                <w:szCs w:val="16"/>
                <w:color w:val="auto"/>
              </w:rPr>
              <w:t>Long Term Debt</w:t>
            </w:r>
          </w:p>
        </w:tc>
        <w:tc>
          <w:tcPr>
            <w:tcW w:w="38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3,482,297</w:t>
            </w:r>
          </w:p>
        </w:tc>
        <w:tc>
          <w:tcPr>
            <w:tcW w:w="100" w:type="dxa"/>
            <w:vAlign w:val="bottom"/>
            <w:shd w:val="clear" w:color="auto" w:fill="DBDBDB"/>
          </w:tcPr>
          <w:p>
            <w:pPr>
              <w:spacing w:after="0"/>
              <w:rPr>
                <w:sz w:val="18"/>
                <w:szCs w:val="18"/>
                <w:color w:val="auto"/>
              </w:rPr>
            </w:pPr>
          </w:p>
        </w:tc>
        <w:tc>
          <w:tcPr>
            <w:tcW w:w="48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3,596,816</w:t>
            </w:r>
          </w:p>
        </w:tc>
      </w:tr>
      <w:tr>
        <w:trPr>
          <w:trHeight w:val="209"/>
        </w:trPr>
        <w:tc>
          <w:tcPr>
            <w:tcW w:w="77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Net Assets, as defined above</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2,882,188</w:t>
            </w:r>
          </w:p>
        </w:tc>
        <w:tc>
          <w:tcPr>
            <w:tcW w:w="100" w:type="dxa"/>
            <w:vAlign w:val="bottom"/>
            <w:tcBorders>
              <w:bottom w:val="single" w:sz="8" w:color="DBDBDB"/>
            </w:tcBorders>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3,166,652</w:t>
            </w:r>
          </w:p>
        </w:tc>
      </w:tr>
      <w:tr>
        <w:trPr>
          <w:trHeight w:val="210"/>
        </w:trPr>
        <w:tc>
          <w:tcPr>
            <w:tcW w:w="7780" w:type="dxa"/>
            <w:vAlign w:val="bottom"/>
            <w:shd w:val="clear" w:color="auto" w:fill="DBDBDB"/>
          </w:tcPr>
          <w:p>
            <w:pPr>
              <w:ind w:left="20"/>
              <w:spacing w:after="0"/>
              <w:rPr>
                <w:sz w:val="20"/>
                <w:szCs w:val="20"/>
                <w:color w:val="auto"/>
              </w:rPr>
            </w:pPr>
            <w:r>
              <w:rPr>
                <w:rFonts w:ascii="Arial" w:cs="Arial" w:eastAsia="Arial" w:hAnsi="Arial"/>
                <w:sz w:val="16"/>
                <w:szCs w:val="16"/>
                <w:color w:val="auto"/>
              </w:rPr>
              <w:t>Average Invested Capital (A)</w:t>
            </w: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2,906,908</w:t>
            </w:r>
          </w:p>
        </w:tc>
        <w:tc>
          <w:tcPr>
            <w:tcW w:w="100" w:type="dxa"/>
            <w:vAlign w:val="bottom"/>
            <w:shd w:val="clear" w:color="auto" w:fill="DBDBDB"/>
          </w:tcPr>
          <w:p>
            <w:pPr>
              <w:spacing w:after="0"/>
              <w:rPr>
                <w:sz w:val="18"/>
                <w:szCs w:val="18"/>
                <w:color w:val="auto"/>
              </w:rPr>
            </w:pPr>
          </w:p>
        </w:tc>
        <w:tc>
          <w:tcPr>
            <w:tcW w:w="480" w:type="dxa"/>
            <w:vAlign w:val="bottom"/>
            <w:shd w:val="clear" w:color="auto" w:fill="DBDBDB"/>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3,208,115</w:t>
            </w:r>
          </w:p>
        </w:tc>
      </w:tr>
      <w:tr>
        <w:trPr>
          <w:trHeight w:val="257"/>
        </w:trPr>
        <w:tc>
          <w:tcPr>
            <w:tcW w:w="7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16"/>
        </w:trPr>
        <w:tc>
          <w:tcPr>
            <w:tcW w:w="778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Adjusted EBITDA</w:t>
            </w:r>
          </w:p>
        </w:tc>
        <w:tc>
          <w:tcPr>
            <w:tcW w:w="380" w:type="dxa"/>
            <w:vAlign w:val="bottom"/>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211,014</w:t>
            </w:r>
          </w:p>
        </w:tc>
        <w:tc>
          <w:tcPr>
            <w:tcW w:w="100" w:type="dxa"/>
            <w:vAlign w:val="bottom"/>
            <w:shd w:val="clear" w:color="auto" w:fill="DBDBDB"/>
          </w:tcPr>
          <w:p>
            <w:pPr>
              <w:spacing w:after="0"/>
              <w:rPr>
                <w:sz w:val="18"/>
                <w:szCs w:val="18"/>
                <w:color w:val="auto"/>
              </w:rPr>
            </w:pPr>
          </w:p>
        </w:tc>
        <w:tc>
          <w:tcPr>
            <w:tcW w:w="480" w:type="dxa"/>
            <w:vAlign w:val="bottom"/>
            <w:shd w:val="clear" w:color="auto" w:fill="DBDBDB"/>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BDBDB"/>
          </w:tcPr>
          <w:p>
            <w:pPr>
              <w:jc w:val="right"/>
              <w:ind w:right="119"/>
              <w:spacing w:after="0"/>
              <w:rPr>
                <w:sz w:val="20"/>
                <w:szCs w:val="20"/>
                <w:color w:val="auto"/>
              </w:rPr>
            </w:pPr>
            <w:r>
              <w:rPr>
                <w:rFonts w:ascii="Arial" w:cs="Arial" w:eastAsia="Arial" w:hAnsi="Arial"/>
                <w:sz w:val="16"/>
                <w:szCs w:val="16"/>
                <w:color w:val="auto"/>
              </w:rPr>
              <w:t>228,785</w:t>
            </w: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380" w:type="dxa"/>
            <w:vAlign w:val="bottom"/>
          </w:tcPr>
          <w:p>
            <w:pPr>
              <w:spacing w:after="0"/>
              <w:rPr>
                <w:sz w:val="18"/>
                <w:szCs w:val="18"/>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(81,775)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(85,745)</w:t>
            </w:r>
          </w:p>
        </w:tc>
      </w:tr>
      <w:tr>
        <w:trPr>
          <w:trHeight w:val="217"/>
        </w:trPr>
        <w:tc>
          <w:tcPr>
            <w:tcW w:w="7780" w:type="dxa"/>
            <w:vAlign w:val="bottom"/>
            <w:shd w:val="clear" w:color="auto" w:fill="DBDBDB"/>
          </w:tcPr>
          <w:p>
            <w:pPr>
              <w:ind w:left="20"/>
              <w:spacing w:after="0"/>
              <w:rPr>
                <w:sz w:val="20"/>
                <w:szCs w:val="20"/>
                <w:color w:val="auto"/>
              </w:rPr>
            </w:pPr>
            <w:r>
              <w:rPr>
                <w:rFonts w:ascii="Arial" w:cs="Arial" w:eastAsia="Arial" w:hAnsi="Arial"/>
                <w:sz w:val="16"/>
                <w:szCs w:val="16"/>
                <w:color w:val="auto"/>
              </w:rPr>
              <w:t>Depreciation related to real estate exits</w:t>
            </w:r>
          </w:p>
        </w:tc>
        <w:tc>
          <w:tcPr>
            <w:tcW w:w="380" w:type="dxa"/>
            <w:vAlign w:val="bottom"/>
            <w:tcBorders>
              <w:bottom w:val="single" w:sz="8" w:color="auto"/>
            </w:tcBorders>
            <w:shd w:val="clear" w:color="auto" w:fill="DBDBDB"/>
          </w:tcPr>
          <w:p>
            <w:pPr>
              <w:spacing w:after="0"/>
              <w:rPr>
                <w:sz w:val="18"/>
                <w:szCs w:val="18"/>
                <w:color w:val="auto"/>
              </w:rPr>
            </w:pPr>
          </w:p>
        </w:tc>
        <w:tc>
          <w:tcPr>
            <w:tcW w:w="1300" w:type="dxa"/>
            <w:vAlign w:val="bottom"/>
            <w:tcBorders>
              <w:bottom w:val="single" w:sz="8" w:color="auto"/>
            </w:tcBorders>
            <w:shd w:val="clear" w:color="auto" w:fill="DBDBDB"/>
          </w:tcPr>
          <w:p>
            <w:pPr>
              <w:jc w:val="right"/>
              <w:ind w:right="79"/>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DBDBDB"/>
          </w:tcPr>
          <w:p>
            <w:pPr>
              <w:spacing w:after="0"/>
              <w:rPr>
                <w:sz w:val="18"/>
                <w:szCs w:val="18"/>
                <w:color w:val="auto"/>
              </w:rPr>
            </w:pPr>
          </w:p>
        </w:tc>
        <w:tc>
          <w:tcPr>
            <w:tcW w:w="480" w:type="dxa"/>
            <w:vAlign w:val="bottom"/>
            <w:tcBorders>
              <w:bottom w:val="single" w:sz="8" w:color="auto"/>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3,776</w:t>
            </w:r>
          </w:p>
        </w:tc>
      </w:tr>
      <w:tr>
        <w:trPr>
          <w:trHeight w:val="209"/>
        </w:trPr>
        <w:tc>
          <w:tcPr>
            <w:tcW w:w="7780" w:type="dxa"/>
            <w:vAlign w:val="bottom"/>
          </w:tcPr>
          <w:p>
            <w:pPr>
              <w:ind w:left="20"/>
              <w:spacing w:after="0"/>
              <w:rPr>
                <w:sz w:val="20"/>
                <w:szCs w:val="20"/>
                <w:color w:val="auto"/>
              </w:rPr>
            </w:pPr>
            <w:r>
              <w:rPr>
                <w:rFonts w:ascii="Arial" w:cs="Arial" w:eastAsia="Arial" w:hAnsi="Arial"/>
                <w:sz w:val="16"/>
                <w:szCs w:val="16"/>
                <w:color w:val="auto"/>
              </w:rPr>
              <w:t>Adjusted EBITA (B)</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19"/>
              <w:spacing w:after="0"/>
              <w:rPr>
                <w:sz w:val="20"/>
                <w:szCs w:val="20"/>
                <w:color w:val="auto"/>
              </w:rPr>
            </w:pPr>
            <w:r>
              <w:rPr>
                <w:rFonts w:ascii="Arial" w:cs="Arial" w:eastAsia="Arial" w:hAnsi="Arial"/>
                <w:sz w:val="16"/>
                <w:szCs w:val="16"/>
                <w:color w:val="auto"/>
              </w:rPr>
              <w:t>129,068</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146,816</w:t>
            </w:r>
          </w:p>
        </w:tc>
      </w:tr>
      <w:tr>
        <w:trPr>
          <w:trHeight w:val="257"/>
        </w:trPr>
        <w:tc>
          <w:tcPr>
            <w:tcW w:w="7780" w:type="dxa"/>
            <w:vAlign w:val="bottom"/>
            <w:shd w:val="clear" w:color="auto" w:fill="DBDBDB"/>
          </w:tcPr>
          <w:p>
            <w:pPr>
              <w:spacing w:after="0"/>
              <w:rPr>
                <w:sz w:val="22"/>
                <w:szCs w:val="22"/>
                <w:color w:val="auto"/>
              </w:rPr>
            </w:pPr>
          </w:p>
        </w:tc>
        <w:tc>
          <w:tcPr>
            <w:tcW w:w="380" w:type="dxa"/>
            <w:vAlign w:val="bottom"/>
            <w:shd w:val="clear" w:color="auto" w:fill="DBDBDB"/>
          </w:tcPr>
          <w:p>
            <w:pPr>
              <w:spacing w:after="0"/>
              <w:rPr>
                <w:sz w:val="22"/>
                <w:szCs w:val="22"/>
                <w:color w:val="auto"/>
              </w:rPr>
            </w:pPr>
          </w:p>
        </w:tc>
        <w:tc>
          <w:tcPr>
            <w:tcW w:w="130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480" w:type="dxa"/>
            <w:vAlign w:val="bottom"/>
            <w:shd w:val="clear" w:color="auto" w:fill="DBDBDB"/>
          </w:tcPr>
          <w:p>
            <w:pPr>
              <w:spacing w:after="0"/>
              <w:rPr>
                <w:sz w:val="22"/>
                <w:szCs w:val="22"/>
                <w:color w:val="auto"/>
              </w:rPr>
            </w:pPr>
          </w:p>
        </w:tc>
        <w:tc>
          <w:tcPr>
            <w:tcW w:w="1200" w:type="dxa"/>
            <w:vAlign w:val="bottom"/>
            <w:shd w:val="clear" w:color="auto" w:fill="DBDBDB"/>
          </w:tcPr>
          <w:p>
            <w:pPr>
              <w:spacing w:after="0"/>
              <w:rPr>
                <w:sz w:val="22"/>
                <w:szCs w:val="22"/>
                <w:color w:val="auto"/>
              </w:rPr>
            </w:pP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Statutory Tax Rate (C)</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27 %</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25 %</w:t>
            </w:r>
          </w:p>
        </w:tc>
      </w:tr>
      <w:tr>
        <w:trPr>
          <w:trHeight w:val="217"/>
        </w:trPr>
        <w:tc>
          <w:tcPr>
            <w:tcW w:w="7780" w:type="dxa"/>
            <w:vAlign w:val="bottom"/>
            <w:shd w:val="clear" w:color="auto" w:fill="DBDBDB"/>
          </w:tcPr>
          <w:p>
            <w:pPr>
              <w:ind w:left="20"/>
              <w:spacing w:after="0"/>
              <w:rPr>
                <w:sz w:val="20"/>
                <w:szCs w:val="20"/>
                <w:color w:val="auto"/>
              </w:rPr>
            </w:pPr>
            <w:r>
              <w:rPr>
                <w:rFonts w:ascii="Arial" w:cs="Arial" w:eastAsia="Arial" w:hAnsi="Arial"/>
                <w:sz w:val="16"/>
                <w:szCs w:val="16"/>
                <w:color w:val="auto"/>
              </w:rPr>
              <w:t>Estimated Tax (B*C)</w:t>
            </w:r>
          </w:p>
        </w:tc>
        <w:tc>
          <w:tcPr>
            <w:tcW w:w="380" w:type="dxa"/>
            <w:vAlign w:val="bottom"/>
            <w:tcBorders>
              <w:bottom w:val="single" w:sz="8" w:color="auto"/>
            </w:tcBorders>
            <w:shd w:val="clear" w:color="auto" w:fill="DBDBDB"/>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34,848</w:t>
            </w:r>
          </w:p>
        </w:tc>
        <w:tc>
          <w:tcPr>
            <w:tcW w:w="100" w:type="dxa"/>
            <w:vAlign w:val="bottom"/>
            <w:shd w:val="clear" w:color="auto" w:fill="DBDBDB"/>
          </w:tcPr>
          <w:p>
            <w:pPr>
              <w:spacing w:after="0"/>
              <w:rPr>
                <w:sz w:val="18"/>
                <w:szCs w:val="18"/>
                <w:color w:val="auto"/>
              </w:rPr>
            </w:pPr>
          </w:p>
        </w:tc>
        <w:tc>
          <w:tcPr>
            <w:tcW w:w="480" w:type="dxa"/>
            <w:vAlign w:val="bottom"/>
            <w:tcBorders>
              <w:bottom w:val="single" w:sz="8" w:color="auto"/>
            </w:tcBorders>
            <w:shd w:val="clear" w:color="auto" w:fill="DBDBDB"/>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DBDBDB"/>
          </w:tcPr>
          <w:p>
            <w:pPr>
              <w:jc w:val="right"/>
              <w:ind w:right="119"/>
              <w:spacing w:after="0"/>
              <w:rPr>
                <w:sz w:val="20"/>
                <w:szCs w:val="20"/>
                <w:color w:val="auto"/>
              </w:rPr>
            </w:pPr>
            <w:r>
              <w:rPr>
                <w:rFonts w:ascii="Arial" w:cs="Arial" w:eastAsia="Arial" w:hAnsi="Arial"/>
                <w:sz w:val="16"/>
                <w:szCs w:val="16"/>
                <w:color w:val="auto"/>
              </w:rPr>
              <w:t>36,704</w:t>
            </w:r>
          </w:p>
        </w:tc>
      </w:tr>
      <w:tr>
        <w:trPr>
          <w:trHeight w:val="209"/>
        </w:trPr>
        <w:tc>
          <w:tcPr>
            <w:tcW w:w="7780" w:type="dxa"/>
            <w:vAlign w:val="bottom"/>
            <w:tcBorders>
              <w:bottom w:val="single" w:sz="8" w:color="DBDBDB"/>
            </w:tcBorders>
          </w:tcPr>
          <w:p>
            <w:pPr>
              <w:ind w:left="20"/>
              <w:spacing w:after="0"/>
              <w:rPr>
                <w:sz w:val="20"/>
                <w:szCs w:val="20"/>
                <w:color w:val="auto"/>
              </w:rPr>
            </w:pPr>
            <w:r>
              <w:rPr>
                <w:rFonts w:ascii="Arial" w:cs="Arial" w:eastAsia="Arial" w:hAnsi="Arial"/>
                <w:sz w:val="16"/>
                <w:szCs w:val="16"/>
                <w:color w:val="auto"/>
              </w:rPr>
              <w:t>Adjusted earnings before interest and amortization (D)</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94,220</w:t>
            </w:r>
          </w:p>
        </w:tc>
        <w:tc>
          <w:tcPr>
            <w:tcW w:w="100" w:type="dxa"/>
            <w:vAlign w:val="bottom"/>
            <w:tcBorders>
              <w:bottom w:val="single" w:sz="8" w:color="DBDBDB"/>
            </w:tcBorders>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110,112</w:t>
            </w:r>
          </w:p>
        </w:tc>
      </w:tr>
      <w:tr>
        <w:trPr>
          <w:trHeight w:val="210"/>
        </w:trPr>
        <w:tc>
          <w:tcPr>
            <w:tcW w:w="7780" w:type="dxa"/>
            <w:vAlign w:val="bottom"/>
            <w:shd w:val="clear" w:color="auto" w:fill="DBDBDB"/>
          </w:tcPr>
          <w:p>
            <w:pPr>
              <w:ind w:left="20"/>
              <w:spacing w:after="0"/>
              <w:rPr>
                <w:sz w:val="20"/>
                <w:szCs w:val="20"/>
                <w:color w:val="auto"/>
              </w:rPr>
            </w:pPr>
            <w:r>
              <w:rPr>
                <w:rFonts w:ascii="Arial" w:cs="Arial" w:eastAsia="Arial" w:hAnsi="Arial"/>
                <w:sz w:val="16"/>
                <w:szCs w:val="16"/>
                <w:color w:val="auto"/>
              </w:rPr>
              <w:t>ROIC (D/A), annualized</w:t>
            </w:r>
          </w:p>
        </w:tc>
        <w:tc>
          <w:tcPr>
            <w:tcW w:w="38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13.0 %</w:t>
            </w:r>
          </w:p>
        </w:tc>
        <w:tc>
          <w:tcPr>
            <w:tcW w:w="100" w:type="dxa"/>
            <w:vAlign w:val="bottom"/>
            <w:shd w:val="clear" w:color="auto" w:fill="DBDBDB"/>
          </w:tcPr>
          <w:p>
            <w:pPr>
              <w:spacing w:after="0"/>
              <w:rPr>
                <w:sz w:val="18"/>
                <w:szCs w:val="18"/>
                <w:color w:val="auto"/>
              </w:rPr>
            </w:pPr>
          </w:p>
        </w:tc>
        <w:tc>
          <w:tcPr>
            <w:tcW w:w="48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sectPr>
      <w:pgSz w:w="11900" w:h="16838" w:orient="portrait"/>
      <w:cols w:equalWidth="0" w:num="1">
        <w:col w:w="11240"/>
      </w:cols>
      <w:pgMar w:left="320" w:top="10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2026-05-07T15:35:40Z</dcterms:created>
  <dcterms:modified xsi:type="dcterms:W3CDTF">2026-05-07T15:35:40Z</dcterms:modified>
</cp:coreProperties>
</file>