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SLAGER DONALD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6400 E MCDOWELL RD., 3RD FLOOR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WillScot Holdings Corp</w:t>
              </w:r>
            </w:hyperlink>
            <w:r>
              <w:rPr/>
              <w:t xml:space="preserve"> [ </w:t>
            </w:r>
            <w:r>
              <w:rPr>
                <w:rFonts w:ascii="Times;serif" w:hAnsi="Times;serif"/>
                <w:color w:val="0000FF"/>
                <w:sz w:val="24"/>
                <w:shd w:fill="FFFFFF" w:val="clear"/>
              </w:rPr>
              <w:t>WSC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Gary Shullaw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9" w:after="283"/>
        <w:jc w:val="left"/>
        <w:rPr/>
      </w:pPr>
      <w:bookmarkStart w:id="2" w:name="willscotsection16powerofatto.htm"/>
      <w:bookmarkStart w:id="3" w:name="kswillscotsection16powerofatto"/>
      <w:bookmarkEnd w:id="2"/>
      <w:bookmarkEnd w:id="3"/>
      <w:r>
        <w:rPr/>
        <w:t xml:space="preserve">  </w:t>
      </w:r>
      <w:r>
        <w:br w:type="page"/>
      </w:r>
    </w:p>
    <w:p>
      <w:pPr>
        <w:pStyle w:val="TextBody"/>
        <w:bidi w:val="0"/>
        <w:spacing w:before="93" w:after="283"/>
        <w:jc w:val="center"/>
        <w:rPr/>
      </w:pPr>
      <w:r>
        <w:rPr>
          <w:b/>
          <w:caps/>
          <w:color w:val="111111"/>
          <w:sz w:val="24"/>
          <w:u w:val="single"/>
        </w:rPr>
        <w:t>Power of Attorney</w:t>
      </w:r>
      <w:r>
        <w:rPr/>
        <w:t xml:space="preserve"> </w:t>
      </w:r>
    </w:p>
    <w:p>
      <w:pPr>
        <w:pStyle w:val="TextBody"/>
        <w:bidi w:val="0"/>
        <w:spacing w:before="4" w:after="283"/>
        <w:jc w:val="left"/>
        <w:rPr/>
      </w:pPr>
      <w:r>
        <w:rPr/>
        <w:t xml:space="preserve">  </w:t>
      </w:r>
    </w:p>
    <w:p>
      <w:pPr>
        <w:pStyle w:val="TextBody"/>
        <w:bidi w:val="0"/>
        <w:spacing w:lineRule="auto" w:line="309" w:before="0" w:after="0"/>
        <w:ind w:left="0" w:right="460" w:hanging="0"/>
        <w:jc w:val="both"/>
        <w:rPr/>
      </w:pPr>
      <w:r>
        <w:rPr>
          <w:color w:val="111111"/>
          <w:sz w:val="23"/>
        </w:rPr>
        <w:t>Know all by these presents, that the undersigned hereby makes, constitute, and appoints each of Timothy D. Boswell, S. Gary Shullaw, and Foley &amp; Lardner, each acting individually, as the undersigned's true and lawful attorney-in-fact, with full power and authority as hereinafter described, to:</w:t>
      </w:r>
      <w:r>
        <w:rPr/>
        <w:t xml:space="preserve"> </w:t>
      </w:r>
    </w:p>
    <w:p>
      <w:pPr>
        <w:pStyle w:val="TextBody"/>
        <w:bidi w:val="0"/>
        <w:spacing w:before="6" w:after="283"/>
        <w:jc w:val="left"/>
        <w:rPr/>
      </w:pPr>
      <w:r>
        <w:rPr/>
        <w:t xml:space="preserve">  </w:t>
      </w:r>
    </w:p>
    <w:p>
      <w:pPr>
        <w:pStyle w:val="TextBody"/>
        <w:bidi w:val="0"/>
        <w:spacing w:lineRule="auto" w:line="309" w:before="0" w:after="0"/>
        <w:ind w:left="360" w:right="460" w:hanging="0"/>
        <w:jc w:val="left"/>
        <w:rPr>
          <w:sz w:val="23"/>
        </w:rPr>
      </w:pPr>
      <w:r>
        <w:rPr>
          <w:sz w:val="23"/>
        </w:rPr>
        <w:t xml:space="preserve">1. </w:t>
      </w:r>
    </w:p>
    <w:p>
      <w:pPr>
        <w:pStyle w:val="TextBody"/>
        <w:bidi w:val="0"/>
        <w:spacing w:lineRule="auto" w:line="309" w:before="0" w:after="0"/>
        <w:ind w:left="720" w:right="460" w:hanging="0"/>
        <w:jc w:val="both"/>
        <w:rPr>
          <w:sz w:val="23"/>
        </w:rPr>
      </w:pPr>
      <w:r>
        <w:rPr>
          <w:color w:val="111111"/>
          <w:sz w:val="23"/>
        </w:rPr>
        <w:t>prepare, execute, deliver and file for and on behalf of the undersigned, in the undersigned's capacity as an officer and/or director of WillScot Holdings Corporation. (the "Company"), Forms 3, 4, and 5 in accordance with Section 16(a) of the Securities Exchange Act of 1934 and the rules and regulations thereunder as amended from time to time (the "Exchange Act");</w:t>
      </w:r>
      <w:r>
        <w:rPr>
          <w:sz w:val="23"/>
        </w:rPr>
        <w:t xml:space="preserve"> </w:t>
      </w:r>
    </w:p>
    <w:p>
      <w:pPr>
        <w:pStyle w:val="TextBody"/>
        <w:bidi w:val="0"/>
        <w:spacing w:before="10" w:after="283"/>
        <w:jc w:val="left"/>
        <w:rPr/>
      </w:pPr>
      <w:r>
        <w:rPr/>
        <w:t xml:space="preserve">  </w:t>
      </w:r>
    </w:p>
    <w:p>
      <w:pPr>
        <w:pStyle w:val="TextBody"/>
        <w:bidi w:val="0"/>
        <w:spacing w:lineRule="auto" w:line="309" w:before="0" w:after="0"/>
        <w:ind w:left="360" w:right="460" w:hanging="0"/>
        <w:jc w:val="left"/>
        <w:rPr>
          <w:sz w:val="23"/>
        </w:rPr>
      </w:pPr>
      <w:r>
        <w:rPr>
          <w:sz w:val="23"/>
        </w:rPr>
        <w:t xml:space="preserve">2. </w:t>
      </w:r>
    </w:p>
    <w:p>
      <w:pPr>
        <w:pStyle w:val="TextBody"/>
        <w:bidi w:val="0"/>
        <w:spacing w:lineRule="auto" w:line="309" w:before="0" w:after="0"/>
        <w:ind w:left="720" w:right="460" w:hanging="0"/>
        <w:jc w:val="both"/>
        <w:rPr>
          <w:sz w:val="23"/>
        </w:rPr>
      </w:pPr>
      <w:r>
        <w:rPr>
          <w:color w:val="111111"/>
          <w:sz w:val="23"/>
        </w:rPr>
        <w:t>do and perform any and all acts for and on behalf of the undersigned which may be necessary or desirable to complete and execute any such Forms 3, 4, or 5, including any electronic filing thereof, complete and execute any amendment or amendments thereto, and timely file such form with the United States Securities and Exchange Commission and any stock exchange or similar authority;</w:t>
      </w:r>
      <w:r>
        <w:rPr>
          <w:sz w:val="23"/>
        </w:rPr>
        <w:t xml:space="preserve"> </w:t>
      </w:r>
    </w:p>
    <w:p>
      <w:pPr>
        <w:pStyle w:val="TextBody"/>
        <w:bidi w:val="0"/>
        <w:spacing w:before="10" w:after="283"/>
        <w:jc w:val="left"/>
        <w:rPr/>
      </w:pPr>
      <w:r>
        <w:rPr/>
        <w:t xml:space="preserve">  </w:t>
      </w:r>
    </w:p>
    <w:p>
      <w:pPr>
        <w:pStyle w:val="TextBody"/>
        <w:bidi w:val="0"/>
        <w:spacing w:lineRule="auto" w:line="309" w:before="0" w:after="0"/>
        <w:ind w:left="360" w:right="460" w:hanging="0"/>
        <w:jc w:val="left"/>
        <w:rPr>
          <w:sz w:val="23"/>
        </w:rPr>
      </w:pPr>
      <w:r>
        <w:rPr>
          <w:sz w:val="23"/>
        </w:rPr>
        <w:t xml:space="preserve">3. </w:t>
      </w:r>
    </w:p>
    <w:p>
      <w:pPr>
        <w:pStyle w:val="TextBody"/>
        <w:bidi w:val="0"/>
        <w:spacing w:lineRule="auto" w:line="309" w:before="0" w:after="0"/>
        <w:ind w:left="720" w:right="460" w:hanging="0"/>
        <w:jc w:val="both"/>
        <w:rPr>
          <w:sz w:val="23"/>
        </w:rPr>
      </w:pPr>
      <w:r>
        <w:rPr>
          <w:color w:val="111111"/>
          <w:sz w:val="23"/>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r>
        <w:rPr>
          <w:sz w:val="23"/>
        </w:rPr>
        <w:t xml:space="preserve"> </w:t>
      </w:r>
    </w:p>
    <w:p>
      <w:pPr>
        <w:pStyle w:val="TextBody"/>
        <w:bidi w:val="0"/>
        <w:spacing w:before="10" w:after="283"/>
        <w:jc w:val="left"/>
        <w:rPr/>
      </w:pPr>
      <w:r>
        <w:rPr/>
        <w:t xml:space="preserve">  </w:t>
      </w:r>
    </w:p>
    <w:p>
      <w:pPr>
        <w:pStyle w:val="TextBody"/>
        <w:bidi w:val="0"/>
        <w:spacing w:lineRule="auto" w:line="309" w:before="1" w:after="283"/>
        <w:ind w:left="360" w:right="320" w:hanging="0"/>
        <w:jc w:val="left"/>
        <w:rPr>
          <w:sz w:val="20"/>
        </w:rPr>
      </w:pPr>
      <w:r>
        <w:rPr>
          <w:sz w:val="20"/>
        </w:rPr>
        <w:t xml:space="preserve">4. </w:t>
      </w:r>
    </w:p>
    <w:p>
      <w:pPr>
        <w:pStyle w:val="TextBody"/>
        <w:bidi w:val="0"/>
        <w:spacing w:lineRule="auto" w:line="309" w:before="1" w:after="283"/>
        <w:ind w:left="720" w:right="320" w:hanging="0"/>
        <w:jc w:val="both"/>
        <w:rPr>
          <w:sz w:val="20"/>
        </w:rPr>
      </w:pPr>
      <w:r>
        <w:rPr>
          <w:color w:val="111111"/>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color w:val="111111"/>
          <w:sz w:val="20"/>
        </w:rPr>
        <w:t>.</w:t>
      </w:r>
      <w:r>
        <w:rPr>
          <w:sz w:val="20"/>
        </w:rPr>
        <w:t xml:space="preserve"> </w:t>
      </w:r>
    </w:p>
    <w:p>
      <w:pPr>
        <w:pStyle w:val="TextBody"/>
        <w:bidi w:val="0"/>
        <w:spacing w:before="3" w:after="283"/>
        <w:jc w:val="left"/>
        <w:rPr/>
      </w:pPr>
      <w:r>
        <w:rPr/>
        <w:t xml:space="preserve">  </w:t>
      </w:r>
    </w:p>
    <w:p>
      <w:pPr>
        <w:pStyle w:val="TextBody"/>
        <w:bidi w:val="0"/>
        <w:spacing w:lineRule="auto" w:line="309" w:before="0" w:after="0"/>
        <w:ind w:left="279" w:right="279" w:hanging="0"/>
        <w:jc w:val="both"/>
        <w:rPr>
          <w:sz w:val="19"/>
        </w:rPr>
      </w:pPr>
      <w:r>
        <w:rPr>
          <w:color w:val="111111"/>
          <w:sz w:val="23"/>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responsibility to file the Forms 3, 4 and 5 are the responsibility of the undersigned, and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attorneys</w:t>
        <w:softHyphen/>
        <w:t>in-fact and the Company are relying on written and oral information provided by the undersigned to complete such forms and the undersigned is responsible for reviewing the completed forms prior to their filing. The attorneys-in-fact and the Company are not responsible for any errors or omissions in such filings. The attorneys-in-fact and the Company are not responsible for determining whether or not the transactions reported could be matched with any other transactions for the purpose of determining liability for short</w:t>
        <w:softHyphen/>
        <w:t xml:space="preserve"> swing profits under Section l 6(b).</w:t>
      </w:r>
      <w:r>
        <w:rPr>
          <w:sz w:val="19"/>
        </w:rPr>
        <w:t xml:space="preserve"> </w:t>
      </w:r>
    </w:p>
    <w:p>
      <w:pPr>
        <w:pStyle w:val="TextBody"/>
        <w:bidi w:val="0"/>
        <w:spacing w:lineRule="auto" w:line="309" w:before="0" w:after="0"/>
        <w:ind w:left="279" w:right="279" w:hanging="0"/>
        <w:jc w:val="both"/>
        <w:rPr/>
      </w:pPr>
      <w:r>
        <w:rPr/>
        <w:t xml:space="preserve">  </w:t>
      </w:r>
    </w:p>
    <w:p>
      <w:pPr>
        <w:pStyle w:val="TextBody"/>
        <w:bidi w:val="0"/>
        <w:spacing w:lineRule="auto" w:line="309" w:before="0" w:after="0"/>
        <w:ind w:left="279" w:right="279" w:hanging="0"/>
        <w:jc w:val="both"/>
        <w:rPr>
          <w:sz w:val="19"/>
        </w:rPr>
      </w:pPr>
      <w:r>
        <w:rPr>
          <w:color w:val="111111"/>
          <w:sz w:val="23"/>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sz w:val="19"/>
        </w:rPr>
        <w:t xml:space="preserve"> </w:t>
      </w:r>
    </w:p>
    <w:p>
      <w:pPr>
        <w:pStyle w:val="TextBody"/>
        <w:bidi w:val="0"/>
        <w:spacing w:lineRule="auto" w:line="309" w:before="0" w:after="0"/>
        <w:ind w:left="279" w:right="279" w:hanging="0"/>
        <w:jc w:val="both"/>
        <w:rPr/>
      </w:pPr>
      <w:r>
        <w:rPr/>
        <w:t xml:space="preserve">  </w:t>
      </w:r>
    </w:p>
    <w:p>
      <w:pPr>
        <w:pStyle w:val="TextBody"/>
        <w:bidi w:val="0"/>
        <w:spacing w:lineRule="auto" w:line="309" w:before="0" w:after="0"/>
        <w:ind w:left="279" w:right="279" w:hanging="0"/>
        <w:jc w:val="both"/>
        <w:rPr>
          <w:sz w:val="19"/>
        </w:rPr>
      </w:pPr>
      <w:r>
        <w:rPr>
          <w:color w:val="111111"/>
          <w:sz w:val="23"/>
        </w:rPr>
        <w:t>IN WITNESS WHEREOF, the undersigned has caused this Power of Attorney to be executed effective as of October 7, 2026.</w:t>
      </w:r>
      <w:r>
        <w:rPr>
          <w:sz w:val="19"/>
        </w:rPr>
        <w:t xml:space="preserve"> </w:t>
      </w:r>
    </w:p>
    <w:p>
      <w:pPr>
        <w:pStyle w:val="TextBody"/>
        <w:bidi w:val="0"/>
        <w:spacing w:lineRule="auto" w:line="309" w:before="0" w:after="0"/>
        <w:ind w:left="279" w:right="279" w:hanging="0"/>
        <w:jc w:val="both"/>
        <w:rPr/>
      </w:pPr>
      <w:r>
        <w:rPr/>
        <w:t xml:space="preserve">  </w:t>
      </w:r>
    </w:p>
    <w:p>
      <w:pPr>
        <w:pStyle w:val="TextBody"/>
        <w:bidi w:val="0"/>
        <w:spacing w:lineRule="auto" w:line="309" w:before="0" w:after="0"/>
        <w:ind w:left="279" w:right="279" w:hanging="0"/>
        <w:jc w:val="both"/>
        <w:rPr/>
      </w:pPr>
      <w:r>
        <w:rPr/>
        <w:t xml:space="preserve">  </w:t>
      </w:r>
    </w:p>
    <w:p>
      <w:pPr>
        <w:pStyle w:val="TextBody"/>
        <w:bidi w:val="0"/>
        <w:spacing w:lineRule="auto" w:line="309" w:before="0" w:after="0"/>
        <w:ind w:left="279" w:right="279" w:hanging="0"/>
        <w:jc w:val="both"/>
        <w:rPr/>
      </w:pPr>
      <w:r>
        <w:rPr/>
        <w:t xml:space="preserve">  </w:t>
      </w:r>
    </w:p>
    <w:p>
      <w:pPr>
        <w:pStyle w:val="TextBody"/>
        <w:bidi w:val="0"/>
        <w:spacing w:lineRule="auto" w:line="309" w:before="0" w:after="0"/>
        <w:ind w:left="5760" w:right="279" w:hanging="0"/>
        <w:jc w:val="both"/>
        <w:rPr>
          <w:sz w:val="19"/>
        </w:rPr>
      </w:pPr>
      <w:r>
        <w:rPr>
          <w:color w:val="111111"/>
          <w:sz w:val="23"/>
          <w:u w:val="single"/>
        </w:rPr>
        <w:t>/s/ Donald W. Slager</w:t>
      </w:r>
      <w:r>
        <w:rPr>
          <w:sz w:val="19"/>
        </w:rPr>
        <w:t xml:space="preserve"> </w:t>
      </w:r>
    </w:p>
    <w:p>
      <w:pPr>
        <w:pStyle w:val="TextBody"/>
        <w:bidi w:val="0"/>
        <w:spacing w:lineRule="auto" w:line="309" w:before="0" w:after="0"/>
        <w:ind w:left="5760" w:right="279" w:hanging="0"/>
        <w:jc w:val="both"/>
        <w:rPr>
          <w:sz w:val="19"/>
        </w:rPr>
      </w:pPr>
      <w:r>
        <w:rPr>
          <w:color w:val="111111"/>
          <w:sz w:val="23"/>
        </w:rPr>
        <w:t>Donald W. Slager</w:t>
      </w:r>
      <w:r>
        <w:rPr>
          <w:sz w:val="19"/>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45142" TargetMode="External"/><Relationship Id="rId3" Type="http://schemas.openxmlformats.org/officeDocument/2006/relationships/hyperlink" Target="http://www.sec.gov/cgi-bin/browse-edgar?action=getcompany&amp;CIK=00016470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1037</Words>
  <Characters>5613</Characters>
  <CharactersWithSpaces>6629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