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02" w:lineRule="exact"/>
        <w:rPr>
          <w:sz w:val="24"/>
          <w:szCs w:val="24"/>
          <w:color w:val="auto"/>
        </w:rPr>
      </w:pPr>
    </w:p>
    <w:p>
      <w:pPr>
        <w:ind w:left="3960" w:right="2680" w:hanging="3248"/>
        <w:spacing w:after="0" w:line="348" w:lineRule="auto"/>
        <w:tabs>
          <w:tab w:leader="none" w:pos="1515"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2023</w:t>
      </w:r>
    </w:p>
    <w:p>
      <w:pPr>
        <w:spacing w:after="0" w:line="118" w:lineRule="exact"/>
        <w:rPr>
          <w:sz w:val="24"/>
          <w:szCs w:val="24"/>
          <w:color w:val="auto"/>
        </w:rPr>
      </w:pPr>
    </w:p>
    <w:p>
      <w:pPr>
        <w:ind w:left="3920" w:right="2680" w:hanging="3208"/>
        <w:spacing w:after="0" w:line="348"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27"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2040255</wp:posOffset>
            </wp:positionH>
            <wp:positionV relativeFrom="paragraph">
              <wp:posOffset>76835</wp:posOffset>
            </wp:positionV>
            <wp:extent cx="3069590" cy="75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9590" cy="753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MOBILE MINI HOLDINGS CORP.</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5"/>
                <w:szCs w:val="15"/>
                <w:color w:val="auto"/>
              </w:rPr>
            </w:pPr>
          </w:p>
        </w:tc>
      </w:tr>
      <w:tr>
        <w:trPr>
          <w:trHeight w:val="193"/>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6"/>
                <w:szCs w:val="16"/>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183"/>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5"/>
                <w:szCs w:val="15"/>
                <w:color w:val="auto"/>
              </w:rPr>
            </w:pPr>
          </w:p>
        </w:tc>
        <w:tc>
          <w:tcPr>
            <w:tcW w:w="3600" w:type="dxa"/>
            <w:vAlign w:val="bottom"/>
          </w:tcPr>
          <w:p>
            <w:pPr>
              <w:jc w:val="center"/>
              <w:ind w:right="131"/>
              <w:spacing w:after="0"/>
              <w:rPr>
                <w:sz w:val="20"/>
                <w:szCs w:val="20"/>
                <w:color w:val="auto"/>
              </w:rPr>
            </w:pPr>
            <w:r>
              <w:rPr>
                <w:rFonts w:ascii="Arial" w:cs="Arial" w:eastAsia="Arial" w:hAnsi="Arial"/>
                <w:sz w:val="14"/>
                <w:szCs w:val="14"/>
                <w:color w:val="auto"/>
                <w:w w:val="98"/>
              </w:rPr>
              <w:t>(I.R.S. Employer Identification No.)</w:t>
            </w:r>
          </w:p>
        </w:tc>
      </w:tr>
      <w:tr>
        <w:trPr>
          <w:trHeight w:val="258"/>
        </w:trPr>
        <w:tc>
          <w:tcPr>
            <w:tcW w:w="3940" w:type="dxa"/>
            <w:vAlign w:val="bottom"/>
          </w:tcPr>
          <w:p>
            <w:pPr>
              <w:spacing w:after="0"/>
              <w:rPr>
                <w:sz w:val="22"/>
                <w:szCs w:val="22"/>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22"/>
                <w:szCs w:val="22"/>
                <w:color w:val="auto"/>
              </w:rPr>
            </w:pPr>
          </w:p>
        </w:tc>
      </w:tr>
      <w:tr>
        <w:trPr>
          <w:trHeight w:val="174"/>
        </w:trPr>
        <w:tc>
          <w:tcPr>
            <w:tcW w:w="3940" w:type="dxa"/>
            <w:vAlign w:val="bottom"/>
          </w:tcPr>
          <w:p>
            <w:pPr>
              <w:spacing w:after="0"/>
              <w:rPr>
                <w:sz w:val="15"/>
                <w:szCs w:val="15"/>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Phoenix, Arizona 85008</w:t>
            </w:r>
          </w:p>
        </w:tc>
        <w:tc>
          <w:tcPr>
            <w:tcW w:w="3600" w:type="dxa"/>
            <w:vAlign w:val="bottom"/>
          </w:tcPr>
          <w:p>
            <w:pPr>
              <w:spacing w:after="0"/>
              <w:rPr>
                <w:sz w:val="15"/>
                <w:szCs w:val="15"/>
                <w:color w:val="auto"/>
              </w:rPr>
            </w:pPr>
          </w:p>
        </w:tc>
      </w:tr>
      <w:tr>
        <w:trPr>
          <w:trHeight w:val="174"/>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5"/>
                <w:szCs w:val="15"/>
                <w:color w:val="auto"/>
              </w:rPr>
            </w:pPr>
          </w:p>
        </w:tc>
      </w:tr>
      <w:tr>
        <w:trPr>
          <w:trHeight w:val="380"/>
        </w:trPr>
        <w:tc>
          <w:tcPr>
            <w:tcW w:w="3940" w:type="dxa"/>
            <w:vAlign w:val="bottom"/>
          </w:tcPr>
          <w:p>
            <w:pPr>
              <w:spacing w:after="0"/>
              <w:rPr>
                <w:sz w:val="24"/>
                <w:szCs w:val="2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(480) 894-6311</w:t>
            </w:r>
          </w:p>
        </w:tc>
        <w:tc>
          <w:tcPr>
            <w:tcW w:w="3600" w:type="dxa"/>
            <w:vAlign w:val="bottom"/>
          </w:tcPr>
          <w:p>
            <w:pPr>
              <w:spacing w:after="0"/>
              <w:rPr>
                <w:sz w:val="24"/>
                <w:szCs w:val="24"/>
                <w:color w:val="auto"/>
              </w:rPr>
            </w:pPr>
          </w:p>
        </w:tc>
      </w:tr>
      <w:tr>
        <w:trPr>
          <w:trHeight w:val="174"/>
        </w:trPr>
        <w:tc>
          <w:tcPr>
            <w:tcW w:w="3940" w:type="dxa"/>
            <w:vAlign w:val="bottom"/>
          </w:tcPr>
          <w:p>
            <w:pPr>
              <w:spacing w:after="0"/>
              <w:rPr>
                <w:sz w:val="15"/>
                <w:szCs w:val="15"/>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5"/>
                <w:szCs w:val="15"/>
                <w:color w:val="auto"/>
              </w:rPr>
            </w:pPr>
          </w:p>
        </w:tc>
      </w:tr>
      <w:tr>
        <w:trPr>
          <w:trHeight w:val="271"/>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3600" w:type="dxa"/>
            <w:vAlign w:val="bottom"/>
          </w:tcPr>
          <w:p>
            <w:pPr>
              <w:spacing w:after="0"/>
              <w:rPr>
                <w:sz w:val="23"/>
                <w:szCs w:val="23"/>
                <w:color w:val="auto"/>
              </w:rPr>
            </w:pPr>
          </w:p>
        </w:tc>
      </w:tr>
      <w:tr>
        <w:trPr>
          <w:trHeight w:val="400"/>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7"/>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75"/>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7"/>
              </w:rPr>
              <w:t>The Nasdaq Capital Market</w:t>
            </w:r>
          </w:p>
        </w:tc>
      </w:tr>
    </w:tbl>
    <w:p>
      <w:pPr>
        <w:spacing w:after="0" w:line="367" w:lineRule="exact"/>
        <w:rPr>
          <w:sz w:val="24"/>
          <w:szCs w:val="24"/>
          <w:color w:val="auto"/>
        </w:rPr>
      </w:pPr>
    </w:p>
    <w:p>
      <w:pPr>
        <w:jc w:val="both"/>
        <w:ind w:firstLine="619"/>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6" w:lineRule="exact"/>
        <w:rPr>
          <w:sz w:val="24"/>
          <w:szCs w:val="24"/>
          <w:color w:val="auto"/>
        </w:rPr>
      </w:pPr>
    </w:p>
    <w:p>
      <w:pPr>
        <w:jc w:val="both"/>
        <w:ind w:firstLine="619"/>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 w:lineRule="exact"/>
        <w:rPr>
          <w:sz w:val="24"/>
          <w:szCs w:val="24"/>
          <w:color w:val="auto"/>
        </w:rPr>
      </w:pPr>
    </w:p>
    <w:p>
      <w:pPr>
        <w:jc w:val="both"/>
        <w:ind w:firstLine="619"/>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3" w:right="339" w:bottom="1440" w:gutter="0" w:footer="0" w:header="0"/>
        </w:sectPr>
      </w:pPr>
    </w:p>
    <w:p>
      <w:pPr>
        <w:spacing w:after="0" w:line="31"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5540" w:space="720"/>
            <w:col w:w="4980"/>
          </w:cols>
          <w:pgMar w:left="320" w:top="923"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4"/>
          <w:szCs w:val="24"/>
          <w:color w:val="auto"/>
        </w:rPr>
      </w:pPr>
    </w:p>
    <w:p>
      <w:pPr>
        <w:sectPr>
          <w:pgSz w:w="11900" w:h="16838" w:orient="portrait"/>
          <w:cols w:equalWidth="0" w:num="2">
            <w:col w:w="5540" w:space="720"/>
            <w:col w:w="4980"/>
          </w:cols>
          <w:pgMar w:left="320" w:top="923"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23" w:right="339" w:bottom="1440" w:gutter="0" w:footer="0" w:header="0"/>
          <w:type w:val="continuous"/>
        </w:sectPr>
      </w:pPr>
    </w:p>
    <w:p>
      <w:pPr>
        <w:spacing w:after="0" w:line="196" w:lineRule="exact"/>
        <w:rPr>
          <w:sz w:val="24"/>
          <w:szCs w:val="24"/>
          <w:color w:val="auto"/>
        </w:rPr>
      </w:pPr>
    </w:p>
    <w:p>
      <w:pPr>
        <w:ind w:firstLine="61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left="620" w:right="360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Shares of Common Stock, par value $0.0001 per share, outstanding: 191,630,296 shares at October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904240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MOBILE MINI HOLDINGS CORP.</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23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9"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 (unaudited,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13867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September 30, 2023 and December 31, 2022 (audited)</w:t>
      </w:r>
    </w:p>
    <w:p>
      <w:pPr>
        <w:spacing w:after="0" w:line="201" w:lineRule="exact"/>
        <w:rPr>
          <w:sz w:val="20"/>
          <w:szCs w:val="20"/>
          <w:color w:val="auto"/>
        </w:rPr>
      </w:pPr>
    </w:p>
    <w:p>
      <w:pPr>
        <w:ind w:left="1600" w:right="460"/>
        <w:spacing w:after="0" w:line="520" w:lineRule="auto"/>
        <w:rPr>
          <w:sz w:val="20"/>
          <w:szCs w:val="20"/>
          <w:color w:val="auto"/>
        </w:rPr>
      </w:pPr>
      <w:r>
        <w:rPr>
          <w:rFonts w:ascii="Arial" w:cs="Arial" w:eastAsia="Arial" w:hAnsi="Arial"/>
          <w:sz w:val="15"/>
          <w:szCs w:val="15"/>
          <w:color w:val="auto"/>
        </w:rPr>
        <w:t>Condensed Consolidated Statements of Operations for the Three and Nine Months Ended September 30, 2023 and 2022 Condensed Consolidated Statements of Comprehensive Income for the Three and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138670"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ind w:left="1600" w:right="840"/>
        <w:spacing w:after="0" w:line="319" w:lineRule="auto"/>
        <w:rPr>
          <w:sz w:val="20"/>
          <w:szCs w:val="20"/>
          <w:color w:val="auto"/>
        </w:rPr>
      </w:pPr>
      <w:r>
        <w:rPr>
          <w:rFonts w:ascii="Arial" w:cs="Arial" w:eastAsia="Arial" w:hAnsi="Arial"/>
          <w:sz w:val="15"/>
          <w:szCs w:val="15"/>
          <w:color w:val="auto"/>
        </w:rPr>
        <w:t>Condensed Consolidated Statements of Changes in Equity for the Three and Nine Months Ended September 30, 2023 and 2022 Condensed Consolidated Statements of Cash Flows for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13867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13867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0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138670"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Legal Proceedings</w:t>
            </w:r>
          </w:p>
        </w:tc>
      </w:tr>
      <w:tr>
        <w:trPr>
          <w:trHeight w:val="158"/>
        </w:trPr>
        <w:tc>
          <w:tcPr>
            <w:tcW w:w="1100" w:type="dxa"/>
            <w:vAlign w:val="bottom"/>
            <w:shd w:val="clear" w:color="auto" w:fill="DBDBDB"/>
          </w:tcPr>
          <w:p>
            <w:pPr>
              <w:spacing w:after="0"/>
              <w:rPr>
                <w:sz w:val="13"/>
                <w:szCs w:val="13"/>
                <w:color w:val="auto"/>
              </w:rPr>
            </w:pPr>
          </w:p>
        </w:tc>
        <w:tc>
          <w:tcPr>
            <w:tcW w:w="10140" w:type="dxa"/>
            <w:vAlign w:val="bottom"/>
            <w:shd w:val="clear" w:color="auto" w:fill="DBDBDB"/>
          </w:tcPr>
          <w:p>
            <w:pPr>
              <w:spacing w:after="0"/>
              <w:rPr>
                <w:sz w:val="13"/>
                <w:szCs w:val="13"/>
                <w:color w:val="auto"/>
              </w:rPr>
            </w:pPr>
          </w:p>
        </w:tc>
      </w:tr>
      <w:tr>
        <w:trPr>
          <w:trHeight w:val="201"/>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60"/>
              <w:spacing w:after="0"/>
              <w:rPr>
                <w:sz w:val="20"/>
                <w:szCs w:val="20"/>
                <w:color w:val="auto"/>
              </w:rPr>
            </w:pPr>
            <w:r>
              <w:rPr>
                <w:rFonts w:ascii="Arial" w:cs="Arial" w:eastAsia="Arial" w:hAnsi="Arial"/>
                <w:sz w:val="15"/>
                <w:szCs w:val="15"/>
                <w:color w:val="auto"/>
              </w:rPr>
              <w:t>Risk Factors</w:t>
            </w:r>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Unregistered Sales of Equity Securities, Use of Proceeds, and Issuer Purchases of Equity Securities</w:t>
            </w:r>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01"/>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60"/>
              <w:spacing w:after="0"/>
              <w:rPr>
                <w:sz w:val="20"/>
                <w:szCs w:val="20"/>
                <w:color w:val="auto"/>
              </w:rPr>
            </w:pPr>
            <w:r>
              <w:rPr>
                <w:rFonts w:ascii="Arial" w:cs="Arial" w:eastAsia="Arial" w:hAnsi="Arial"/>
                <w:sz w:val="15"/>
                <w:szCs w:val="15"/>
                <w:color w:val="auto"/>
              </w:rPr>
              <w:t>Defaults Upon Senior Securities</w:t>
            </w:r>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Mine Safety Disclosures</w:t>
            </w:r>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01"/>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60"/>
              <w:spacing w:after="0"/>
              <w:rPr>
                <w:sz w:val="20"/>
                <w:szCs w:val="20"/>
                <w:color w:val="auto"/>
              </w:rPr>
            </w:pPr>
            <w:r>
              <w:rPr>
                <w:rFonts w:ascii="Arial" w:cs="Arial" w:eastAsia="Arial" w:hAnsi="Arial"/>
                <w:sz w:val="15"/>
                <w:szCs w:val="15"/>
                <w:color w:val="auto"/>
              </w:rPr>
              <w:t>Other Information</w:t>
            </w:r>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Exhibits</w:t>
            </w:r>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16"/>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210185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81"/>
        </w:trPr>
        <w:tc>
          <w:tcPr>
            <w:tcW w:w="3480" w:type="dxa"/>
            <w:vAlign w:val="bottom"/>
          </w:tcPr>
          <w:p>
            <w:pPr>
              <w:ind w:left="2180"/>
              <w:spacing w:after="0"/>
              <w:rPr>
                <w:sz w:val="20"/>
                <w:szCs w:val="20"/>
                <w:color w:val="auto"/>
              </w:rPr>
            </w:pPr>
            <w:r>
              <w:rPr>
                <w:rFonts w:ascii="Arial" w:cs="Arial" w:eastAsia="Arial" w:hAnsi="Arial"/>
                <w:sz w:val="34"/>
                <w:szCs w:val="34"/>
                <w:b w:val="1"/>
                <w:bCs w:val="1"/>
                <w:color w:val="auto"/>
              </w:rPr>
              <w:t>ITEM 1.</w:t>
            </w:r>
          </w:p>
        </w:tc>
        <w:tc>
          <w:tcPr>
            <w:tcW w:w="4320" w:type="dxa"/>
            <w:vAlign w:val="bottom"/>
            <w:gridSpan w:val="2"/>
          </w:tcPr>
          <w:p>
            <w:pPr>
              <w:jc w:val="right"/>
              <w:ind w:right="523"/>
              <w:spacing w:after="0"/>
              <w:rPr>
                <w:sz w:val="20"/>
                <w:szCs w:val="20"/>
                <w:color w:val="auto"/>
              </w:rPr>
            </w:pPr>
            <w:r>
              <w:rPr>
                <w:rFonts w:ascii="Arial" w:cs="Arial" w:eastAsia="Arial" w:hAnsi="Arial"/>
                <w:sz w:val="34"/>
                <w:szCs w:val="34"/>
                <w:b w:val="1"/>
                <w:bCs w:val="1"/>
                <w:color w:val="auto"/>
              </w:rPr>
              <w:t>Financial Statements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80" w:type="dxa"/>
            <w:vAlign w:val="bottom"/>
          </w:tcPr>
          <w:p>
            <w:pPr>
              <w:spacing w:after="0"/>
              <w:rPr>
                <w:sz w:val="24"/>
                <w:szCs w:val="24"/>
                <w:color w:val="auto"/>
              </w:rPr>
            </w:pPr>
          </w:p>
        </w:tc>
        <w:tc>
          <w:tcPr>
            <w:tcW w:w="4320" w:type="dxa"/>
            <w:vAlign w:val="bottom"/>
            <w:gridSpan w:val="2"/>
          </w:tcPr>
          <w:p>
            <w:pPr>
              <w:jc w:val="right"/>
              <w:ind w:right="323"/>
              <w:spacing w:after="0"/>
              <w:rPr>
                <w:sz w:val="20"/>
                <w:szCs w:val="20"/>
                <w:color w:val="auto"/>
              </w:rPr>
            </w:pPr>
            <w:r>
              <w:rPr>
                <w:rFonts w:ascii="Arial" w:cs="Arial" w:eastAsia="Arial" w:hAnsi="Arial"/>
                <w:sz w:val="22"/>
                <w:szCs w:val="22"/>
                <w:color w:val="1D2758"/>
              </w:rPr>
              <w:t>WillScot Mobile Mini Holdings Corp.</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80" w:type="dxa"/>
            <w:vAlign w:val="bottom"/>
          </w:tcPr>
          <w:p>
            <w:pPr>
              <w:spacing w:after="0"/>
              <w:rPr>
                <w:sz w:val="24"/>
                <w:szCs w:val="24"/>
                <w:color w:val="auto"/>
              </w:rPr>
            </w:pPr>
          </w:p>
        </w:tc>
        <w:tc>
          <w:tcPr>
            <w:tcW w:w="4320" w:type="dxa"/>
            <w:vAlign w:val="bottom"/>
            <w:gridSpan w:val="2"/>
          </w:tcPr>
          <w:p>
            <w:pPr>
              <w:jc w:val="right"/>
              <w:ind w:right="23"/>
              <w:spacing w:after="0"/>
              <w:rPr>
                <w:sz w:val="20"/>
                <w:szCs w:val="20"/>
                <w:color w:val="auto"/>
              </w:rPr>
            </w:pPr>
            <w:r>
              <w:rPr>
                <w:rFonts w:ascii="Arial" w:cs="Arial" w:eastAsia="Arial" w:hAnsi="Arial"/>
                <w:sz w:val="22"/>
                <w:szCs w:val="22"/>
                <w:color w:val="1D2758"/>
              </w:rPr>
              <w:t>Condensed Consolidated Balance Sheets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720" w:type="dxa"/>
            <w:vAlign w:val="bottom"/>
            <w:shd w:val="clear" w:color="auto" w:fill="1D2758"/>
          </w:tcPr>
          <w:p>
            <w:pPr>
              <w:spacing w:after="0"/>
              <w:rPr>
                <w:sz w:val="24"/>
                <w:szCs w:val="24"/>
                <w:color w:val="auto"/>
              </w:rPr>
            </w:pPr>
          </w:p>
        </w:tc>
        <w:tc>
          <w:tcPr>
            <w:tcW w:w="2560" w:type="dxa"/>
            <w:vAlign w:val="bottom"/>
            <w:gridSpan w:val="3"/>
            <w:vMerge w:val="restart"/>
            <w:shd w:val="clear" w:color="auto" w:fill="1D2758"/>
          </w:tcPr>
          <w:p>
            <w:pPr>
              <w:ind w:left="80"/>
              <w:spacing w:after="0"/>
              <w:rPr>
                <w:sz w:val="20"/>
                <w:szCs w:val="20"/>
                <w:color w:val="auto"/>
              </w:rPr>
            </w:pPr>
            <w:r>
              <w:rPr>
                <w:rFonts w:ascii="Arial" w:cs="Arial" w:eastAsia="Arial" w:hAnsi="Arial"/>
                <w:sz w:val="15"/>
                <w:szCs w:val="15"/>
                <w:b w:val="1"/>
                <w:bCs w:val="1"/>
                <w:color w:val="FFFFFF"/>
              </w:rPr>
              <w:t>September 30, 2023 (unaudited)</w:t>
            </w:r>
          </w:p>
        </w:tc>
        <w:tc>
          <w:tcPr>
            <w:tcW w:w="340" w:type="dxa"/>
            <w:vAlign w:val="bottom"/>
            <w:shd w:val="clear" w:color="auto" w:fill="1D2758"/>
          </w:tcPr>
          <w:p>
            <w:pPr>
              <w:spacing w:after="0"/>
              <w:rPr>
                <w:sz w:val="24"/>
                <w:szCs w:val="24"/>
                <w:color w:val="auto"/>
              </w:rPr>
            </w:pPr>
          </w:p>
        </w:tc>
        <w:tc>
          <w:tcPr>
            <w:tcW w:w="21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97"/>
        </w:trPr>
        <w:tc>
          <w:tcPr>
            <w:tcW w:w="3480" w:type="dxa"/>
            <w:vAlign w:val="bottom"/>
            <w:vMerge w:val="continue"/>
            <w:shd w:val="clear" w:color="auto" w:fill="1D2758"/>
          </w:tcPr>
          <w:p>
            <w:pPr>
              <w:spacing w:after="0"/>
              <w:rPr>
                <w:sz w:val="8"/>
                <w:szCs w:val="8"/>
                <w:color w:val="auto"/>
              </w:rPr>
            </w:pPr>
          </w:p>
        </w:tc>
        <w:tc>
          <w:tcPr>
            <w:tcW w:w="2720" w:type="dxa"/>
            <w:vAlign w:val="bottom"/>
            <w:shd w:val="clear" w:color="auto" w:fill="1D2758"/>
          </w:tcPr>
          <w:p>
            <w:pPr>
              <w:spacing w:after="0"/>
              <w:rPr>
                <w:sz w:val="8"/>
                <w:szCs w:val="8"/>
                <w:color w:val="auto"/>
              </w:rPr>
            </w:pPr>
          </w:p>
        </w:tc>
        <w:tc>
          <w:tcPr>
            <w:tcW w:w="2560" w:type="dxa"/>
            <w:vAlign w:val="bottom"/>
            <w:gridSpan w:val="3"/>
            <w:vMerge w:val="continue"/>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214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27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720" w:type="dxa"/>
            <w:vAlign w:val="bottom"/>
          </w:tcPr>
          <w:p>
            <w:pPr>
              <w:spacing w:after="0"/>
              <w:rPr>
                <w:sz w:val="17"/>
                <w:szCs w:val="17"/>
                <w:color w:val="auto"/>
              </w:rPr>
            </w:pP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5,789</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7,390</w:t>
            </w:r>
          </w:p>
        </w:tc>
        <w:tc>
          <w:tcPr>
            <w:tcW w:w="0" w:type="dxa"/>
            <w:vAlign w:val="bottom"/>
          </w:tcPr>
          <w:p>
            <w:pPr>
              <w:spacing w:after="0"/>
              <w:rPr>
                <w:sz w:val="1"/>
                <w:szCs w:val="1"/>
                <w:color w:val="auto"/>
              </w:rPr>
            </w:pPr>
          </w:p>
        </w:tc>
      </w:tr>
      <w:tr>
        <w:trPr>
          <w:trHeight w:val="162"/>
        </w:trPr>
        <w:tc>
          <w:tcPr>
            <w:tcW w:w="6200" w:type="dxa"/>
            <w:vAlign w:val="bottom"/>
            <w:gridSpan w:val="2"/>
            <w:shd w:val="clear" w:color="auto" w:fill="DDDDDD"/>
          </w:tcPr>
          <w:p>
            <w:pPr>
              <w:ind w:left="220"/>
              <w:spacing w:after="0" w:line="162" w:lineRule="exact"/>
              <w:rPr>
                <w:sz w:val="20"/>
                <w:szCs w:val="20"/>
                <w:color w:val="auto"/>
              </w:rPr>
            </w:pPr>
            <w:r>
              <w:rPr>
                <w:rFonts w:ascii="Arial" w:cs="Arial" w:eastAsia="Arial" w:hAnsi="Arial"/>
                <w:sz w:val="15"/>
                <w:szCs w:val="15"/>
                <w:color w:val="auto"/>
              </w:rPr>
              <w:t>Trade receivables, net of allowances for credit losses at September 30, 2023 and</w:t>
            </w:r>
          </w:p>
        </w:tc>
        <w:tc>
          <w:tcPr>
            <w:tcW w:w="1600" w:type="dxa"/>
            <w:vAlign w:val="bottom"/>
            <w:shd w:val="clear" w:color="auto" w:fill="DDDDDD"/>
          </w:tcPr>
          <w:p>
            <w:pPr>
              <w:spacing w:after="0"/>
              <w:rPr>
                <w:sz w:val="14"/>
                <w:szCs w:val="14"/>
                <w:color w:val="auto"/>
              </w:rPr>
            </w:pPr>
          </w:p>
        </w:tc>
        <w:tc>
          <w:tcPr>
            <w:tcW w:w="88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469,344</w:t>
            </w: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409,766</w:t>
            </w:r>
          </w:p>
        </w:tc>
        <w:tc>
          <w:tcPr>
            <w:tcW w:w="0" w:type="dxa"/>
            <w:vAlign w:val="bottom"/>
          </w:tcPr>
          <w:p>
            <w:pPr>
              <w:spacing w:after="0"/>
              <w:rPr>
                <w:sz w:val="1"/>
                <w:szCs w:val="1"/>
                <w:color w:val="auto"/>
              </w:rPr>
            </w:pPr>
          </w:p>
        </w:tc>
      </w:tr>
      <w:tr>
        <w:trPr>
          <w:trHeight w:val="202"/>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December 31, 2022 of $78,738 and $57,048, respectively</w:t>
            </w:r>
          </w:p>
        </w:tc>
        <w:tc>
          <w:tcPr>
            <w:tcW w:w="160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44,729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41,030</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48,392</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31,635</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 - current</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951</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31,220</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27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569,205</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521,041</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3,347,017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3,077,287</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328,054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304,659</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256,272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219,405</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1,158,076</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1,011,429</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401,313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419,125</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15,541</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6,683</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Assets held for sale - non-current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268,022</w:t>
            </w:r>
          </w:p>
        </w:tc>
        <w:tc>
          <w:tcPr>
            <w:tcW w:w="0" w:type="dxa"/>
            <w:vAlign w:val="bottom"/>
          </w:tcPr>
          <w:p>
            <w:pPr>
              <w:spacing w:after="0"/>
              <w:rPr>
                <w:sz w:val="1"/>
                <w:szCs w:val="1"/>
                <w:color w:val="auto"/>
              </w:rPr>
            </w:pPr>
          </w:p>
        </w:tc>
      </w:tr>
      <w:tr>
        <w:trPr>
          <w:trHeight w:val="202"/>
        </w:trPr>
        <w:tc>
          <w:tcPr>
            <w:tcW w:w="3480" w:type="dxa"/>
            <w:vAlign w:val="bottom"/>
            <w:tcBorders>
              <w:top w:val="single" w:sz="8" w:color="DDDDDD"/>
            </w:tcBorders>
            <w:shd w:val="clear" w:color="auto" w:fill="DDDDDD"/>
          </w:tcPr>
          <w:p>
            <w:pPr>
              <w:ind w:left="440"/>
              <w:spacing w:after="0"/>
              <w:rPr>
                <w:sz w:val="20"/>
                <w:szCs w:val="20"/>
                <w:color w:val="auto"/>
              </w:rPr>
            </w:pPr>
            <w:r>
              <w:rPr>
                <w:rFonts w:ascii="Arial" w:cs="Arial" w:eastAsia="Arial" w:hAnsi="Arial"/>
                <w:sz w:val="15"/>
                <w:szCs w:val="15"/>
                <w:color w:val="auto"/>
              </w:rPr>
              <w:t>Total long-term assets</w:t>
            </w:r>
          </w:p>
        </w:tc>
        <w:tc>
          <w:tcPr>
            <w:tcW w:w="2720" w:type="dxa"/>
            <w:vAlign w:val="bottom"/>
            <w:tcBorders>
              <w:top w:val="single" w:sz="8" w:color="DDDDDD"/>
            </w:tcBorders>
            <w:shd w:val="clear" w:color="auto" w:fill="DDDDDD"/>
          </w:tcPr>
          <w:p>
            <w:pPr>
              <w:spacing w:after="0"/>
              <w:rPr>
                <w:sz w:val="17"/>
                <w:szCs w:val="17"/>
                <w:color w:val="auto"/>
              </w:rPr>
            </w:pPr>
          </w:p>
        </w:tc>
        <w:tc>
          <w:tcPr>
            <w:tcW w:w="1600" w:type="dxa"/>
            <w:vAlign w:val="bottom"/>
            <w:tcBorders>
              <w:top w:val="single" w:sz="8" w:color="auto"/>
              <w:bottom w:val="single" w:sz="8" w:color="auto"/>
            </w:tcBorders>
            <w:shd w:val="clear" w:color="auto" w:fill="DDDDDD"/>
          </w:tcPr>
          <w:p>
            <w:pPr>
              <w:spacing w:after="0"/>
              <w:rPr>
                <w:sz w:val="17"/>
                <w:szCs w:val="17"/>
                <w:color w:val="auto"/>
              </w:rPr>
            </w:pPr>
          </w:p>
        </w:tc>
        <w:tc>
          <w:tcPr>
            <w:tcW w:w="8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5,506,273</w:t>
            </w:r>
          </w:p>
        </w:tc>
        <w:tc>
          <w:tcPr>
            <w:tcW w:w="8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5,306,610</w:t>
            </w:r>
          </w:p>
        </w:tc>
        <w:tc>
          <w:tcPr>
            <w:tcW w:w="0" w:type="dxa"/>
            <w:vAlign w:val="bottom"/>
          </w:tcPr>
          <w:p>
            <w:pPr>
              <w:spacing w:after="0"/>
              <w:rPr>
                <w:sz w:val="1"/>
                <w:szCs w:val="1"/>
                <w:color w:val="auto"/>
              </w:rPr>
            </w:pPr>
          </w:p>
        </w:tc>
      </w:tr>
      <w:tr>
        <w:trPr>
          <w:trHeight w:val="196"/>
        </w:trPr>
        <w:tc>
          <w:tcPr>
            <w:tcW w:w="348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720" w:type="dxa"/>
            <w:vAlign w:val="bottom"/>
          </w:tcPr>
          <w:p>
            <w:pPr>
              <w:spacing w:after="0"/>
              <w:rPr>
                <w:sz w:val="17"/>
                <w:szCs w:val="17"/>
                <w:color w:val="auto"/>
              </w:rPr>
            </w:pPr>
          </w:p>
        </w:tc>
        <w:tc>
          <w:tcPr>
            <w:tcW w:w="1600" w:type="dxa"/>
            <w:vAlign w:val="bottom"/>
            <w:tcBorders>
              <w:bottom w:val="single" w:sz="8" w:color="auto"/>
            </w:tcBorders>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6,075,478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5,827,651</w:t>
            </w:r>
          </w:p>
        </w:tc>
        <w:tc>
          <w:tcPr>
            <w:tcW w:w="0" w:type="dxa"/>
            <w:vAlign w:val="bottom"/>
          </w:tcPr>
          <w:p>
            <w:pPr>
              <w:spacing w:after="0"/>
              <w:rPr>
                <w:sz w:val="1"/>
                <w:szCs w:val="1"/>
                <w:color w:val="auto"/>
              </w:rPr>
            </w:pPr>
          </w:p>
        </w:tc>
      </w:tr>
      <w:tr>
        <w:trPr>
          <w:trHeight w:val="20"/>
        </w:trPr>
        <w:tc>
          <w:tcPr>
            <w:tcW w:w="3480" w:type="dxa"/>
            <w:vAlign w:val="bottom"/>
            <w:tcBorders>
              <w:bottom w:val="single" w:sz="8" w:color="DDDDDD"/>
            </w:tcBorders>
          </w:tcPr>
          <w:p>
            <w:pPr>
              <w:spacing w:after="0" w:line="20" w:lineRule="exact"/>
              <w:rPr>
                <w:sz w:val="1"/>
                <w:szCs w:val="1"/>
                <w:color w:val="auto"/>
              </w:rPr>
            </w:pPr>
          </w:p>
        </w:tc>
        <w:tc>
          <w:tcPr>
            <w:tcW w:w="2720" w:type="dxa"/>
            <w:vAlign w:val="bottom"/>
            <w:tcBorders>
              <w:bottom w:val="single" w:sz="8" w:color="DDDDDD"/>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Liabilities and equity</w:t>
            </w:r>
          </w:p>
        </w:tc>
        <w:tc>
          <w:tcPr>
            <w:tcW w:w="2720" w:type="dxa"/>
            <w:vAlign w:val="bottom"/>
            <w:shd w:val="clear" w:color="auto" w:fill="DDDDDD"/>
          </w:tcPr>
          <w:p>
            <w:pPr>
              <w:spacing w:after="0"/>
              <w:rPr>
                <w:sz w:val="15"/>
                <w:szCs w:val="15"/>
                <w:color w:val="auto"/>
              </w:rPr>
            </w:pPr>
          </w:p>
        </w:tc>
        <w:tc>
          <w:tcPr>
            <w:tcW w:w="1600" w:type="dxa"/>
            <w:vAlign w:val="bottom"/>
            <w:shd w:val="clear" w:color="auto" w:fill="DDDDDD"/>
          </w:tcPr>
          <w:p>
            <w:pPr>
              <w:spacing w:after="0"/>
              <w:rPr>
                <w:sz w:val="15"/>
                <w:szCs w:val="15"/>
                <w:color w:val="auto"/>
              </w:rPr>
            </w:pPr>
          </w:p>
        </w:tc>
        <w:tc>
          <w:tcPr>
            <w:tcW w:w="88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21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720" w:type="dxa"/>
            <w:vAlign w:val="bottom"/>
          </w:tcPr>
          <w:p>
            <w:pPr>
              <w:spacing w:after="0"/>
              <w:rPr>
                <w:sz w:val="17"/>
                <w:szCs w:val="17"/>
                <w:color w:val="auto"/>
              </w:rPr>
            </w:pP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92,319</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109,349</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expenses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123,238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109,542</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31,550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56,340</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227,257</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203,793</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current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56,588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50,499</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Current portion of long-term debt</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15,981</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13,324</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Liabilities held for sale - current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19,095</w:t>
            </w:r>
          </w:p>
        </w:tc>
        <w:tc>
          <w:tcPr>
            <w:tcW w:w="0" w:type="dxa"/>
            <w:vAlign w:val="bottom"/>
          </w:tcPr>
          <w:p>
            <w:pPr>
              <w:spacing w:after="0"/>
              <w:rPr>
                <w:sz w:val="1"/>
                <w:szCs w:val="1"/>
                <w:color w:val="auto"/>
              </w:rPr>
            </w:pPr>
          </w:p>
        </w:tc>
      </w:tr>
      <w:tr>
        <w:trPr>
          <w:trHeight w:val="202"/>
        </w:trPr>
        <w:tc>
          <w:tcPr>
            <w:tcW w:w="3480" w:type="dxa"/>
            <w:vAlign w:val="bottom"/>
            <w:tcBorders>
              <w:top w:val="single" w:sz="8" w:color="DDDDDD"/>
            </w:tcBorders>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2720" w:type="dxa"/>
            <w:vAlign w:val="bottom"/>
            <w:tcBorders>
              <w:top w:val="single" w:sz="8" w:color="DDDDDD"/>
            </w:tcBorders>
            <w:shd w:val="clear" w:color="auto" w:fill="DDDDDD"/>
          </w:tcPr>
          <w:p>
            <w:pPr>
              <w:spacing w:after="0"/>
              <w:rPr>
                <w:sz w:val="17"/>
                <w:szCs w:val="17"/>
                <w:color w:val="auto"/>
              </w:rPr>
            </w:pPr>
          </w:p>
        </w:tc>
        <w:tc>
          <w:tcPr>
            <w:tcW w:w="1600" w:type="dxa"/>
            <w:vAlign w:val="bottom"/>
            <w:tcBorders>
              <w:top w:val="single" w:sz="8" w:color="auto"/>
            </w:tcBorders>
            <w:shd w:val="clear" w:color="auto" w:fill="DDDDDD"/>
          </w:tcPr>
          <w:p>
            <w:pPr>
              <w:spacing w:after="0"/>
              <w:rPr>
                <w:sz w:val="17"/>
                <w:szCs w:val="17"/>
                <w:color w:val="auto"/>
              </w:rPr>
            </w:pPr>
          </w:p>
        </w:tc>
        <w:tc>
          <w:tcPr>
            <w:tcW w:w="8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546,933</w:t>
            </w:r>
          </w:p>
        </w:tc>
        <w:tc>
          <w:tcPr>
            <w:tcW w:w="8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tcBorders>
            <w:shd w:val="clear" w:color="auto" w:fill="DDDDDD"/>
          </w:tcPr>
          <w:p>
            <w:pPr>
              <w:spacing w:after="0"/>
              <w:rPr>
                <w:sz w:val="17"/>
                <w:szCs w:val="17"/>
                <w:color w:val="auto"/>
              </w:rPr>
            </w:pPr>
          </w:p>
        </w:tc>
        <w:tc>
          <w:tcPr>
            <w:tcW w:w="2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561,942</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3,460,066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3,063,042</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535,434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401,453</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193,364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169,618</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27,045</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18,537</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Liabilities held for sale - non-current</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47,759</w:t>
            </w:r>
          </w:p>
        </w:tc>
        <w:tc>
          <w:tcPr>
            <w:tcW w:w="0" w:type="dxa"/>
            <w:vAlign w:val="bottom"/>
          </w:tcPr>
          <w:p>
            <w:pPr>
              <w:spacing w:after="0"/>
              <w:rPr>
                <w:sz w:val="1"/>
                <w:szCs w:val="1"/>
                <w:color w:val="auto"/>
              </w:rPr>
            </w:pPr>
          </w:p>
        </w:tc>
      </w:tr>
      <w:tr>
        <w:trPr>
          <w:trHeight w:val="202"/>
        </w:trPr>
        <w:tc>
          <w:tcPr>
            <w:tcW w:w="3480" w:type="dxa"/>
            <w:vAlign w:val="bottom"/>
            <w:tcBorders>
              <w:top w:val="single" w:sz="8" w:color="DDDDDD"/>
            </w:tcBorders>
            <w:shd w:val="clear" w:color="auto" w:fill="DDDDDD"/>
          </w:tcPr>
          <w:p>
            <w:pPr>
              <w:ind w:left="440"/>
              <w:spacing w:after="0"/>
              <w:rPr>
                <w:sz w:val="20"/>
                <w:szCs w:val="20"/>
                <w:color w:val="auto"/>
              </w:rPr>
            </w:pPr>
            <w:r>
              <w:rPr>
                <w:rFonts w:ascii="Arial" w:cs="Arial" w:eastAsia="Arial" w:hAnsi="Arial"/>
                <w:sz w:val="15"/>
                <w:szCs w:val="15"/>
                <w:color w:val="auto"/>
              </w:rPr>
              <w:t>Long-term liabilities</w:t>
            </w:r>
          </w:p>
        </w:tc>
        <w:tc>
          <w:tcPr>
            <w:tcW w:w="2720" w:type="dxa"/>
            <w:vAlign w:val="bottom"/>
            <w:tcBorders>
              <w:top w:val="single" w:sz="8" w:color="DDDDDD"/>
            </w:tcBorders>
            <w:shd w:val="clear" w:color="auto" w:fill="DDDDDD"/>
          </w:tcPr>
          <w:p>
            <w:pPr>
              <w:spacing w:after="0"/>
              <w:rPr>
                <w:sz w:val="17"/>
                <w:szCs w:val="17"/>
                <w:color w:val="auto"/>
              </w:rPr>
            </w:pPr>
          </w:p>
        </w:tc>
        <w:tc>
          <w:tcPr>
            <w:tcW w:w="1600" w:type="dxa"/>
            <w:vAlign w:val="bottom"/>
            <w:tcBorders>
              <w:top w:val="single" w:sz="8" w:color="auto"/>
              <w:bottom w:val="single" w:sz="8" w:color="auto"/>
            </w:tcBorders>
            <w:shd w:val="clear" w:color="auto" w:fill="DDDDDD"/>
          </w:tcPr>
          <w:p>
            <w:pPr>
              <w:spacing w:after="0"/>
              <w:rPr>
                <w:sz w:val="17"/>
                <w:szCs w:val="17"/>
                <w:color w:val="auto"/>
              </w:rPr>
            </w:pPr>
          </w:p>
        </w:tc>
        <w:tc>
          <w:tcPr>
            <w:tcW w:w="8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4,215,909</w:t>
            </w:r>
          </w:p>
        </w:tc>
        <w:tc>
          <w:tcPr>
            <w:tcW w:w="8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3,700,409</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liabilities</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4,762,842</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4,262,351</w:t>
            </w:r>
          </w:p>
        </w:tc>
        <w:tc>
          <w:tcPr>
            <w:tcW w:w="0" w:type="dxa"/>
            <w:vAlign w:val="bottom"/>
          </w:tcPr>
          <w:p>
            <w:pPr>
              <w:spacing w:after="0"/>
              <w:rPr>
                <w:sz w:val="1"/>
                <w:szCs w:val="1"/>
                <w:color w:val="auto"/>
              </w:rPr>
            </w:pPr>
          </w:p>
        </w:tc>
      </w:tr>
      <w:tr>
        <w:trPr>
          <w:trHeight w:val="142"/>
        </w:trPr>
        <w:tc>
          <w:tcPr>
            <w:tcW w:w="6200" w:type="dxa"/>
            <w:vAlign w:val="bottom"/>
            <w:gridSpan w:val="2"/>
            <w:shd w:val="clear" w:color="auto" w:fill="DDDDDD"/>
          </w:tcPr>
          <w:p>
            <w:pPr>
              <w:ind w:left="220"/>
              <w:spacing w:after="0" w:line="142" w:lineRule="exact"/>
              <w:rPr>
                <w:sz w:val="20"/>
                <w:szCs w:val="20"/>
                <w:color w:val="auto"/>
              </w:rPr>
            </w:pPr>
            <w:r>
              <w:rPr>
                <w:rFonts w:ascii="Arial" w:cs="Arial" w:eastAsia="Arial" w:hAnsi="Arial"/>
                <w:sz w:val="15"/>
                <w:szCs w:val="15"/>
                <w:color w:val="auto"/>
              </w:rPr>
              <w:t>Preferred Stock: $0.0001 par, 1,000,000 shares authorized and zero shares issued</w:t>
            </w:r>
          </w:p>
        </w:tc>
        <w:tc>
          <w:tcPr>
            <w:tcW w:w="1600" w:type="dxa"/>
            <w:vAlign w:val="bottom"/>
            <w:shd w:val="clear" w:color="auto" w:fill="DDDDDD"/>
          </w:tcPr>
          <w:p>
            <w:pPr>
              <w:spacing w:after="0"/>
              <w:rPr>
                <w:sz w:val="12"/>
                <w:szCs w:val="12"/>
                <w:color w:val="auto"/>
              </w:rPr>
            </w:pPr>
          </w:p>
        </w:tc>
        <w:tc>
          <w:tcPr>
            <w:tcW w:w="96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DDDDDD"/>
          </w:tcPr>
          <w:p>
            <w:pPr>
              <w:spacing w:after="0"/>
              <w:rPr>
                <w:sz w:val="12"/>
                <w:szCs w:val="12"/>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and outstanding at September 30, 2023 and December 31, 2022</w:t>
            </w:r>
          </w:p>
        </w:tc>
        <w:tc>
          <w:tcPr>
            <w:tcW w:w="1600" w:type="dxa"/>
            <w:vAlign w:val="bottom"/>
            <w:shd w:val="clear" w:color="auto" w:fill="DDDDDD"/>
          </w:tcPr>
          <w:p>
            <w:pPr>
              <w:spacing w:after="0"/>
              <w:rPr>
                <w:sz w:val="17"/>
                <w:szCs w:val="17"/>
                <w:color w:val="auto"/>
              </w:rPr>
            </w:pPr>
          </w:p>
        </w:tc>
        <w:tc>
          <w:tcPr>
            <w:tcW w:w="960" w:type="dxa"/>
            <w:vAlign w:val="bottom"/>
            <w:gridSpan w:val="2"/>
            <w:vMerge w:val="continue"/>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200" w:type="dxa"/>
            <w:vAlign w:val="bottom"/>
            <w:gridSpan w:val="2"/>
          </w:tcPr>
          <w:p>
            <w:pPr>
              <w:ind w:left="220"/>
              <w:spacing w:after="0" w:line="159" w:lineRule="exact"/>
              <w:rPr>
                <w:sz w:val="20"/>
                <w:szCs w:val="20"/>
                <w:color w:val="auto"/>
              </w:rPr>
            </w:pPr>
            <w:r>
              <w:rPr>
                <w:rFonts w:ascii="Arial" w:cs="Arial" w:eastAsia="Arial" w:hAnsi="Arial"/>
                <w:sz w:val="15"/>
                <w:szCs w:val="15"/>
                <w:color w:val="auto"/>
              </w:rPr>
              <w:t>Common Stock: $0.0001 par, 500,000,000 shares authorized and 193,460,704 and</w:t>
            </w: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207,951,682 shares issued and outstanding at September 30, 2023 and December 31,</w:t>
            </w:r>
          </w:p>
        </w:tc>
        <w:tc>
          <w:tcPr>
            <w:tcW w:w="16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9"/>
        </w:trPr>
        <w:tc>
          <w:tcPr>
            <w:tcW w:w="3480" w:type="dxa"/>
            <w:vAlign w:val="bottom"/>
          </w:tcPr>
          <w:p>
            <w:pPr>
              <w:ind w:left="220"/>
              <w:spacing w:after="0"/>
              <w:rPr>
                <w:sz w:val="20"/>
                <w:szCs w:val="20"/>
                <w:color w:val="auto"/>
              </w:rPr>
            </w:pPr>
            <w:r>
              <w:rPr>
                <w:rFonts w:ascii="Arial" w:cs="Arial" w:eastAsia="Arial" w:hAnsi="Arial"/>
                <w:sz w:val="15"/>
                <w:szCs w:val="15"/>
                <w:color w:val="auto"/>
              </w:rPr>
              <w:t>2022, respectively</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Additional paid-in-capital</w:t>
            </w:r>
          </w:p>
        </w:tc>
        <w:tc>
          <w:tcPr>
            <w:tcW w:w="272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2,218,110</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2,886,951</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(44,073)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deficit</w:t>
            </w:r>
          </w:p>
        </w:tc>
        <w:tc>
          <w:tcPr>
            <w:tcW w:w="2720" w:type="dxa"/>
            <w:vAlign w:val="bottom"/>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(861,421)</w:t>
            </w:r>
          </w:p>
        </w:tc>
        <w:tc>
          <w:tcPr>
            <w:tcW w:w="8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(1,251,550)</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shareholders' equity</w:t>
            </w:r>
          </w:p>
        </w:tc>
        <w:tc>
          <w:tcPr>
            <w:tcW w:w="272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1,312,636</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24"/>
        </w:trPr>
        <w:tc>
          <w:tcPr>
            <w:tcW w:w="34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2720" w:type="dxa"/>
            <w:vAlign w:val="bottom"/>
            <w:tcBorders>
              <w:bottom w:val="single" w:sz="8" w:color="DDDDDD"/>
            </w:tcBorders>
            <w:shd w:val="clear" w:color="auto" w:fill="DDDDDD"/>
          </w:tcPr>
          <w:p>
            <w:pPr>
              <w:spacing w:after="0"/>
              <w:rPr>
                <w:sz w:val="19"/>
                <w:szCs w:val="19"/>
                <w:color w:val="auto"/>
              </w:rPr>
            </w:pPr>
          </w:p>
        </w:tc>
        <w:tc>
          <w:tcPr>
            <w:tcW w:w="1600" w:type="dxa"/>
            <w:vAlign w:val="bottom"/>
            <w:tcBorders>
              <w:bottom w:val="single" w:sz="8" w:color="auto"/>
            </w:tcBorders>
            <w:shd w:val="clear" w:color="auto" w:fill="DDDDDD"/>
          </w:tcPr>
          <w:p>
            <w:pPr>
              <w:jc w:val="right"/>
              <w:ind w:right="14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6,075,478</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5,827,651</w:t>
            </w:r>
          </w:p>
        </w:tc>
        <w:tc>
          <w:tcPr>
            <w:tcW w:w="0" w:type="dxa"/>
            <w:vAlign w:val="bottom"/>
          </w:tcPr>
          <w:p>
            <w:pPr>
              <w:spacing w:after="0"/>
              <w:rPr>
                <w:sz w:val="1"/>
                <w:szCs w:val="1"/>
                <w:color w:val="auto"/>
              </w:rPr>
            </w:pPr>
          </w:p>
        </w:tc>
      </w:tr>
      <w:tr>
        <w:trPr>
          <w:trHeight w:val="20"/>
        </w:trPr>
        <w:tc>
          <w:tcPr>
            <w:tcW w:w="3480" w:type="dxa"/>
            <w:vAlign w:val="bottom"/>
            <w:tcBorders>
              <w:top w:val="single" w:sz="8" w:color="DDDDDD"/>
            </w:tcBorders>
          </w:tcPr>
          <w:p>
            <w:pPr>
              <w:spacing w:after="0" w:line="20" w:lineRule="exact"/>
              <w:rPr>
                <w:sz w:val="1"/>
                <w:szCs w:val="1"/>
                <w:color w:val="auto"/>
              </w:rPr>
            </w:pPr>
          </w:p>
        </w:tc>
        <w:tc>
          <w:tcPr>
            <w:tcW w:w="272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1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 w:name="page4"/>
    <w:bookmarkEnd w:id="3"/>
    <w:p>
      <w:pPr>
        <w:ind w:left="4140"/>
        <w:spacing w:after="0"/>
        <w:rPr>
          <w:sz w:val="20"/>
          <w:szCs w:val="20"/>
          <w:color w:val="auto"/>
        </w:rPr>
      </w:pPr>
      <w:r>
        <w:rPr>
          <w:rFonts w:ascii="Arial" w:cs="Arial" w:eastAsia="Arial" w:hAnsi="Arial"/>
          <w:sz w:val="22"/>
          <w:szCs w:val="22"/>
          <w:color w:val="1D2758"/>
        </w:rPr>
        <w:t>WillScot Mobile Mini Holdings Corp.</w:t>
      </w:r>
    </w:p>
    <w:p>
      <w:pPr>
        <w:spacing w:after="0" w:line="31" w:lineRule="exact"/>
        <w:rPr>
          <w:sz w:val="20"/>
          <w:szCs w:val="20"/>
          <w:color w:val="auto"/>
        </w:rPr>
      </w:pPr>
    </w:p>
    <w:p>
      <w:pPr>
        <w:ind w:left="3060"/>
        <w:spacing w:after="0"/>
        <w:rPr>
          <w:sz w:val="20"/>
          <w:szCs w:val="20"/>
          <w:color w:val="auto"/>
        </w:rPr>
      </w:pPr>
      <w:r>
        <w:rPr>
          <w:rFonts w:ascii="Arial" w:cs="Arial" w:eastAsia="Arial" w:hAnsi="Arial"/>
          <w:sz w:val="22"/>
          <w:szCs w:val="22"/>
          <w:color w:val="1D2758"/>
        </w:rPr>
        <w:t>Condensed Consolidated Statements of Operations</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22"/>
          <w:szCs w:val="22"/>
          <w:color w:val="1D2758"/>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2840" w:type="dxa"/>
            <w:vAlign w:val="bottom"/>
            <w:gridSpan w:val="6"/>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2760" w:type="dxa"/>
            <w:vAlign w:val="bottom"/>
            <w:gridSpan w:val="5"/>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13"/>
        </w:trPr>
        <w:tc>
          <w:tcPr>
            <w:tcW w:w="562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98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84"/>
        </w:trPr>
        <w:tc>
          <w:tcPr>
            <w:tcW w:w="5620" w:type="dxa"/>
            <w:vAlign w:val="bottom"/>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98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466,769</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427,842</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1,356,040</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1,165,787</w:t>
            </w:r>
          </w:p>
        </w:tc>
        <w:tc>
          <w:tcPr>
            <w:tcW w:w="0" w:type="dxa"/>
            <w:vAlign w:val="bottom"/>
          </w:tcPr>
          <w:p>
            <w:pPr>
              <w:spacing w:after="0"/>
              <w:rPr>
                <w:sz w:val="1"/>
                <w:szCs w:val="1"/>
                <w:color w:val="auto"/>
              </w:rPr>
            </w:pPr>
          </w:p>
        </w:tc>
      </w:tr>
      <w:tr>
        <w:trPr>
          <w:trHeight w:val="203"/>
        </w:trPr>
        <w:tc>
          <w:tcPr>
            <w:tcW w:w="562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115,598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127,016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334,982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323,396</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10,155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9,608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29,816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25,322</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26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12,312</w:t>
            </w:r>
          </w:p>
        </w:tc>
        <w:tc>
          <w:tcPr>
            <w:tcW w:w="8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13,542</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31,553</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37,564</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604,834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578,008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1,752,391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1,552,069</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104,331</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107,720</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300,402</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276,165</w:t>
            </w:r>
          </w:p>
        </w:tc>
        <w:tc>
          <w:tcPr>
            <w:tcW w:w="0" w:type="dxa"/>
            <w:vAlign w:val="bottom"/>
          </w:tcPr>
          <w:p>
            <w:pPr>
              <w:spacing w:after="0"/>
              <w:rPr>
                <w:sz w:val="1"/>
                <w:szCs w:val="1"/>
                <w:color w:val="auto"/>
              </w:rPr>
            </w:pPr>
          </w:p>
        </w:tc>
      </w:tr>
      <w:tr>
        <w:trPr>
          <w:trHeight w:val="203"/>
        </w:trPr>
        <w:tc>
          <w:tcPr>
            <w:tcW w:w="562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82,081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91,744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238,437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244,861</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5,096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5,798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16,099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14,875</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6,682</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6,846</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16,203</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20,216</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66,950</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68,015</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190,556</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188,793</w:t>
            </w:r>
          </w:p>
        </w:tc>
        <w:tc>
          <w:tcPr>
            <w:tcW w:w="0" w:type="dxa"/>
            <w:vAlign w:val="bottom"/>
          </w:tcPr>
          <w:p>
            <w:pPr>
              <w:spacing w:after="0"/>
              <w:rPr>
                <w:sz w:val="1"/>
                <w:szCs w:val="1"/>
                <w:color w:val="auto"/>
              </w:rPr>
            </w:pPr>
          </w:p>
        </w:tc>
      </w:tr>
      <w:tr>
        <w:trPr>
          <w:trHeight w:val="202"/>
        </w:trPr>
        <w:tc>
          <w:tcPr>
            <w:tcW w:w="56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Gross profit</w:t>
            </w: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339,694</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297,885</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990,694</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807,159</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Expenses: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151,983</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140,116</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449,685</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428,389</w:t>
            </w:r>
          </w:p>
        </w:tc>
        <w:tc>
          <w:tcPr>
            <w:tcW w:w="0" w:type="dxa"/>
            <w:vAlign w:val="bottom"/>
          </w:tcPr>
          <w:p>
            <w:pPr>
              <w:spacing w:after="0"/>
              <w:rPr>
                <w:sz w:val="1"/>
                <w:szCs w:val="1"/>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17,852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15,656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52,371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45,969</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96</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160</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6,885</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(8,336)</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(2,520)</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(14,533)</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(7,597)</w:t>
            </w:r>
          </w:p>
        </w:tc>
        <w:tc>
          <w:tcPr>
            <w:tcW w:w="0" w:type="dxa"/>
            <w:vAlign w:val="bottom"/>
          </w:tcPr>
          <w:p>
            <w:pPr>
              <w:spacing w:after="0"/>
              <w:rPr>
                <w:sz w:val="1"/>
                <w:szCs w:val="1"/>
                <w:color w:val="auto"/>
              </w:rPr>
            </w:pPr>
          </w:p>
        </w:tc>
      </w:tr>
      <w:tr>
        <w:trPr>
          <w:trHeight w:val="202"/>
        </w:trPr>
        <w:tc>
          <w:tcPr>
            <w:tcW w:w="56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Operating income</w:t>
            </w: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178,099</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144,473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496,286</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340,274</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53,803</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38,009</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145,915</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101,732</w:t>
            </w:r>
          </w:p>
        </w:tc>
        <w:tc>
          <w:tcPr>
            <w:tcW w:w="0" w:type="dxa"/>
            <w:vAlign w:val="bottom"/>
          </w:tcPr>
          <w:p>
            <w:pPr>
              <w:spacing w:after="0"/>
              <w:rPr>
                <w:sz w:val="1"/>
                <w:szCs w:val="1"/>
                <w:color w:val="auto"/>
              </w:rPr>
            </w:pPr>
          </w:p>
        </w:tc>
      </w:tr>
      <w:tr>
        <w:trPr>
          <w:trHeight w:val="20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124,296</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106,464</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350,371</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238,542</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32,780</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28,288</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94,855</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61,219</w:t>
            </w:r>
          </w:p>
        </w:tc>
        <w:tc>
          <w:tcPr>
            <w:tcW w:w="0" w:type="dxa"/>
            <w:vAlign w:val="bottom"/>
          </w:tcPr>
          <w:p>
            <w:pPr>
              <w:spacing w:after="0"/>
              <w:rPr>
                <w:sz w:val="1"/>
                <w:szCs w:val="1"/>
                <w:color w:val="auto"/>
              </w:rPr>
            </w:pPr>
          </w:p>
        </w:tc>
      </w:tr>
      <w:tr>
        <w:trPr>
          <w:trHeight w:val="199"/>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2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91,516</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78,176</w:t>
            </w: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255,516</w:t>
            </w: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177,323</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20,285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4,003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53,212</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60" w:type="dxa"/>
            <w:vAlign w:val="bottom"/>
            <w:shd w:val="clear" w:color="auto" w:fill="DBDBDB"/>
          </w:tcPr>
          <w:p>
            <w:pPr>
              <w:spacing w:after="0"/>
              <w:rPr>
                <w:sz w:val="18"/>
                <w:szCs w:val="18"/>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34,049</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176,078</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34,049</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3,917</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45,468</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11,444</w:t>
            </w:r>
          </w:p>
        </w:tc>
        <w:tc>
          <w:tcPr>
            <w:tcW w:w="0" w:type="dxa"/>
            <w:vAlign w:val="bottom"/>
          </w:tcPr>
          <w:p>
            <w:pPr>
              <w:spacing w:after="0"/>
              <w:rPr>
                <w:sz w:val="1"/>
                <w:szCs w:val="1"/>
                <w:color w:val="auto"/>
              </w:rPr>
            </w:pPr>
          </w:p>
        </w:tc>
      </w:tr>
      <w:tr>
        <w:trPr>
          <w:trHeight w:val="199"/>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260" w:type="dxa"/>
            <w:vAlign w:val="bottom"/>
            <w:shd w:val="clear" w:color="auto" w:fill="DBDBDB"/>
          </w:tcPr>
          <w:p>
            <w:pPr>
              <w:spacing w:after="0"/>
              <w:rPr>
                <w:sz w:val="17"/>
                <w:szCs w:val="17"/>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50,417</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134,613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75,817</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DBDBDB"/>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91,516</w:t>
            </w: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128,593</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390,129</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253,140</w:t>
            </w:r>
          </w:p>
        </w:tc>
        <w:tc>
          <w:tcPr>
            <w:tcW w:w="0" w:type="dxa"/>
            <w:vAlign w:val="bottom"/>
          </w:tcPr>
          <w:p>
            <w:pPr>
              <w:spacing w:after="0"/>
              <w:rPr>
                <w:sz w:val="1"/>
                <w:szCs w:val="1"/>
                <w:color w:val="auto"/>
              </w:rPr>
            </w:pPr>
          </w:p>
        </w:tc>
      </w:tr>
      <w:tr>
        <w:trPr>
          <w:trHeight w:val="20"/>
        </w:trPr>
        <w:tc>
          <w:tcPr>
            <w:tcW w:w="6960" w:type="dxa"/>
            <w:vAlign w:val="bottom"/>
            <w:tcBorders>
              <w:top w:val="single" w:sz="8" w:color="DBDBDB"/>
            </w:tcBorders>
            <w:gridSpan w:val="3"/>
          </w:tcPr>
          <w:p>
            <w:pPr>
              <w:spacing w:after="0" w:line="20" w:lineRule="exact"/>
              <w:rPr>
                <w:sz w:val="1"/>
                <w:szCs w:val="1"/>
                <w:color w:val="auto"/>
              </w:rPr>
            </w:pPr>
          </w:p>
        </w:tc>
        <w:tc>
          <w:tcPr>
            <w:tcW w:w="440" w:type="dxa"/>
            <w:vAlign w:val="bottom"/>
            <w:tcBorders>
              <w:top w:val="single" w:sz="8" w:color="DBDBDB"/>
            </w:tcBorders>
            <w:gridSpan w:val="2"/>
          </w:tcPr>
          <w:p>
            <w:pPr>
              <w:spacing w:after="0" w:line="20" w:lineRule="exact"/>
              <w:rPr>
                <w:sz w:val="1"/>
                <w:szCs w:val="1"/>
                <w:color w:val="auto"/>
              </w:rPr>
            </w:pPr>
          </w:p>
        </w:tc>
        <w:tc>
          <w:tcPr>
            <w:tcW w:w="9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7400" w:type="dxa"/>
            <w:vAlign w:val="bottom"/>
            <w:gridSpan w:val="5"/>
            <w:shd w:val="clear" w:color="auto" w:fill="DBDBDB"/>
          </w:tcPr>
          <w:p>
            <w:pPr>
              <w:ind w:left="20"/>
              <w:spacing w:after="0"/>
              <w:rPr>
                <w:sz w:val="20"/>
                <w:szCs w:val="20"/>
                <w:color w:val="auto"/>
              </w:rPr>
            </w:pPr>
            <w:r>
              <w:rPr>
                <w:rFonts w:ascii="Arial" w:cs="Arial" w:eastAsia="Arial" w:hAnsi="Arial"/>
                <w:sz w:val="15"/>
                <w:szCs w:val="15"/>
                <w:color w:val="auto"/>
              </w:rPr>
              <w:t>Earnings per share from continuing operations attributable to WillScot Mobile Mini common shareholders:</w:t>
            </w:r>
          </w:p>
        </w:tc>
        <w:tc>
          <w:tcPr>
            <w:tcW w:w="9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0.47</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0.36</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1.27</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0.80</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Diluted</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0.46</w:t>
            </w:r>
          </w:p>
        </w:tc>
        <w:tc>
          <w:tcPr>
            <w:tcW w:w="8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0.36</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0.79</w:t>
            </w:r>
          </w:p>
        </w:tc>
        <w:tc>
          <w:tcPr>
            <w:tcW w:w="0" w:type="dxa"/>
            <w:vAlign w:val="bottom"/>
          </w:tcPr>
          <w:p>
            <w:pPr>
              <w:spacing w:after="0"/>
              <w:rPr>
                <w:sz w:val="1"/>
                <w:szCs w:val="1"/>
                <w:color w:val="auto"/>
              </w:rPr>
            </w:pPr>
          </w:p>
        </w:tc>
      </w:tr>
      <w:tr>
        <w:trPr>
          <w:trHeight w:val="209"/>
        </w:trPr>
        <w:tc>
          <w:tcPr>
            <w:tcW w:w="7400" w:type="dxa"/>
            <w:vAlign w:val="bottom"/>
            <w:gridSpan w:val="5"/>
            <w:shd w:val="clear" w:color="auto" w:fill="DBDBDB"/>
          </w:tcPr>
          <w:p>
            <w:pPr>
              <w:ind w:left="20"/>
              <w:spacing w:after="0"/>
              <w:rPr>
                <w:sz w:val="20"/>
                <w:szCs w:val="20"/>
                <w:color w:val="auto"/>
              </w:rPr>
            </w:pPr>
            <w:r>
              <w:rPr>
                <w:rFonts w:ascii="Arial" w:cs="Arial" w:eastAsia="Arial" w:hAnsi="Arial"/>
                <w:sz w:val="15"/>
                <w:szCs w:val="15"/>
                <w:color w:val="auto"/>
              </w:rPr>
              <w:t>Earnings per share from discontinued operations attributable to WillScot Mobile Mini common shareholders:</w:t>
            </w: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0.24</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0.67</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0.35</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0.23</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0.66</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Earnings per share attributable to WillScot Mobile Mini common shareholders: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0.47</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0.60</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1.94</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Diluted</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0.46</w:t>
            </w:r>
          </w:p>
        </w:tc>
        <w:tc>
          <w:tcPr>
            <w:tcW w:w="8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0.59</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1.91</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Basic</w:t>
            </w: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196,198,638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213,636,876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201,042,902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219,312,260</w:t>
            </w:r>
          </w:p>
        </w:tc>
        <w:tc>
          <w:tcPr>
            <w:tcW w:w="0" w:type="dxa"/>
            <w:vAlign w:val="bottom"/>
          </w:tcPr>
          <w:p>
            <w:pPr>
              <w:spacing w:after="0"/>
              <w:rPr>
                <w:sz w:val="1"/>
                <w:szCs w:val="1"/>
                <w:color w:val="auto"/>
              </w:rPr>
            </w:pPr>
          </w:p>
        </w:tc>
      </w:tr>
      <w:tr>
        <w:trPr>
          <w:trHeight w:val="209"/>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199,258,304</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217,927,725</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204,461,042</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223,933,319</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60325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592" w:right="339" w:bottom="1440" w:gutter="0" w:footer="0" w:header="0"/>
        </w:sectPr>
      </w:pPr>
    </w:p>
    <w:bookmarkStart w:id="4" w:name="page5"/>
    <w:bookmarkEnd w:id="4"/>
    <w:p>
      <w:pPr>
        <w:jc w:val="center"/>
        <w:spacing w:after="0" w:line="282" w:lineRule="auto"/>
        <w:rPr>
          <w:sz w:val="20"/>
          <w:szCs w:val="20"/>
          <w:color w:val="auto"/>
        </w:rPr>
      </w:pPr>
      <w:r>
        <w:rPr>
          <w:rFonts w:ascii="Arial" w:cs="Arial" w:eastAsia="Arial" w:hAnsi="Arial"/>
          <w:sz w:val="22"/>
          <w:szCs w:val="22"/>
          <w:color w:val="1D2758"/>
        </w:rPr>
        <w:t>WillScot Mobile Mini Holdings Corp. Condensed Consolidated Statements of Comprehensive Income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2580" w:type="dxa"/>
            <w:vAlign w:val="bottom"/>
            <w:gridSpan w:val="5"/>
            <w:shd w:val="clear" w:color="auto" w:fill="1D2758"/>
          </w:tcPr>
          <w:p>
            <w:pPr>
              <w:ind w:left="340"/>
              <w:spacing w:after="0"/>
              <w:rPr>
                <w:sz w:val="20"/>
                <w:szCs w:val="20"/>
                <w:color w:val="auto"/>
              </w:rPr>
            </w:pPr>
            <w:r>
              <w:rPr>
                <w:rFonts w:ascii="Arial" w:cs="Arial" w:eastAsia="Arial" w:hAnsi="Arial"/>
                <w:sz w:val="15"/>
                <w:szCs w:val="15"/>
                <w:b w:val="1"/>
                <w:bCs w:val="1"/>
                <w:color w:val="FFFFFF"/>
              </w:rPr>
              <w:t>Three Months Ended</w:t>
            </w:r>
          </w:p>
        </w:tc>
        <w:tc>
          <w:tcPr>
            <w:tcW w:w="320" w:type="dxa"/>
            <w:vAlign w:val="bottom"/>
            <w:shd w:val="clear" w:color="auto" w:fill="1D2758"/>
          </w:tcPr>
          <w:p>
            <w:pPr>
              <w:spacing w:after="0"/>
              <w:rPr>
                <w:sz w:val="14"/>
                <w:szCs w:val="14"/>
                <w:color w:val="auto"/>
              </w:rPr>
            </w:pPr>
          </w:p>
        </w:tc>
        <w:tc>
          <w:tcPr>
            <w:tcW w:w="2600" w:type="dxa"/>
            <w:vAlign w:val="bottom"/>
            <w:gridSpan w:val="4"/>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54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16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8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7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9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06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86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w w:val="95"/>
              </w:rPr>
              <w:t>2022</w:t>
            </w:r>
          </w:p>
        </w:tc>
        <w:tc>
          <w:tcPr>
            <w:tcW w:w="8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00" w:type="dxa"/>
            <w:vAlign w:val="bottom"/>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900" w:type="dxa"/>
            <w:vAlign w:val="bottom"/>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544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106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86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110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90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91,516</w:t>
            </w: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128,593</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390,129</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253,140</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Foreign currency translation adjustment, net of income tax expense of $0</w:t>
            </w:r>
          </w:p>
        </w:tc>
        <w:tc>
          <w:tcPr>
            <w:tcW w:w="30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40" w:type="dxa"/>
            <w:vAlign w:val="bottom"/>
            <w:shd w:val="clear" w:color="auto" w:fill="DBDBDB"/>
          </w:tcPr>
          <w:p>
            <w:pPr>
              <w:ind w:left="220"/>
              <w:spacing w:after="0" w:line="155" w:lineRule="exact"/>
              <w:rPr>
                <w:sz w:val="20"/>
                <w:szCs w:val="20"/>
                <w:color w:val="auto"/>
              </w:rPr>
            </w:pPr>
            <w:r>
              <w:rPr>
                <w:rFonts w:ascii="Arial" w:cs="Arial" w:eastAsia="Arial" w:hAnsi="Arial"/>
                <w:sz w:val="15"/>
                <w:szCs w:val="15"/>
                <w:color w:val="auto"/>
              </w:rPr>
              <w:t>for both the three and nine months ended September 30, 2023 and 2022,</w:t>
            </w:r>
          </w:p>
        </w:tc>
        <w:tc>
          <w:tcPr>
            <w:tcW w:w="30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(6,732)</w:t>
            </w: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7,117</w:t>
            </w:r>
          </w:p>
        </w:tc>
        <w:tc>
          <w:tcPr>
            <w:tcW w:w="8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(67,435)</w:t>
            </w:r>
          </w:p>
        </w:tc>
        <w:tc>
          <w:tcPr>
            <w:tcW w:w="0" w:type="dxa"/>
            <w:vAlign w:val="bottom"/>
          </w:tcPr>
          <w:p>
            <w:pPr>
              <w:spacing w:after="0"/>
              <w:rPr>
                <w:sz w:val="1"/>
                <w:szCs w:val="1"/>
                <w:color w:val="auto"/>
              </w:rPr>
            </w:pPr>
          </w:p>
        </w:tc>
      </w:tr>
      <w:tr>
        <w:trPr>
          <w:trHeight w:val="202"/>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respectively.</w:t>
            </w:r>
          </w:p>
        </w:tc>
        <w:tc>
          <w:tcPr>
            <w:tcW w:w="300" w:type="dxa"/>
            <w:vAlign w:val="bottom"/>
            <w:shd w:val="clear" w:color="auto" w:fill="DBDBDB"/>
          </w:tcPr>
          <w:p>
            <w:pPr>
              <w:spacing w:after="0"/>
              <w:rPr>
                <w:sz w:val="17"/>
                <w:szCs w:val="17"/>
                <w:color w:val="auto"/>
              </w:rPr>
            </w:pPr>
          </w:p>
        </w:tc>
        <w:tc>
          <w:tcPr>
            <w:tcW w:w="10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9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440" w:type="dxa"/>
            <w:vAlign w:val="bottom"/>
          </w:tcPr>
          <w:p>
            <w:pPr>
              <w:ind w:left="220"/>
              <w:spacing w:after="0" w:line="159" w:lineRule="exact"/>
              <w:rPr>
                <w:sz w:val="20"/>
                <w:szCs w:val="20"/>
                <w:color w:val="auto"/>
              </w:rPr>
            </w:pPr>
            <w:r>
              <w:rPr>
                <w:rFonts w:ascii="Arial" w:cs="Arial" w:eastAsia="Arial" w:hAnsi="Arial"/>
                <w:sz w:val="15"/>
                <w:szCs w:val="15"/>
                <w:color w:val="auto"/>
              </w:rPr>
              <w:t>Net gain on derivatives, net of income tax expense of $2,247 for the three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40" w:type="dxa"/>
            <w:vAlign w:val="bottom"/>
          </w:tcPr>
          <w:p>
            <w:pPr>
              <w:ind w:left="220"/>
              <w:spacing w:after="0" w:line="155" w:lineRule="exact"/>
              <w:rPr>
                <w:sz w:val="20"/>
                <w:szCs w:val="20"/>
                <w:color w:val="auto"/>
              </w:rPr>
            </w:pPr>
            <w:r>
              <w:rPr>
                <w:rFonts w:ascii="Arial" w:cs="Arial" w:eastAsia="Arial" w:hAnsi="Arial"/>
                <w:sz w:val="15"/>
                <w:szCs w:val="15"/>
                <w:color w:val="auto"/>
              </w:rPr>
              <w:t>months ended September 30, 2023, and $6,293 and $1,171 for the nine</w:t>
            </w:r>
          </w:p>
        </w:tc>
        <w:tc>
          <w:tcPr>
            <w:tcW w:w="300" w:type="dxa"/>
            <w:vAlign w:val="bottom"/>
          </w:tcPr>
          <w:p>
            <w:pPr>
              <w:spacing w:after="0"/>
              <w:rPr>
                <w:sz w:val="13"/>
                <w:szCs w:val="13"/>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color w:val="auto"/>
              </w:rPr>
              <w:t>6,768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5"/>
                <w:szCs w:val="15"/>
                <w:color w:val="auto"/>
              </w:rPr>
              <w:t>18,932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3,497</w:t>
            </w:r>
          </w:p>
        </w:tc>
        <w:tc>
          <w:tcPr>
            <w:tcW w:w="0" w:type="dxa"/>
            <w:vAlign w:val="bottom"/>
          </w:tcPr>
          <w:p>
            <w:pPr>
              <w:spacing w:after="0"/>
              <w:rPr>
                <w:sz w:val="1"/>
                <w:szCs w:val="1"/>
                <w:color w:val="auto"/>
              </w:rPr>
            </w:pPr>
          </w:p>
        </w:tc>
      </w:tr>
      <w:tr>
        <w:trPr>
          <w:trHeight w:val="199"/>
        </w:trPr>
        <w:tc>
          <w:tcPr>
            <w:tcW w:w="5440" w:type="dxa"/>
            <w:vAlign w:val="bottom"/>
          </w:tcPr>
          <w:p>
            <w:pPr>
              <w:ind w:left="220"/>
              <w:spacing w:after="0"/>
              <w:rPr>
                <w:sz w:val="20"/>
                <w:szCs w:val="20"/>
                <w:color w:val="auto"/>
              </w:rPr>
            </w:pPr>
            <w:r>
              <w:rPr>
                <w:rFonts w:ascii="Arial" w:cs="Arial" w:eastAsia="Arial" w:hAnsi="Arial"/>
                <w:sz w:val="15"/>
                <w:szCs w:val="15"/>
                <w:color w:val="auto"/>
              </w:rPr>
              <w:t>months ended September 30, 2023 and 2022, respectively.</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other comprehensive income (loss)</w:t>
            </w:r>
          </w:p>
        </w:tc>
        <w:tc>
          <w:tcPr>
            <w:tcW w:w="300" w:type="dxa"/>
            <w:vAlign w:val="bottom"/>
            <w:tcBorders>
              <w:top w:val="single" w:sz="8" w:color="auto"/>
              <w:bottom w:val="single" w:sz="8" w:color="auto"/>
            </w:tcBorders>
            <w:shd w:val="clear" w:color="auto" w:fill="DBDBDB"/>
          </w:tcPr>
          <w:p>
            <w:pPr>
              <w:spacing w:after="0"/>
              <w:rPr>
                <w:sz w:val="17"/>
                <w:szCs w:val="17"/>
                <w:color w:val="auto"/>
              </w:rPr>
            </w:pPr>
          </w:p>
        </w:tc>
        <w:tc>
          <w:tcPr>
            <w:tcW w:w="106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36</w:t>
            </w:r>
          </w:p>
        </w:tc>
        <w:tc>
          <w:tcPr>
            <w:tcW w:w="80" w:type="dxa"/>
            <w:vAlign w:val="bottom"/>
            <w:tcBorders>
              <w:top w:val="single" w:sz="8" w:color="DBDBDB"/>
            </w:tcBorders>
            <w:shd w:val="clear" w:color="auto" w:fill="DBDBDB"/>
          </w:tcPr>
          <w:p>
            <w:pPr>
              <w:spacing w:after="0"/>
              <w:rPr>
                <w:sz w:val="17"/>
                <w:szCs w:val="17"/>
                <w:color w:val="auto"/>
              </w:rPr>
            </w:pP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8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bottom w:val="single" w:sz="8" w:color="auto"/>
            </w:tcBorders>
            <w:shd w:val="clear" w:color="auto" w:fill="DBDBDB"/>
          </w:tcPr>
          <w:p>
            <w:pPr>
              <w:spacing w:after="0"/>
              <w:rPr>
                <w:sz w:val="17"/>
                <w:szCs w:val="17"/>
                <w:color w:val="auto"/>
              </w:rPr>
            </w:pPr>
          </w:p>
        </w:tc>
        <w:tc>
          <w:tcPr>
            <w:tcW w:w="110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26,049</w:t>
            </w:r>
          </w:p>
        </w:tc>
        <w:tc>
          <w:tcPr>
            <w:tcW w:w="80" w:type="dxa"/>
            <w:vAlign w:val="bottom"/>
            <w:tcBorders>
              <w:top w:val="single" w:sz="8" w:color="DBDBDB"/>
            </w:tcBorders>
            <w:shd w:val="clear" w:color="auto" w:fill="DBDBDB"/>
          </w:tcPr>
          <w:p>
            <w:pPr>
              <w:spacing w:after="0"/>
              <w:rPr>
                <w:sz w:val="17"/>
                <w:szCs w:val="17"/>
                <w:color w:val="auto"/>
              </w:rPr>
            </w:pPr>
          </w:p>
        </w:tc>
        <w:tc>
          <w:tcPr>
            <w:tcW w:w="520" w:type="dxa"/>
            <w:vAlign w:val="bottom"/>
            <w:tcBorders>
              <w:top w:val="single" w:sz="8" w:color="auto"/>
              <w:bottom w:val="single" w:sz="8" w:color="auto"/>
            </w:tcBorders>
            <w:shd w:val="clear" w:color="auto" w:fill="DBDBDB"/>
          </w:tcPr>
          <w:p>
            <w:pPr>
              <w:spacing w:after="0"/>
              <w:rPr>
                <w:sz w:val="17"/>
                <w:szCs w:val="17"/>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(63,938)</w:t>
            </w: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91,552</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90,860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416,178</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189,202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5" w:name="page6"/>
    <w:bookmarkEnd w:id="5"/>
    <w:p>
      <w:pPr>
        <w:jc w:val="center"/>
        <w:spacing w:after="0" w:line="282" w:lineRule="auto"/>
        <w:rPr>
          <w:sz w:val="20"/>
          <w:szCs w:val="20"/>
          <w:color w:val="auto"/>
        </w:rPr>
      </w:pPr>
      <w:r>
        <w:rPr>
          <w:rFonts w:ascii="Arial" w:cs="Arial" w:eastAsia="Arial" w:hAnsi="Arial"/>
          <w:sz w:val="22"/>
          <w:szCs w:val="22"/>
          <w:color w:val="1D2758"/>
        </w:rPr>
        <w:t>WillScot Mobile Mini Holdings Corp. Condensed Consolidated Statements of Changes in Equity (Unaudited)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80" w:type="dxa"/>
            <w:vAlign w:val="bottom"/>
            <w:gridSpan w:val="6"/>
            <w:shd w:val="clear" w:color="auto" w:fill="1D2758"/>
          </w:tcPr>
          <w:p>
            <w:pPr>
              <w:ind w:left="4140"/>
              <w:spacing w:after="0"/>
              <w:rPr>
                <w:sz w:val="20"/>
                <w:szCs w:val="20"/>
                <w:color w:val="auto"/>
              </w:rPr>
            </w:pPr>
            <w:r>
              <w:rPr>
                <w:rFonts w:ascii="Arial" w:cs="Arial" w:eastAsia="Arial" w:hAnsi="Arial"/>
                <w:sz w:val="15"/>
                <w:szCs w:val="15"/>
                <w:b w:val="1"/>
                <w:bCs w:val="1"/>
                <w:color w:val="FFFFFF"/>
              </w:rPr>
              <w:t>Nine Months Ended September 30, 2023</w:t>
            </w: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60" w:type="dxa"/>
            <w:vAlign w:val="bottom"/>
            <w:shd w:val="clear" w:color="auto" w:fill="1D2758"/>
          </w:tcPr>
          <w:p>
            <w:pPr>
              <w:spacing w:after="0"/>
              <w:rPr>
                <w:sz w:val="15"/>
                <w:szCs w:val="15"/>
                <w:color w:val="auto"/>
              </w:rPr>
            </w:pPr>
          </w:p>
        </w:tc>
        <w:tc>
          <w:tcPr>
            <w:tcW w:w="202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00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12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92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8"/>
        </w:trPr>
        <w:tc>
          <w:tcPr>
            <w:tcW w:w="4260" w:type="dxa"/>
            <w:vAlign w:val="bottom"/>
            <w:shd w:val="clear" w:color="auto" w:fill="1D2758"/>
          </w:tcPr>
          <w:p>
            <w:pPr>
              <w:spacing w:after="0"/>
              <w:rPr>
                <w:sz w:val="14"/>
                <w:szCs w:val="14"/>
                <w:color w:val="auto"/>
              </w:rPr>
            </w:pPr>
          </w:p>
        </w:tc>
        <w:tc>
          <w:tcPr>
            <w:tcW w:w="202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0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120" w:type="dxa"/>
            <w:vAlign w:val="bottom"/>
            <w:shd w:val="clear" w:color="auto" w:fill="1D2758"/>
          </w:tcPr>
          <w:p>
            <w:pPr>
              <w:jc w:val="center"/>
              <w:ind w:right="23"/>
              <w:spacing w:after="0" w:line="168" w:lineRule="exact"/>
              <w:rPr>
                <w:sz w:val="20"/>
                <w:szCs w:val="20"/>
                <w:color w:val="auto"/>
              </w:rPr>
            </w:pPr>
            <w:r>
              <w:rPr>
                <w:rFonts w:ascii="Arial" w:cs="Arial" w:eastAsia="Arial" w:hAnsi="Arial"/>
                <w:sz w:val="15"/>
                <w:szCs w:val="15"/>
                <w:b w:val="1"/>
                <w:bCs w:val="1"/>
                <w:color w:val="FFFFFF"/>
              </w:rPr>
              <w:t>Other</w:t>
            </w:r>
          </w:p>
        </w:tc>
        <w:tc>
          <w:tcPr>
            <w:tcW w:w="22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92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vMerge w:val="restart"/>
            <w:shd w:val="clear" w:color="auto" w:fill="1D2758"/>
          </w:tcPr>
          <w:p>
            <w:pPr>
              <w:spacing w:after="0"/>
              <w:rPr>
                <w:sz w:val="20"/>
                <w:szCs w:val="20"/>
                <w:color w:val="auto"/>
              </w:rPr>
            </w:pPr>
            <w:r>
              <w:rPr>
                <w:rFonts w:ascii="Arial" w:cs="Arial" w:eastAsia="Arial" w:hAnsi="Arial"/>
                <w:sz w:val="15"/>
                <w:szCs w:val="15"/>
                <w:b w:val="1"/>
                <w:bCs w:val="1"/>
                <w:i w:val="1"/>
                <w:iCs w:val="1"/>
                <w:color w:val="FFFFFF"/>
              </w:rPr>
              <w:t>(in thousands)</w:t>
            </w:r>
          </w:p>
        </w:tc>
        <w:tc>
          <w:tcPr>
            <w:tcW w:w="112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9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2"/>
                <w:szCs w:val="12"/>
                <w:color w:val="auto"/>
              </w:rPr>
            </w:pPr>
          </w:p>
        </w:tc>
        <w:tc>
          <w:tcPr>
            <w:tcW w:w="140" w:type="dxa"/>
            <w:vAlign w:val="bottom"/>
            <w:shd w:val="clear" w:color="auto" w:fill="1D2758"/>
          </w:tcPr>
          <w:p>
            <w:pPr>
              <w:spacing w:after="0"/>
              <w:rPr>
                <w:sz w:val="12"/>
                <w:szCs w:val="12"/>
                <w:color w:val="auto"/>
              </w:rPr>
            </w:pPr>
          </w:p>
        </w:tc>
        <w:tc>
          <w:tcPr>
            <w:tcW w:w="1000" w:type="dxa"/>
            <w:vAlign w:val="bottom"/>
            <w:shd w:val="clear" w:color="auto" w:fill="1D2758"/>
          </w:tcPr>
          <w:p>
            <w:pPr>
              <w:jc w:val="right"/>
              <w:ind w:right="103"/>
              <w:spacing w:after="0" w:line="142"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shd w:val="clear" w:color="auto" w:fill="1D2758"/>
          </w:tcPr>
          <w:p>
            <w:pPr>
              <w:jc w:val="right"/>
              <w:ind w:right="3"/>
              <w:spacing w:after="0" w:line="142" w:lineRule="exact"/>
              <w:rPr>
                <w:sz w:val="20"/>
                <w:szCs w:val="20"/>
                <w:color w:val="auto"/>
              </w:rPr>
            </w:pPr>
            <w:r>
              <w:rPr>
                <w:rFonts w:ascii="Arial" w:cs="Arial" w:eastAsia="Arial" w:hAnsi="Arial"/>
                <w:sz w:val="15"/>
                <w:szCs w:val="15"/>
                <w:b w:val="1"/>
                <w:bCs w:val="1"/>
                <w:color w:val="FFFFFF"/>
              </w:rPr>
              <w:t>Accumulated</w:t>
            </w:r>
          </w:p>
        </w:tc>
        <w:tc>
          <w:tcPr>
            <w:tcW w:w="116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06"/>
        </w:trPr>
        <w:tc>
          <w:tcPr>
            <w:tcW w:w="4260" w:type="dxa"/>
            <w:vAlign w:val="bottom"/>
            <w:vMerge w:val="continue"/>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9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Deficit</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spacing w:after="0"/>
              <w:rPr>
                <w:sz w:val="20"/>
                <w:szCs w:val="20"/>
                <w:color w:val="auto"/>
              </w:rPr>
            </w:pPr>
            <w:r>
              <w:rPr>
                <w:rFonts w:ascii="Arial" w:cs="Arial" w:eastAsia="Arial" w:hAnsi="Arial"/>
                <w:sz w:val="15"/>
                <w:szCs w:val="15"/>
                <w:color w:val="auto"/>
              </w:rPr>
              <w:t>Balance at December 31, 2022</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207,952</w:t>
            </w:r>
          </w:p>
        </w:tc>
        <w:tc>
          <w:tcPr>
            <w:tcW w:w="90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w:t>
            </w:r>
          </w:p>
        </w:tc>
        <w:tc>
          <w:tcPr>
            <w:tcW w:w="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2,886,951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(1,251,550)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03"/>
        </w:trPr>
        <w:tc>
          <w:tcPr>
            <w:tcW w:w="4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210,884</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210,884</w:t>
            </w:r>
          </w:p>
        </w:tc>
        <w:tc>
          <w:tcPr>
            <w:tcW w:w="0" w:type="dxa"/>
            <w:vAlign w:val="bottom"/>
          </w:tcPr>
          <w:p>
            <w:pPr>
              <w:spacing w:after="0"/>
              <w:rPr>
                <w:sz w:val="1"/>
                <w:szCs w:val="1"/>
                <w:color w:val="auto"/>
              </w:rPr>
            </w:pPr>
          </w:p>
        </w:tc>
      </w:tr>
      <w:tr>
        <w:trPr>
          <w:trHeight w:val="209"/>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7,267</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7,267</w:t>
            </w:r>
          </w:p>
        </w:tc>
        <w:tc>
          <w:tcPr>
            <w:tcW w:w="0" w:type="dxa"/>
            <w:vAlign w:val="bottom"/>
          </w:tcPr>
          <w:p>
            <w:pPr>
              <w:spacing w:after="0"/>
              <w:rPr>
                <w:sz w:val="1"/>
                <w:szCs w:val="1"/>
                <w:color w:val="auto"/>
              </w:rPr>
            </w:pPr>
          </w:p>
        </w:tc>
      </w:tr>
      <w:tr>
        <w:trPr>
          <w:trHeight w:val="159"/>
        </w:trPr>
        <w:tc>
          <w:tcPr>
            <w:tcW w:w="4260" w:type="dxa"/>
            <w:vAlign w:val="bottom"/>
          </w:tcPr>
          <w:p>
            <w:pPr>
              <w:ind w:left="220"/>
              <w:spacing w:after="0" w:line="159"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0" w:type="dxa"/>
            <w:vAlign w:val="bottom"/>
          </w:tcPr>
          <w:p>
            <w:pPr>
              <w:spacing w:after="0"/>
              <w:rPr>
                <w:sz w:val="1"/>
                <w:szCs w:val="1"/>
                <w:color w:val="auto"/>
              </w:rPr>
            </w:pPr>
          </w:p>
        </w:tc>
      </w:tr>
      <w:tr>
        <w:trPr>
          <w:trHeight w:val="199"/>
        </w:trPr>
        <w:tc>
          <w:tcPr>
            <w:tcW w:w="42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355</w:t>
            </w:r>
          </w:p>
        </w:tc>
        <w:tc>
          <w:tcPr>
            <w:tcW w:w="90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8,150</w:t>
            </w:r>
          </w:p>
        </w:tc>
        <w:tc>
          <w:tcPr>
            <w:tcW w:w="120" w:type="dxa"/>
            <w:vAlign w:val="bottom"/>
            <w:shd w:val="clear" w:color="auto" w:fill="DBDBDB"/>
          </w:tcPr>
          <w:p>
            <w:pPr>
              <w:spacing w:after="0"/>
              <w:rPr>
                <w:sz w:val="14"/>
                <w:szCs w:val="14"/>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8,150</w:t>
            </w:r>
          </w:p>
        </w:tc>
        <w:tc>
          <w:tcPr>
            <w:tcW w:w="0" w:type="dxa"/>
            <w:vAlign w:val="bottom"/>
          </w:tcPr>
          <w:p>
            <w:pPr>
              <w:spacing w:after="0"/>
              <w:rPr>
                <w:sz w:val="1"/>
                <w:szCs w:val="1"/>
                <w:color w:val="auto"/>
              </w:rPr>
            </w:pPr>
          </w:p>
        </w:tc>
      </w:tr>
      <w:tr>
        <w:trPr>
          <w:trHeight w:val="202"/>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20" w:type="dxa"/>
            <w:vAlign w:val="bottom"/>
          </w:tcPr>
          <w:p>
            <w:pPr>
              <w:jc w:val="right"/>
              <w:spacing w:after="0"/>
              <w:rPr>
                <w:sz w:val="20"/>
                <w:szCs w:val="20"/>
                <w:color w:val="auto"/>
              </w:rPr>
            </w:pPr>
            <w:r>
              <w:rPr>
                <w:rFonts w:ascii="Arial" w:cs="Arial" w:eastAsia="Arial" w:hAnsi="Arial"/>
                <w:sz w:val="15"/>
                <w:szCs w:val="15"/>
                <w:color w:val="auto"/>
              </w:rPr>
              <w:t>(4,589)</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(217,687)</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(217,687)</w:t>
            </w:r>
          </w:p>
        </w:tc>
        <w:tc>
          <w:tcPr>
            <w:tcW w:w="0" w:type="dxa"/>
            <w:vAlign w:val="bottom"/>
          </w:tcPr>
          <w:p>
            <w:pPr>
              <w:spacing w:after="0"/>
              <w:rPr>
                <w:sz w:val="1"/>
                <w:szCs w:val="1"/>
                <w:color w:val="auto"/>
              </w:rPr>
            </w:pPr>
          </w:p>
        </w:tc>
      </w:tr>
      <w:tr>
        <w:trPr>
          <w:trHeight w:val="209"/>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w:t>
            </w:r>
          </w:p>
        </w:tc>
        <w:tc>
          <w:tcPr>
            <w:tcW w:w="90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68</w:t>
            </w: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20"/>
                <w:szCs w:val="20"/>
                <w:color w:val="auto"/>
              </w:rPr>
            </w:pPr>
            <w:r>
              <w:rPr>
                <w:rFonts w:ascii="Arial" w:cs="Arial" w:eastAsia="Arial" w:hAnsi="Arial"/>
                <w:sz w:val="15"/>
                <w:szCs w:val="15"/>
                <w:color w:val="auto"/>
              </w:rPr>
              <w:t>Balance at March 31, 2023</w:t>
            </w:r>
          </w:p>
        </w:tc>
        <w:tc>
          <w:tcPr>
            <w:tcW w:w="1120" w:type="dxa"/>
            <w:vAlign w:val="bottom"/>
          </w:tcPr>
          <w:p>
            <w:pPr>
              <w:jc w:val="right"/>
              <w:spacing w:after="0"/>
              <w:rPr>
                <w:sz w:val="20"/>
                <w:szCs w:val="20"/>
                <w:color w:val="auto"/>
              </w:rPr>
            </w:pPr>
            <w:r>
              <w:rPr>
                <w:rFonts w:ascii="Arial" w:cs="Arial" w:eastAsia="Arial" w:hAnsi="Arial"/>
                <w:sz w:val="15"/>
                <w:szCs w:val="15"/>
                <w:color w:val="auto"/>
              </w:rPr>
              <w:t>203,723</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2,667,424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(62,855)</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(1,040,666)</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1,563,924</w:t>
            </w:r>
          </w:p>
        </w:tc>
        <w:tc>
          <w:tcPr>
            <w:tcW w:w="0" w:type="dxa"/>
            <w:vAlign w:val="bottom"/>
          </w:tcPr>
          <w:p>
            <w:pPr>
              <w:spacing w:after="0"/>
              <w:rPr>
                <w:sz w:val="1"/>
                <w:szCs w:val="1"/>
                <w:color w:val="auto"/>
              </w:rPr>
            </w:pPr>
          </w:p>
        </w:tc>
      </w:tr>
      <w:tr>
        <w:trPr>
          <w:trHeight w:val="209"/>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87,729</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87,729</w:t>
            </w:r>
          </w:p>
        </w:tc>
        <w:tc>
          <w:tcPr>
            <w:tcW w:w="0" w:type="dxa"/>
            <w:vAlign w:val="bottom"/>
          </w:tcPr>
          <w:p>
            <w:pPr>
              <w:spacing w:after="0"/>
              <w:rPr>
                <w:sz w:val="1"/>
                <w:szCs w:val="1"/>
                <w:color w:val="auto"/>
              </w:rPr>
            </w:pPr>
          </w:p>
        </w:tc>
      </w:tr>
      <w:tr>
        <w:trPr>
          <w:trHeight w:val="203"/>
        </w:trPr>
        <w:tc>
          <w:tcPr>
            <w:tcW w:w="426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18,746</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18,746</w:t>
            </w:r>
          </w:p>
        </w:tc>
        <w:tc>
          <w:tcPr>
            <w:tcW w:w="0" w:type="dxa"/>
            <w:vAlign w:val="bottom"/>
          </w:tcPr>
          <w:p>
            <w:pPr>
              <w:spacing w:after="0"/>
              <w:rPr>
                <w:sz w:val="1"/>
                <w:szCs w:val="1"/>
                <w:color w:val="auto"/>
              </w:rPr>
            </w:pPr>
          </w:p>
        </w:tc>
      </w:tr>
      <w:tr>
        <w:trPr>
          <w:trHeight w:val="162"/>
        </w:trPr>
        <w:tc>
          <w:tcPr>
            <w:tcW w:w="426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35</w:t>
            </w:r>
          </w:p>
        </w:tc>
        <w:tc>
          <w:tcPr>
            <w:tcW w:w="90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9,348</w:t>
            </w:r>
          </w:p>
        </w:tc>
        <w:tc>
          <w:tcPr>
            <w:tcW w:w="120" w:type="dxa"/>
            <w:vAlign w:val="bottom"/>
            <w:shd w:val="clear" w:color="auto" w:fill="DBDBDB"/>
          </w:tcPr>
          <w:p>
            <w:pPr>
              <w:spacing w:after="0"/>
              <w:rPr>
                <w:sz w:val="14"/>
                <w:szCs w:val="14"/>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9,348</w:t>
            </w:r>
          </w:p>
        </w:tc>
        <w:tc>
          <w:tcPr>
            <w:tcW w:w="0" w:type="dxa"/>
            <w:vAlign w:val="bottom"/>
          </w:tcPr>
          <w:p>
            <w:pPr>
              <w:spacing w:after="0"/>
              <w:rPr>
                <w:sz w:val="1"/>
                <w:szCs w:val="1"/>
                <w:color w:val="auto"/>
              </w:rPr>
            </w:pPr>
          </w:p>
        </w:tc>
      </w:tr>
      <w:tr>
        <w:trPr>
          <w:trHeight w:val="202"/>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20" w:type="dxa"/>
            <w:vAlign w:val="bottom"/>
          </w:tcPr>
          <w:p>
            <w:pPr>
              <w:jc w:val="right"/>
              <w:spacing w:after="0"/>
              <w:rPr>
                <w:sz w:val="20"/>
                <w:szCs w:val="20"/>
                <w:color w:val="auto"/>
              </w:rPr>
            </w:pPr>
            <w:r>
              <w:rPr>
                <w:rFonts w:ascii="Arial" w:cs="Arial" w:eastAsia="Arial" w:hAnsi="Arial"/>
                <w:sz w:val="15"/>
                <w:szCs w:val="15"/>
                <w:color w:val="auto"/>
              </w:rPr>
              <w:t>(5,406)</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(241,545)</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(241,546)</w:t>
            </w:r>
          </w:p>
        </w:tc>
        <w:tc>
          <w:tcPr>
            <w:tcW w:w="0" w:type="dxa"/>
            <w:vAlign w:val="bottom"/>
          </w:tcPr>
          <w:p>
            <w:pPr>
              <w:spacing w:after="0"/>
              <w:rPr>
                <w:sz w:val="1"/>
                <w:szCs w:val="1"/>
                <w:color w:val="auto"/>
              </w:rPr>
            </w:pPr>
          </w:p>
        </w:tc>
      </w:tr>
      <w:tr>
        <w:trPr>
          <w:trHeight w:val="209"/>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w:t>
            </w:r>
          </w:p>
        </w:tc>
        <w:tc>
          <w:tcPr>
            <w:tcW w:w="90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344</w:t>
            </w: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20"/>
                <w:szCs w:val="20"/>
                <w:color w:val="auto"/>
              </w:rPr>
            </w:pPr>
            <w:r>
              <w:rPr>
                <w:rFonts w:ascii="Arial" w:cs="Arial" w:eastAsia="Arial" w:hAnsi="Arial"/>
                <w:sz w:val="15"/>
                <w:szCs w:val="15"/>
                <w:color w:val="auto"/>
              </w:rPr>
              <w:t>Balance at June 30, 2023</w:t>
            </w:r>
          </w:p>
        </w:tc>
        <w:tc>
          <w:tcPr>
            <w:tcW w:w="1120" w:type="dxa"/>
            <w:vAlign w:val="bottom"/>
          </w:tcPr>
          <w:p>
            <w:pPr>
              <w:jc w:val="right"/>
              <w:spacing w:after="0"/>
              <w:rPr>
                <w:sz w:val="20"/>
                <w:szCs w:val="20"/>
                <w:color w:val="auto"/>
              </w:rPr>
            </w:pPr>
            <w:r>
              <w:rPr>
                <w:rFonts w:ascii="Arial" w:cs="Arial" w:eastAsia="Arial" w:hAnsi="Arial"/>
                <w:sz w:val="15"/>
                <w:szCs w:val="15"/>
                <w:color w:val="auto"/>
              </w:rPr>
              <w:t>198,376</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2,435,571</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(44,109)</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(952,937)</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1,438,545</w:t>
            </w:r>
          </w:p>
        </w:tc>
        <w:tc>
          <w:tcPr>
            <w:tcW w:w="0" w:type="dxa"/>
            <w:vAlign w:val="bottom"/>
          </w:tcPr>
          <w:p>
            <w:pPr>
              <w:spacing w:after="0"/>
              <w:rPr>
                <w:sz w:val="1"/>
                <w:szCs w:val="1"/>
                <w:color w:val="auto"/>
              </w:rPr>
            </w:pPr>
          </w:p>
        </w:tc>
      </w:tr>
      <w:tr>
        <w:trPr>
          <w:trHeight w:val="209"/>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91,516</w:t>
            </w:r>
          </w:p>
        </w:tc>
        <w:tc>
          <w:tcPr>
            <w:tcW w:w="0" w:type="dxa"/>
            <w:vAlign w:val="bottom"/>
          </w:tcPr>
          <w:p>
            <w:pPr>
              <w:spacing w:after="0"/>
              <w:rPr>
                <w:sz w:val="1"/>
                <w:szCs w:val="1"/>
                <w:color w:val="auto"/>
              </w:rPr>
            </w:pPr>
          </w:p>
        </w:tc>
      </w:tr>
      <w:tr>
        <w:trPr>
          <w:trHeight w:val="204"/>
        </w:trPr>
        <w:tc>
          <w:tcPr>
            <w:tcW w:w="426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62"/>
        </w:trPr>
        <w:tc>
          <w:tcPr>
            <w:tcW w:w="4260" w:type="dxa"/>
            <w:vAlign w:val="bottom"/>
            <w:shd w:val="clear" w:color="auto" w:fill="DBDBDB"/>
          </w:tcPr>
          <w:p>
            <w:pPr>
              <w:ind w:left="220"/>
              <w:spacing w:after="0" w:line="161"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i w:val="1"/>
                <w:iCs w:val="1"/>
                <w:color w:val="auto"/>
              </w:rPr>
              <w:t>—</w:t>
            </w:r>
          </w:p>
        </w:tc>
        <w:tc>
          <w:tcPr>
            <w:tcW w:w="140" w:type="dxa"/>
            <w:vAlign w:val="bottom"/>
            <w:shd w:val="clear" w:color="auto" w:fill="DBDBDB"/>
          </w:tcPr>
          <w:p>
            <w:pPr>
              <w:spacing w:after="0"/>
              <w:rPr>
                <w:sz w:val="14"/>
                <w:szCs w:val="14"/>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(4,113)</w:t>
            </w:r>
          </w:p>
        </w:tc>
        <w:tc>
          <w:tcPr>
            <w:tcW w:w="120" w:type="dxa"/>
            <w:vAlign w:val="bottom"/>
            <w:shd w:val="clear" w:color="auto" w:fill="DBDBDB"/>
          </w:tcPr>
          <w:p>
            <w:pPr>
              <w:spacing w:after="0"/>
              <w:rPr>
                <w:sz w:val="14"/>
                <w:szCs w:val="14"/>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i w:val="1"/>
                <w:iCs w:val="1"/>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i w:val="1"/>
                <w:iCs w:val="1"/>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(4,113)</w:t>
            </w:r>
          </w:p>
        </w:tc>
        <w:tc>
          <w:tcPr>
            <w:tcW w:w="0" w:type="dxa"/>
            <w:vAlign w:val="bottom"/>
          </w:tcPr>
          <w:p>
            <w:pPr>
              <w:spacing w:after="0"/>
              <w:rPr>
                <w:sz w:val="1"/>
                <w:szCs w:val="1"/>
                <w:color w:val="auto"/>
              </w:rPr>
            </w:pPr>
          </w:p>
        </w:tc>
      </w:tr>
      <w:tr>
        <w:trPr>
          <w:trHeight w:val="202"/>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260" w:type="dxa"/>
            <w:vAlign w:val="bottom"/>
          </w:tcPr>
          <w:p>
            <w:pPr>
              <w:ind w:left="220"/>
              <w:spacing w:after="0" w:line="159"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124</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8,636</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8,636</w:t>
            </w:r>
          </w:p>
        </w:tc>
        <w:tc>
          <w:tcPr>
            <w:tcW w:w="0" w:type="dxa"/>
            <w:vAlign w:val="bottom"/>
          </w:tcPr>
          <w:p>
            <w:pPr>
              <w:spacing w:after="0"/>
              <w:rPr>
                <w:sz w:val="1"/>
                <w:szCs w:val="1"/>
                <w:color w:val="auto"/>
              </w:rPr>
            </w:pPr>
          </w:p>
        </w:tc>
      </w:tr>
      <w:tr>
        <w:trPr>
          <w:trHeight w:val="199"/>
        </w:trPr>
        <w:tc>
          <w:tcPr>
            <w:tcW w:w="4260" w:type="dxa"/>
            <w:vAlign w:val="bottom"/>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(5,042)</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(222,024)</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(222,024)</w:t>
            </w:r>
          </w:p>
        </w:tc>
        <w:tc>
          <w:tcPr>
            <w:tcW w:w="0" w:type="dxa"/>
            <w:vAlign w:val="bottom"/>
          </w:tcPr>
          <w:p>
            <w:pPr>
              <w:spacing w:after="0"/>
              <w:rPr>
                <w:sz w:val="1"/>
                <w:szCs w:val="1"/>
                <w:color w:val="auto"/>
              </w:rPr>
            </w:pPr>
          </w:p>
        </w:tc>
      </w:tr>
      <w:tr>
        <w:trPr>
          <w:trHeight w:val="203"/>
        </w:trPr>
        <w:tc>
          <w:tcPr>
            <w:tcW w:w="42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24"/>
        </w:trPr>
        <w:tc>
          <w:tcPr>
            <w:tcW w:w="42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5"/>
                <w:szCs w:val="15"/>
                <w:color w:val="auto"/>
              </w:rPr>
              <w:t>Balance at September 30, 2023</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193,461</w:t>
            </w:r>
          </w:p>
        </w:tc>
        <w:tc>
          <w:tcPr>
            <w:tcW w:w="900" w:type="dxa"/>
            <w:vAlign w:val="bottom"/>
            <w:tcBorders>
              <w:bottom w:val="single" w:sz="8" w:color="auto"/>
            </w:tcBorders>
            <w:shd w:val="clear" w:color="auto" w:fill="DBDBDB"/>
          </w:tcPr>
          <w:p>
            <w:pPr>
              <w:jc w:val="right"/>
              <w:ind w:right="70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2,218,110</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(44,073)</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(861,421)</w:t>
            </w: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1,312,636</w:t>
            </w:r>
          </w:p>
        </w:tc>
        <w:tc>
          <w:tcPr>
            <w:tcW w:w="0" w:type="dxa"/>
            <w:vAlign w:val="bottom"/>
          </w:tcPr>
          <w:p>
            <w:pPr>
              <w:spacing w:after="0"/>
              <w:rPr>
                <w:sz w:val="1"/>
                <w:szCs w:val="1"/>
                <w:color w:val="auto"/>
              </w:rPr>
            </w:pP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60325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5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6"/>
        </w:trPr>
        <w:tc>
          <w:tcPr>
            <w:tcW w:w="7700" w:type="dxa"/>
            <w:vAlign w:val="bottom"/>
            <w:gridSpan w:val="6"/>
            <w:shd w:val="clear" w:color="auto" w:fill="1D2758"/>
          </w:tcPr>
          <w:p>
            <w:pPr>
              <w:ind w:left="4140"/>
              <w:spacing w:after="0"/>
              <w:rPr>
                <w:sz w:val="20"/>
                <w:szCs w:val="20"/>
                <w:color w:val="auto"/>
              </w:rPr>
            </w:pPr>
            <w:r>
              <w:rPr>
                <w:rFonts w:ascii="Arial" w:cs="Arial" w:eastAsia="Arial" w:hAnsi="Arial"/>
                <w:sz w:val="15"/>
                <w:szCs w:val="15"/>
                <w:b w:val="1"/>
                <w:bCs w:val="1"/>
                <w:color w:val="FFFFFF"/>
              </w:rPr>
              <w:t>Nine Months Ended September 30, 2022</w:t>
            </w:r>
          </w:p>
        </w:tc>
        <w:tc>
          <w:tcPr>
            <w:tcW w:w="1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1D2758"/>
          </w:tcPr>
          <w:p>
            <w:pPr>
              <w:spacing w:after="0"/>
              <w:rPr>
                <w:sz w:val="15"/>
                <w:szCs w:val="15"/>
                <w:color w:val="auto"/>
              </w:rPr>
            </w:pPr>
          </w:p>
        </w:tc>
        <w:tc>
          <w:tcPr>
            <w:tcW w:w="200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1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vMerge w:val="restart"/>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8"/>
        </w:trPr>
        <w:tc>
          <w:tcPr>
            <w:tcW w:w="4320" w:type="dxa"/>
            <w:vAlign w:val="bottom"/>
            <w:shd w:val="clear" w:color="auto" w:fill="1D2758"/>
          </w:tcPr>
          <w:p>
            <w:pPr>
              <w:spacing w:after="0"/>
              <w:rPr>
                <w:sz w:val="14"/>
                <w:szCs w:val="14"/>
                <w:color w:val="auto"/>
              </w:rPr>
            </w:pPr>
          </w:p>
        </w:tc>
        <w:tc>
          <w:tcPr>
            <w:tcW w:w="200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100" w:type="dxa"/>
            <w:vAlign w:val="bottom"/>
            <w:shd w:val="clear" w:color="auto" w:fill="1D2758"/>
          </w:tcPr>
          <w:p>
            <w:pPr>
              <w:jc w:val="center"/>
              <w:ind w:right="43"/>
              <w:spacing w:after="0" w:line="168" w:lineRule="exact"/>
              <w:rPr>
                <w:sz w:val="20"/>
                <w:szCs w:val="20"/>
                <w:color w:val="auto"/>
              </w:rPr>
            </w:pPr>
            <w:r>
              <w:rPr>
                <w:rFonts w:ascii="Arial" w:cs="Arial" w:eastAsia="Arial" w:hAnsi="Arial"/>
                <w:sz w:val="15"/>
                <w:szCs w:val="15"/>
                <w:b w:val="1"/>
                <w:bCs w:val="1"/>
                <w:color w:val="FFFFFF"/>
              </w:rPr>
              <w:t>Other</w:t>
            </w:r>
          </w:p>
        </w:tc>
        <w:tc>
          <w:tcPr>
            <w:tcW w:w="22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92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vMerge w:val="restart"/>
            <w:shd w:val="clear" w:color="auto" w:fill="1D2758"/>
          </w:tcPr>
          <w:p>
            <w:pPr>
              <w:spacing w:after="0"/>
              <w:rPr>
                <w:sz w:val="20"/>
                <w:szCs w:val="20"/>
                <w:color w:val="auto"/>
              </w:rPr>
            </w:pPr>
            <w:r>
              <w:rPr>
                <w:rFonts w:ascii="Arial" w:cs="Arial" w:eastAsia="Arial" w:hAnsi="Arial"/>
                <w:sz w:val="15"/>
                <w:szCs w:val="15"/>
                <w:b w:val="1"/>
                <w:bCs w:val="1"/>
                <w:i w:val="1"/>
                <w:iCs w:val="1"/>
                <w:color w:val="FFFFFF"/>
              </w:rPr>
              <w:t>(in thousands)</w:t>
            </w:r>
          </w:p>
        </w:tc>
        <w:tc>
          <w:tcPr>
            <w:tcW w:w="112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8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2"/>
                <w:szCs w:val="12"/>
                <w:color w:val="auto"/>
              </w:rPr>
            </w:pPr>
          </w:p>
        </w:tc>
        <w:tc>
          <w:tcPr>
            <w:tcW w:w="140" w:type="dxa"/>
            <w:vAlign w:val="bottom"/>
            <w:shd w:val="clear" w:color="auto" w:fill="1D2758"/>
          </w:tcPr>
          <w:p>
            <w:pPr>
              <w:spacing w:after="0"/>
              <w:rPr>
                <w:sz w:val="12"/>
                <w:szCs w:val="12"/>
                <w:color w:val="auto"/>
              </w:rPr>
            </w:pPr>
          </w:p>
        </w:tc>
        <w:tc>
          <w:tcPr>
            <w:tcW w:w="980" w:type="dxa"/>
            <w:vAlign w:val="bottom"/>
            <w:shd w:val="clear" w:color="auto" w:fill="1D2758"/>
          </w:tcPr>
          <w:p>
            <w:pPr>
              <w:jc w:val="right"/>
              <w:ind w:right="103"/>
              <w:spacing w:after="0" w:line="142"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shd w:val="clear" w:color="auto" w:fill="1D2758"/>
          </w:tcPr>
          <w:p>
            <w:pPr>
              <w:jc w:val="right"/>
              <w:ind w:right="3"/>
              <w:spacing w:after="0" w:line="142"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06"/>
        </w:trPr>
        <w:tc>
          <w:tcPr>
            <w:tcW w:w="4320" w:type="dxa"/>
            <w:vAlign w:val="bottom"/>
            <w:vMerge w:val="continue"/>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Paid-in-Capital</w:t>
            </w:r>
          </w:p>
        </w:tc>
        <w:tc>
          <w:tcPr>
            <w:tcW w:w="140" w:type="dxa"/>
            <w:vAlign w:val="bottom"/>
            <w:shd w:val="clear" w:color="auto" w:fill="1D2758"/>
          </w:tcPr>
          <w:p>
            <w:pPr>
              <w:spacing w:after="0"/>
              <w:rPr>
                <w:sz w:val="17"/>
                <w:szCs w:val="17"/>
                <w:color w:val="auto"/>
              </w:rPr>
            </w:pPr>
          </w:p>
        </w:tc>
        <w:tc>
          <w:tcPr>
            <w:tcW w:w="110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320" w:type="dxa"/>
            <w:vAlign w:val="bottom"/>
            <w:shd w:val="clear" w:color="auto" w:fill="DBDBDB"/>
          </w:tcPr>
          <w:p>
            <w:pPr>
              <w:spacing w:after="0"/>
              <w:rPr>
                <w:sz w:val="20"/>
                <w:szCs w:val="20"/>
                <w:color w:val="auto"/>
              </w:rPr>
            </w:pPr>
            <w:r>
              <w:rPr>
                <w:rFonts w:ascii="Arial" w:cs="Arial" w:eastAsia="Arial" w:hAnsi="Arial"/>
                <w:sz w:val="15"/>
                <w:szCs w:val="15"/>
                <w:color w:val="auto"/>
              </w:rPr>
              <w:t>Balance at December 31, 2021</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223,940</w:t>
            </w:r>
          </w:p>
        </w:tc>
        <w:tc>
          <w:tcPr>
            <w:tcW w:w="88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22</w:t>
            </w:r>
          </w:p>
        </w:tc>
        <w:tc>
          <w:tcPr>
            <w:tcW w:w="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3,616,902</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(1,591,090)</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51,171</w:t>
            </w: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9"/>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59"/>
        </w:trPr>
        <w:tc>
          <w:tcPr>
            <w:tcW w:w="4320" w:type="dxa"/>
            <w:vAlign w:val="bottom"/>
          </w:tcPr>
          <w:p>
            <w:pPr>
              <w:ind w:left="220"/>
              <w:spacing w:after="0" w:line="159"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(12,295)</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199"/>
        </w:trPr>
        <w:tc>
          <w:tcPr>
            <w:tcW w:w="432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498</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6,395</w:t>
            </w:r>
          </w:p>
        </w:tc>
        <w:tc>
          <w:tcPr>
            <w:tcW w:w="14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6,395</w:t>
            </w:r>
          </w:p>
        </w:tc>
        <w:tc>
          <w:tcPr>
            <w:tcW w:w="0" w:type="dxa"/>
            <w:vAlign w:val="bottom"/>
          </w:tcPr>
          <w:p>
            <w:pPr>
              <w:spacing w:after="0"/>
              <w:rPr>
                <w:sz w:val="1"/>
                <w:szCs w:val="1"/>
                <w:color w:val="auto"/>
              </w:rPr>
            </w:pPr>
          </w:p>
        </w:tc>
      </w:tr>
      <w:tr>
        <w:trPr>
          <w:trHeight w:val="202"/>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320" w:type="dxa"/>
            <w:vAlign w:val="bottom"/>
          </w:tcPr>
          <w:p>
            <w:pPr>
              <w:ind w:left="220"/>
              <w:spacing w:after="0" w:line="159" w:lineRule="exact"/>
              <w:rPr>
                <w:sz w:val="20"/>
                <w:szCs w:val="20"/>
                <w:color w:val="auto"/>
              </w:rPr>
            </w:pPr>
            <w:r>
              <w:rPr>
                <w:rFonts w:ascii="Arial" w:cs="Arial" w:eastAsia="Arial" w:hAnsi="Arial"/>
                <w:sz w:val="15"/>
                <w:szCs w:val="15"/>
                <w:color w:val="auto"/>
              </w:rPr>
              <w:t>Repurchase and cancellation of Common Stock and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(2,064)</w:t>
            </w:r>
          </w:p>
        </w:tc>
        <w:tc>
          <w:tcPr>
            <w:tcW w:w="88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(77,409)</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(77,409)</w:t>
            </w:r>
          </w:p>
        </w:tc>
        <w:tc>
          <w:tcPr>
            <w:tcW w:w="0" w:type="dxa"/>
            <w:vAlign w:val="bottom"/>
          </w:tcPr>
          <w:p>
            <w:pPr>
              <w:spacing w:after="0"/>
              <w:rPr>
                <w:sz w:val="1"/>
                <w:szCs w:val="1"/>
                <w:color w:val="auto"/>
              </w:rPr>
            </w:pPr>
          </w:p>
        </w:tc>
      </w:tr>
      <w:tr>
        <w:trPr>
          <w:trHeight w:val="199"/>
        </w:trPr>
        <w:tc>
          <w:tcPr>
            <w:tcW w:w="432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800</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3,313</w:t>
            </w:r>
          </w:p>
        </w:tc>
        <w:tc>
          <w:tcPr>
            <w:tcW w:w="14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02"/>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warrants</w:t>
            </w: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Balance at March 31, 2022</w:t>
            </w:r>
          </w:p>
        </w:tc>
        <w:tc>
          <w:tcPr>
            <w:tcW w:w="1120" w:type="dxa"/>
            <w:vAlign w:val="bottom"/>
          </w:tcPr>
          <w:p>
            <w:pPr>
              <w:jc w:val="right"/>
              <w:spacing w:after="0"/>
              <w:rPr>
                <w:sz w:val="20"/>
                <w:szCs w:val="20"/>
                <w:color w:val="auto"/>
              </w:rPr>
            </w:pPr>
            <w:r>
              <w:rPr>
                <w:rFonts w:ascii="Arial" w:cs="Arial" w:eastAsia="Arial" w:hAnsi="Arial"/>
                <w:sz w:val="15"/>
                <w:szCs w:val="15"/>
                <w:color w:val="auto"/>
              </w:rPr>
              <w:t>223,174</w:t>
            </w:r>
          </w:p>
        </w:tc>
        <w:tc>
          <w:tcPr>
            <w:tcW w:w="880" w:type="dxa"/>
            <w:vAlign w:val="bottom"/>
          </w:tcPr>
          <w:p>
            <w:pPr>
              <w:spacing w:after="0"/>
              <w:rPr>
                <w:sz w:val="17"/>
                <w:szCs w:val="17"/>
                <w:color w:val="auto"/>
              </w:rPr>
            </w:pPr>
          </w:p>
        </w:tc>
        <w:tc>
          <w:tcPr>
            <w:tcW w:w="260" w:type="dxa"/>
            <w:vAlign w:val="bottom"/>
          </w:tcPr>
          <w:p>
            <w:pPr>
              <w:jc w:val="right"/>
              <w:ind w:right="3"/>
              <w:spacing w:after="0"/>
              <w:rPr>
                <w:sz w:val="20"/>
                <w:szCs w:val="20"/>
                <w:color w:val="auto"/>
              </w:rPr>
            </w:pPr>
            <w:r>
              <w:rPr>
                <w:rFonts w:ascii="Arial" w:cs="Arial" w:eastAsia="Arial" w:hAnsi="Arial"/>
                <w:sz w:val="15"/>
                <w:szCs w:val="15"/>
                <w:color w:val="auto"/>
                <w:w w:val="95"/>
              </w:rPr>
              <w:t>22</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3,536,906</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(30,824)</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(1,539,919)</w:t>
            </w: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1,966,185</w:t>
            </w:r>
          </w:p>
        </w:tc>
        <w:tc>
          <w:tcPr>
            <w:tcW w:w="0" w:type="dxa"/>
            <w:vAlign w:val="bottom"/>
          </w:tcPr>
          <w:p>
            <w:pPr>
              <w:spacing w:after="0"/>
              <w:rPr>
                <w:sz w:val="1"/>
                <w:szCs w:val="1"/>
                <w:color w:val="auto"/>
              </w:rPr>
            </w:pPr>
          </w:p>
        </w:tc>
      </w:tr>
      <w:tr>
        <w:trPr>
          <w:trHeight w:val="209"/>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73,376</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(24,452)</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(24,452)</w:t>
            </w:r>
          </w:p>
        </w:tc>
        <w:tc>
          <w:tcPr>
            <w:tcW w:w="0" w:type="dxa"/>
            <w:vAlign w:val="bottom"/>
          </w:tcPr>
          <w:p>
            <w:pPr>
              <w:spacing w:after="0"/>
              <w:rPr>
                <w:sz w:val="1"/>
                <w:szCs w:val="1"/>
                <w:color w:val="auto"/>
              </w:rPr>
            </w:pPr>
          </w:p>
        </w:tc>
      </w:tr>
      <w:tr>
        <w:trPr>
          <w:trHeight w:val="162"/>
        </w:trPr>
        <w:tc>
          <w:tcPr>
            <w:tcW w:w="432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(1,075)</w:t>
            </w:r>
          </w:p>
        </w:tc>
        <w:tc>
          <w:tcPr>
            <w:tcW w:w="14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(1,075)</w:t>
            </w:r>
          </w:p>
        </w:tc>
        <w:tc>
          <w:tcPr>
            <w:tcW w:w="0" w:type="dxa"/>
            <w:vAlign w:val="bottom"/>
          </w:tcPr>
          <w:p>
            <w:pPr>
              <w:spacing w:after="0"/>
              <w:rPr>
                <w:sz w:val="1"/>
                <w:szCs w:val="1"/>
                <w:color w:val="auto"/>
              </w:rPr>
            </w:pPr>
          </w:p>
        </w:tc>
      </w:tr>
      <w:tr>
        <w:trPr>
          <w:trHeight w:val="202"/>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320" w:type="dxa"/>
            <w:vAlign w:val="bottom"/>
          </w:tcPr>
          <w:p>
            <w:pPr>
              <w:ind w:left="220"/>
              <w:spacing w:after="0" w:line="159"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70</w:t>
            </w:r>
          </w:p>
        </w:tc>
        <w:tc>
          <w:tcPr>
            <w:tcW w:w="88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9,292</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9,292</w:t>
            </w:r>
          </w:p>
        </w:tc>
        <w:tc>
          <w:tcPr>
            <w:tcW w:w="0" w:type="dxa"/>
            <w:vAlign w:val="bottom"/>
          </w:tcPr>
          <w:p>
            <w:pPr>
              <w:spacing w:after="0"/>
              <w:rPr>
                <w:sz w:val="1"/>
                <w:szCs w:val="1"/>
                <w:color w:val="auto"/>
              </w:rPr>
            </w:pPr>
          </w:p>
        </w:tc>
      </w:tr>
      <w:tr>
        <w:trPr>
          <w:trHeight w:val="199"/>
        </w:trPr>
        <w:tc>
          <w:tcPr>
            <w:tcW w:w="4320" w:type="dxa"/>
            <w:vAlign w:val="bottom"/>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Repurchase and cancellation of Common Stock and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(7,222)</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(249,515)</w:t>
            </w:r>
          </w:p>
        </w:tc>
        <w:tc>
          <w:tcPr>
            <w:tcW w:w="14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(249,515)</w:t>
            </w:r>
          </w:p>
        </w:tc>
        <w:tc>
          <w:tcPr>
            <w:tcW w:w="0" w:type="dxa"/>
            <w:vAlign w:val="bottom"/>
          </w:tcPr>
          <w:p>
            <w:pPr>
              <w:spacing w:after="0"/>
              <w:rPr>
                <w:sz w:val="1"/>
                <w:szCs w:val="1"/>
                <w:color w:val="auto"/>
              </w:rPr>
            </w:pPr>
          </w:p>
        </w:tc>
      </w:tr>
      <w:tr>
        <w:trPr>
          <w:trHeight w:val="202"/>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320" w:type="dxa"/>
            <w:vAlign w:val="bottom"/>
          </w:tcPr>
          <w:p>
            <w:pPr>
              <w:ind w:left="220"/>
              <w:spacing w:after="0" w:line="159"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69</w:t>
            </w:r>
          </w:p>
        </w:tc>
        <w:tc>
          <w:tcPr>
            <w:tcW w:w="88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139</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and warrants</w:t>
            </w:r>
          </w:p>
        </w:tc>
        <w:tc>
          <w:tcPr>
            <w:tcW w:w="1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shd w:val="clear" w:color="auto" w:fill="DBDBDB"/>
          </w:tcPr>
          <w:p>
            <w:pPr>
              <w:spacing w:after="0"/>
              <w:rPr>
                <w:sz w:val="20"/>
                <w:szCs w:val="20"/>
                <w:color w:val="auto"/>
              </w:rPr>
            </w:pPr>
            <w:r>
              <w:rPr>
                <w:rFonts w:ascii="Arial" w:cs="Arial" w:eastAsia="Arial" w:hAnsi="Arial"/>
                <w:sz w:val="15"/>
                <w:szCs w:val="15"/>
                <w:color w:val="auto"/>
              </w:rPr>
              <w:t>Balance at June 30, 2022</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216,091</w:t>
            </w:r>
          </w:p>
        </w:tc>
        <w:tc>
          <w:tcPr>
            <w:tcW w:w="8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22</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3,295,747</w:t>
            </w:r>
          </w:p>
        </w:tc>
        <w:tc>
          <w:tcPr>
            <w:tcW w:w="14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(1,466,543)</w:t>
            </w: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1,773,950</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128,593</w:t>
            </w: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128,593</w:t>
            </w:r>
          </w:p>
        </w:tc>
        <w:tc>
          <w:tcPr>
            <w:tcW w:w="0" w:type="dxa"/>
            <w:vAlign w:val="bottom"/>
          </w:tcPr>
          <w:p>
            <w:pPr>
              <w:spacing w:after="0"/>
              <w:rPr>
                <w:sz w:val="1"/>
                <w:szCs w:val="1"/>
                <w:color w:val="auto"/>
              </w:rPr>
            </w:pPr>
          </w:p>
        </w:tc>
      </w:tr>
      <w:tr>
        <w:trPr>
          <w:trHeight w:val="209"/>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0" w:type="dxa"/>
            <w:vAlign w:val="bottom"/>
          </w:tcPr>
          <w:p>
            <w:pPr>
              <w:spacing w:after="0"/>
              <w:rPr>
                <w:sz w:val="1"/>
                <w:szCs w:val="1"/>
                <w:color w:val="auto"/>
              </w:rPr>
            </w:pPr>
          </w:p>
        </w:tc>
      </w:tr>
      <w:tr>
        <w:trPr>
          <w:trHeight w:val="159"/>
        </w:trPr>
        <w:tc>
          <w:tcPr>
            <w:tcW w:w="4320" w:type="dxa"/>
            <w:vAlign w:val="bottom"/>
          </w:tcPr>
          <w:p>
            <w:pPr>
              <w:ind w:left="220"/>
              <w:spacing w:after="0" w:line="159"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(518)</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99"/>
        </w:trPr>
        <w:tc>
          <w:tcPr>
            <w:tcW w:w="432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26</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6,941</w:t>
            </w:r>
          </w:p>
        </w:tc>
        <w:tc>
          <w:tcPr>
            <w:tcW w:w="14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6,941</w:t>
            </w:r>
          </w:p>
        </w:tc>
        <w:tc>
          <w:tcPr>
            <w:tcW w:w="0" w:type="dxa"/>
            <w:vAlign w:val="bottom"/>
          </w:tcPr>
          <w:p>
            <w:pPr>
              <w:spacing w:after="0"/>
              <w:rPr>
                <w:sz w:val="1"/>
                <w:szCs w:val="1"/>
                <w:color w:val="auto"/>
              </w:rPr>
            </w:pPr>
          </w:p>
        </w:tc>
      </w:tr>
      <w:tr>
        <w:trPr>
          <w:trHeight w:val="202"/>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320" w:type="dxa"/>
            <w:vAlign w:val="bottom"/>
          </w:tcPr>
          <w:p>
            <w:pPr>
              <w:ind w:left="220"/>
              <w:spacing w:after="0" w:line="159" w:lineRule="exact"/>
              <w:rPr>
                <w:sz w:val="20"/>
                <w:szCs w:val="20"/>
                <w:color w:val="auto"/>
              </w:rPr>
            </w:pPr>
            <w:r>
              <w:rPr>
                <w:rFonts w:ascii="Arial" w:cs="Arial" w:eastAsia="Arial" w:hAnsi="Arial"/>
                <w:sz w:val="15"/>
                <w:szCs w:val="15"/>
                <w:color w:val="auto"/>
              </w:rPr>
              <w:t>Repurchase and cancellation of Common Stock and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(5,271)</w:t>
            </w:r>
          </w:p>
        </w:tc>
        <w:tc>
          <w:tcPr>
            <w:tcW w:w="88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(197,457)</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(197,457)</w:t>
            </w:r>
          </w:p>
        </w:tc>
        <w:tc>
          <w:tcPr>
            <w:tcW w:w="0" w:type="dxa"/>
            <w:vAlign w:val="bottom"/>
          </w:tcPr>
          <w:p>
            <w:pPr>
              <w:spacing w:after="0"/>
              <w:rPr>
                <w:sz w:val="1"/>
                <w:szCs w:val="1"/>
                <w:color w:val="auto"/>
              </w:rPr>
            </w:pPr>
          </w:p>
        </w:tc>
      </w:tr>
      <w:tr>
        <w:trPr>
          <w:trHeight w:val="199"/>
        </w:trPr>
        <w:tc>
          <w:tcPr>
            <w:tcW w:w="432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398</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7,363</w:t>
            </w:r>
          </w:p>
        </w:tc>
        <w:tc>
          <w:tcPr>
            <w:tcW w:w="14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7,363</w:t>
            </w:r>
          </w:p>
        </w:tc>
        <w:tc>
          <w:tcPr>
            <w:tcW w:w="0" w:type="dxa"/>
            <w:vAlign w:val="bottom"/>
          </w:tcPr>
          <w:p>
            <w:pPr>
              <w:spacing w:after="0"/>
              <w:rPr>
                <w:sz w:val="1"/>
                <w:szCs w:val="1"/>
                <w:color w:val="auto"/>
              </w:rPr>
            </w:pPr>
          </w:p>
        </w:tc>
      </w:tr>
      <w:tr>
        <w:trPr>
          <w:trHeight w:val="202"/>
        </w:trPr>
        <w:tc>
          <w:tcPr>
            <w:tcW w:w="4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warrants</w:t>
            </w: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5"/>
                <w:szCs w:val="15"/>
                <w:color w:val="auto"/>
              </w:rPr>
              <w:t>Balance at September 30,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211,244</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22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3,112,076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(93,009)</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(1,337,950)</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1,681,139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60325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6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Mobile Mini Holdings Corp.</w:t>
      </w:r>
    </w:p>
    <w:p>
      <w:pPr>
        <w:jc w:val="center"/>
        <w:spacing w:after="0" w:line="220" w:lineRule="auto"/>
        <w:rPr>
          <w:sz w:val="20"/>
          <w:szCs w:val="20"/>
          <w:color w:val="auto"/>
        </w:rPr>
      </w:pPr>
      <w:r>
        <w:rPr>
          <w:rFonts w:ascii="Arial" w:cs="Arial" w:eastAsia="Arial" w:hAnsi="Arial"/>
          <w:sz w:val="22"/>
          <w:szCs w:val="22"/>
          <w:color w:val="1D2758"/>
        </w:rPr>
        <w:t>Condensed Consolidated Statements of Cash Flows</w:t>
      </w:r>
    </w:p>
    <w:p>
      <w:pPr>
        <w:jc w:val="center"/>
        <w:spacing w:after="0"/>
        <w:rPr>
          <w:sz w:val="20"/>
          <w:szCs w:val="20"/>
          <w:color w:val="auto"/>
        </w:rPr>
      </w:pPr>
      <w:r>
        <w:rPr>
          <w:rFonts w:ascii="Arial" w:cs="Arial" w:eastAsia="Arial" w:hAnsi="Arial"/>
          <w:sz w:val="22"/>
          <w:szCs w:val="22"/>
          <w:color w:val="1D2758"/>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6"/>
                <w:szCs w:val="16"/>
                <w:color w:val="auto"/>
              </w:rPr>
            </w:pPr>
          </w:p>
        </w:tc>
        <w:tc>
          <w:tcPr>
            <w:tcW w:w="3380" w:type="dxa"/>
            <w:vAlign w:val="bottom"/>
            <w:gridSpan w:val="4"/>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13"/>
        </w:trPr>
        <w:tc>
          <w:tcPr>
            <w:tcW w:w="752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48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752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40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390,129</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253,140</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242,927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257,371</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38,079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26,018</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Gain on sale of discontinued operations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(176,078)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(34,049)</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(26,256)</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(21,698)</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8,281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9,795</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Stock-based compensation expense</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26,134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22,628</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Deferred income tax expense</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118,455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56,812</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Loss on settlement of foreign currency forward contract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7,715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Unrealized currency losses, net</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(943)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3,312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2,976</w:t>
            </w:r>
          </w:p>
        </w:tc>
        <w:tc>
          <w:tcPr>
            <w:tcW w:w="0" w:type="dxa"/>
            <w:vAlign w:val="bottom"/>
          </w:tcPr>
          <w:p>
            <w:pPr>
              <w:spacing w:after="0"/>
              <w:rPr>
                <w:sz w:val="1"/>
                <w:szCs w:val="1"/>
                <w:color w:val="auto"/>
              </w:rPr>
            </w:pPr>
          </w:p>
        </w:tc>
      </w:tr>
      <w:tr>
        <w:trPr>
          <w:trHeight w:val="203"/>
        </w:trPr>
        <w:tc>
          <w:tcPr>
            <w:tcW w:w="752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Trade receivables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(85,261)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(101,895)</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(13,623)</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(3,772)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(9,446)</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707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(26,518)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43,565</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25,607</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51,622</w:t>
            </w:r>
          </w:p>
        </w:tc>
        <w:tc>
          <w:tcPr>
            <w:tcW w:w="0" w:type="dxa"/>
            <w:vAlign w:val="bottom"/>
          </w:tcPr>
          <w:p>
            <w:pPr>
              <w:spacing w:after="0"/>
              <w:rPr>
                <w:sz w:val="1"/>
                <w:szCs w:val="1"/>
                <w:color w:val="auto"/>
              </w:rPr>
            </w:pPr>
          </w:p>
        </w:tc>
      </w:tr>
      <w:tr>
        <w:trPr>
          <w:trHeight w:val="202"/>
        </w:trPr>
        <w:tc>
          <w:tcPr>
            <w:tcW w:w="752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541,918</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544,238</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discontinued operations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403,992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319,543</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(482,190)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(208,663)</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37,974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52,263</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(166,097)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(360,465)</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for settlement of foreign currency forward contract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Proceeds from the sale of property, plant and equipment</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13,266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34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(16,752)</w:t>
            </w:r>
          </w:p>
        </w:tc>
        <w:tc>
          <w:tcPr>
            <w:tcW w:w="8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(30,253)</w:t>
            </w:r>
          </w:p>
        </w:tc>
        <w:tc>
          <w:tcPr>
            <w:tcW w:w="0" w:type="dxa"/>
            <w:vAlign w:val="bottom"/>
          </w:tcPr>
          <w:p>
            <w:pPr>
              <w:spacing w:after="0"/>
              <w:rPr>
                <w:sz w:val="1"/>
                <w:szCs w:val="1"/>
                <w:color w:val="auto"/>
              </w:rPr>
            </w:pPr>
          </w:p>
        </w:tc>
      </w:tr>
      <w:tr>
        <w:trPr>
          <w:trHeight w:val="196"/>
        </w:trPr>
        <w:tc>
          <w:tcPr>
            <w:tcW w:w="7520" w:type="dxa"/>
            <w:vAlign w:val="bottom"/>
          </w:tcPr>
          <w:p>
            <w:pPr>
              <w:ind w:left="64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(217,522)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(225,930)</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453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10,815</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 and warrants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(678,166)</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(515,684)</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1,651,600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763,177</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(6,377)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(8,130)</w:t>
            </w:r>
          </w:p>
        </w:tc>
        <w:tc>
          <w:tcPr>
            <w:tcW w:w="0" w:type="dxa"/>
            <w:vAlign w:val="bottom"/>
          </w:tcPr>
          <w:p>
            <w:pPr>
              <w:spacing w:after="0"/>
              <w:rPr>
                <w:sz w:val="1"/>
                <w:szCs w:val="1"/>
                <w:color w:val="auto"/>
              </w:rPr>
            </w:pPr>
          </w:p>
        </w:tc>
      </w:tr>
      <w:tr>
        <w:trPr>
          <w:trHeight w:val="203"/>
        </w:trPr>
        <w:tc>
          <w:tcPr>
            <w:tcW w:w="752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(1,277,872)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(510,677)</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Principal payments on finance lease obligations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(12,549)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(39,336)</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Taxes paid on employee stock awards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(14,171)</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(13,888)</w:t>
            </w:r>
          </w:p>
        </w:tc>
        <w:tc>
          <w:tcPr>
            <w:tcW w:w="0" w:type="dxa"/>
            <w:vAlign w:val="bottom"/>
          </w:tcPr>
          <w:p>
            <w:pPr>
              <w:spacing w:after="0"/>
              <w:rPr>
                <w:sz w:val="1"/>
                <w:szCs w:val="1"/>
                <w:color w:val="auto"/>
              </w:rPr>
            </w:pPr>
          </w:p>
        </w:tc>
      </w:tr>
      <w:tr>
        <w:trPr>
          <w:trHeight w:val="202"/>
        </w:trPr>
        <w:tc>
          <w:tcPr>
            <w:tcW w:w="752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(337,082)</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(313,723)</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701</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w:t>
            </w:r>
          </w:p>
        </w:tc>
        <w:tc>
          <w:tcPr>
            <w:tcW w:w="0" w:type="dxa"/>
            <w:vAlign w:val="bottom"/>
          </w:tcPr>
          <w:p>
            <w:pPr>
              <w:spacing w:after="0"/>
              <w:rPr>
                <w:sz w:val="1"/>
                <w:szCs w:val="1"/>
                <w:color w:val="auto"/>
              </w:rPr>
            </w:pPr>
          </w:p>
        </w:tc>
      </w:tr>
      <w:tr>
        <w:trPr>
          <w:trHeight w:val="202"/>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(11,985)</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2,743</w:t>
            </w:r>
          </w:p>
        </w:tc>
        <w:tc>
          <w:tcPr>
            <w:tcW w:w="0" w:type="dxa"/>
            <w:vAlign w:val="bottom"/>
          </w:tcPr>
          <w:p>
            <w:pPr>
              <w:spacing w:after="0"/>
              <w:rPr>
                <w:sz w:val="1"/>
                <w:szCs w:val="1"/>
                <w:color w:val="auto"/>
              </w:rPr>
            </w:pPr>
          </w:p>
        </w:tc>
      </w:tr>
      <w:tr>
        <w:trPr>
          <w:trHeight w:val="206"/>
        </w:trPr>
        <w:tc>
          <w:tcPr>
            <w:tcW w:w="7520" w:type="dxa"/>
            <w:vAlign w:val="bottom"/>
            <w:tcBorders>
              <w:bottom w:val="single" w:sz="8" w:color="DBDBDB"/>
            </w:tcBorders>
          </w:tcPr>
          <w:p>
            <w:pPr>
              <w:ind w:left="220"/>
              <w:spacing w:after="0" w:line="207" w:lineRule="exact"/>
              <w:rPr>
                <w:sz w:val="20"/>
                <w:szCs w:val="20"/>
                <w:color w:val="auto"/>
              </w:rPr>
            </w:pPr>
            <w:r>
              <w:rPr>
                <w:rFonts w:ascii="Arial" w:cs="Arial" w:eastAsia="Arial" w:hAnsi="Arial"/>
                <w:sz w:val="15"/>
                <w:szCs w:val="15"/>
                <w:color w:val="auto"/>
              </w:rPr>
              <w:t>Cash and cash equivalents at the beginning of the period</w:t>
            </w:r>
            <w:r>
              <w:rPr>
                <w:rFonts w:ascii="Arial" w:cs="Arial" w:eastAsia="Arial" w:hAnsi="Arial"/>
                <w:sz w:val="20"/>
                <w:szCs w:val="20"/>
                <w:color w:val="auto"/>
                <w:vertAlign w:val="superscript"/>
              </w:rPr>
              <w:t>(a)</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17,774</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221"/>
        </w:trPr>
        <w:tc>
          <w:tcPr>
            <w:tcW w:w="7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5,789</w:t>
            </w: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15,442</w:t>
            </w:r>
          </w:p>
        </w:tc>
        <w:tc>
          <w:tcPr>
            <w:tcW w:w="0" w:type="dxa"/>
            <w:vAlign w:val="bottom"/>
          </w:tcPr>
          <w:p>
            <w:pPr>
              <w:spacing w:after="0"/>
              <w:rPr>
                <w:sz w:val="1"/>
                <w:szCs w:val="1"/>
                <w:color w:val="auto"/>
              </w:rPr>
            </w:pPr>
          </w:p>
        </w:tc>
      </w:tr>
      <w:tr>
        <w:trPr>
          <w:trHeight w:val="20"/>
        </w:trPr>
        <w:tc>
          <w:tcPr>
            <w:tcW w:w="75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20"/>
              <w:spacing w:after="0"/>
              <w:rPr>
                <w:sz w:val="20"/>
                <w:szCs w:val="20"/>
                <w:color w:val="auto"/>
              </w:rPr>
            </w:pPr>
            <w:r>
              <w:rPr>
                <w:rFonts w:ascii="Arial" w:cs="Arial" w:eastAsia="Arial" w:hAnsi="Arial"/>
                <w:sz w:val="15"/>
                <w:szCs w:val="15"/>
                <w:color w:val="auto"/>
              </w:rPr>
              <w:t>Interest paid, net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135,301</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88,231</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22,764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17,598</w:t>
            </w:r>
          </w:p>
        </w:tc>
        <w:tc>
          <w:tcPr>
            <w:tcW w:w="0" w:type="dxa"/>
            <w:vAlign w:val="bottom"/>
          </w:tcPr>
          <w:p>
            <w:pPr>
              <w:spacing w:after="0"/>
              <w:rPr>
                <w:sz w:val="1"/>
                <w:szCs w:val="1"/>
                <w:color w:val="auto"/>
              </w:rPr>
            </w:pPr>
          </w:p>
        </w:tc>
      </w:tr>
      <w:tr>
        <w:trPr>
          <w:trHeight w:val="201"/>
        </w:trPr>
        <w:tc>
          <w:tcPr>
            <w:tcW w:w="752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15,615</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40,385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w:t>
      </w:r>
    </w:p>
    <w:p>
      <w:pPr>
        <w:ind w:left="480" w:right="20"/>
        <w:spacing w:after="0" w:line="218" w:lineRule="auto"/>
        <w:rPr>
          <w:sz w:val="20"/>
          <w:szCs w:val="20"/>
          <w:color w:val="auto"/>
        </w:rPr>
      </w:pPr>
      <w:r>
        <w:rPr>
          <w:rFonts w:ascii="Arial" w:cs="Arial" w:eastAsia="Arial" w:hAnsi="Arial"/>
          <w:sz w:val="14"/>
          <w:szCs w:val="14"/>
          <w:color w:val="auto"/>
        </w:rPr>
        <w:t>Cash and cash equivalents at the beginning of 2023 of $17,774 includes cash and cash equivalents of $7,390 and cash and cash equivalents included in assets held for sale of $10,384.</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Condensed Consolidated Financial Statements (Unaudited)</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7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business services provider specializing in innovative flexible work space and portable storage solutions in the United States (“US”), Canada, and Mexico. The Company leases, sells, delivers and installs modular space solutions and portable storage products through an integrated network of branch locations that spans North America.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7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3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3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results of operations for the three and nine months ended September 30, 2023 are not necessarily indicative of the results to be expected for the full year. For further information, refer to the consolidated financial statements and notes included in the Company's Annual Report on Form 10-K for the year ended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Reclassifications</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Standards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 xml:space="preserve">In October 2021, the Financial Accounting Standards Board ("FASB") issued Accounting Standards Update No. 2021-08, </w:t>
      </w:r>
      <w:r>
        <w:rPr>
          <w:rFonts w:ascii="Arial" w:cs="Arial" w:eastAsia="Arial" w:hAnsi="Arial"/>
          <w:sz w:val="15"/>
          <w:szCs w:val="15"/>
          <w:i w:val="1"/>
          <w:iCs w:val="1"/>
          <w:color w:val="auto"/>
        </w:rPr>
        <w:t>Business Combinations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805): Accounting for Contract Assets and Contract Liabilities from Contracts with Customers </w:t>
      </w:r>
      <w:r>
        <w:rPr>
          <w:rFonts w:ascii="Arial" w:cs="Arial" w:eastAsia="Arial" w:hAnsi="Arial"/>
          <w:sz w:val="15"/>
          <w:szCs w:val="15"/>
          <w:color w:val="auto"/>
        </w:rPr>
        <w:t>("ASU 2021-08"). ASU 2021-08 requires that an acquirer recognize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measure contract assets and liabilities acquired in a business combination in accordance with FASB Accounting Standards Codification 606,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("ASC 606"). The Company adopted ASU 2021-08 on January 1, 2023 on a prospective basis. The adoption of this ASU did not have a</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 impact on the Company's financial statements or related disclosures.</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12"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WillScot Mobile Mini is the holding company for the Williams Scotsman and Mobile Mini family of companies, which resulted from the combination of WillScot Corporation (“WillScot”) and Mobile Mini, Inc. (“Mobile Mini”) through a merger that occurred on July 1, 2020 (the "Merger").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7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During the three months ended September 30, 2023, the Company acquired a national provider of cold storage solutions and a regional modular space manufacturing and leasing business, which consisted primarily of approximately 2,200 climate-controlled containers and refrigerated storage trailers and 1,300 modular leasing units,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9" w:name="page10"/>
    <w:bookmarkEnd w:id="9"/>
    <w:p>
      <w:pPr>
        <w:ind w:left="620"/>
        <w:spacing w:after="0"/>
        <w:rPr>
          <w:sz w:val="20"/>
          <w:szCs w:val="20"/>
          <w:color w:val="auto"/>
        </w:rPr>
      </w:pPr>
      <w:r>
        <w:rPr>
          <w:rFonts w:ascii="Arial" w:cs="Arial" w:eastAsia="Arial" w:hAnsi="Arial"/>
          <w:sz w:val="15"/>
          <w:szCs w:val="15"/>
          <w:color w:val="auto"/>
        </w:rPr>
        <w:t>The aggregate purchase price paid for these acquisitions and the preliminary allocations of the aggregate purchase price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60" w:type="dxa"/>
            <w:vAlign w:val="bottom"/>
            <w:shd w:val="clear" w:color="auto" w:fill="1D2758"/>
          </w:tcPr>
          <w:p>
            <w:pPr>
              <w:spacing w:after="0"/>
              <w:rPr>
                <w:sz w:val="17"/>
                <w:szCs w:val="17"/>
                <w:color w:val="auto"/>
              </w:rPr>
            </w:pPr>
          </w:p>
        </w:tc>
        <w:tc>
          <w:tcPr>
            <w:tcW w:w="1660" w:type="dxa"/>
            <w:vAlign w:val="bottom"/>
            <w:shd w:val="clear" w:color="auto" w:fill="1D2758"/>
          </w:tcPr>
          <w:p>
            <w:pPr>
              <w:spacing w:after="0"/>
              <w:rPr>
                <w:sz w:val="17"/>
                <w:szCs w:val="17"/>
                <w:color w:val="auto"/>
              </w:rPr>
            </w:pPr>
          </w:p>
        </w:tc>
      </w:tr>
      <w:tr>
        <w:trPr>
          <w:trHeight w:val="203"/>
        </w:trPr>
        <w:tc>
          <w:tcPr>
            <w:tcW w:w="8420" w:type="dxa"/>
            <w:vAlign w:val="bottom"/>
          </w:tcPr>
          <w:p>
            <w:pPr>
              <w:ind w:left="20"/>
              <w:spacing w:after="0"/>
              <w:rPr>
                <w:sz w:val="20"/>
                <w:szCs w:val="20"/>
                <w:color w:val="auto"/>
              </w:rPr>
            </w:pPr>
            <w:r>
              <w:rPr>
                <w:rFonts w:ascii="Arial" w:cs="Arial" w:eastAsia="Arial" w:hAnsi="Arial"/>
                <w:sz w:val="15"/>
                <w:szCs w:val="15"/>
                <w:color w:val="auto"/>
              </w:rPr>
              <w:t>Purchase Price:</w:t>
            </w: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used in acquisitions, net of cash acquired of $2,177</w:t>
            </w:r>
          </w:p>
        </w:tc>
        <w:tc>
          <w:tcPr>
            <w:tcW w:w="1160" w:type="dxa"/>
            <w:vAlign w:val="bottom"/>
            <w:shd w:val="clear" w:color="auto" w:fill="DBDBDB"/>
          </w:tcPr>
          <w:p>
            <w:pPr>
              <w:jc w:val="right"/>
              <w:ind w:right="98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332,769</w:t>
            </w:r>
          </w:p>
        </w:tc>
      </w:tr>
      <w:tr>
        <w:trPr>
          <w:trHeight w:val="203"/>
        </w:trPr>
        <w:tc>
          <w:tcPr>
            <w:tcW w:w="8420" w:type="dxa"/>
            <w:vAlign w:val="bottom"/>
          </w:tcPr>
          <w:p>
            <w:pPr>
              <w:ind w:left="20"/>
              <w:spacing w:after="0"/>
              <w:rPr>
                <w:sz w:val="20"/>
                <w:szCs w:val="20"/>
                <w:color w:val="auto"/>
              </w:rPr>
            </w:pPr>
            <w:r>
              <w:rPr>
                <w:rFonts w:ascii="Arial" w:cs="Arial" w:eastAsia="Arial" w:hAnsi="Arial"/>
                <w:sz w:val="15"/>
                <w:szCs w:val="15"/>
                <w:color w:val="auto"/>
              </w:rPr>
              <w:t>Allocated as follows:</w:t>
            </w: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receivables</w:t>
            </w:r>
          </w:p>
        </w:tc>
        <w:tc>
          <w:tcPr>
            <w:tcW w:w="116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7,226</w:t>
            </w: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1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2,017</w:t>
            </w: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equipment</w:t>
            </w:r>
          </w:p>
        </w:tc>
        <w:tc>
          <w:tcPr>
            <w:tcW w:w="116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171,055</w:t>
            </w: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Property, plant, and equipment</w:t>
            </w:r>
          </w:p>
        </w:tc>
        <w:tc>
          <w:tcPr>
            <w:tcW w:w="1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2,884</w:t>
            </w: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assets</w:t>
            </w:r>
          </w:p>
        </w:tc>
        <w:tc>
          <w:tcPr>
            <w:tcW w:w="116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2,749</w:t>
            </w: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Other assets</w:t>
            </w:r>
          </w:p>
        </w:tc>
        <w:tc>
          <w:tcPr>
            <w:tcW w:w="1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11,550</w:t>
            </w: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Accounts payable</w:t>
            </w:r>
          </w:p>
        </w:tc>
        <w:tc>
          <w:tcPr>
            <w:tcW w:w="116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(186)</w:t>
            </w: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Deferred revenue</w:t>
            </w:r>
          </w:p>
        </w:tc>
        <w:tc>
          <w:tcPr>
            <w:tcW w:w="1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(6,837)</w:t>
            </w: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liabilities</w:t>
            </w:r>
          </w:p>
        </w:tc>
        <w:tc>
          <w:tcPr>
            <w:tcW w:w="116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(2,749)</w:t>
            </w:r>
          </w:p>
        </w:tc>
      </w:tr>
      <w:tr>
        <w:trPr>
          <w:trHeight w:val="203"/>
        </w:trPr>
        <w:tc>
          <w:tcPr>
            <w:tcW w:w="84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liabilities</w:t>
            </w:r>
          </w:p>
        </w:tc>
        <w:tc>
          <w:tcPr>
            <w:tcW w:w="1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(1,638)</w:t>
            </w:r>
          </w:p>
        </w:tc>
      </w:tr>
      <w:tr>
        <w:trPr>
          <w:trHeight w:val="202"/>
        </w:trPr>
        <w:tc>
          <w:tcPr>
            <w:tcW w:w="8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identifiable net assets</w:t>
            </w:r>
          </w:p>
        </w:tc>
        <w:tc>
          <w:tcPr>
            <w:tcW w:w="1160" w:type="dxa"/>
            <w:vAlign w:val="bottom"/>
            <w:shd w:val="clear" w:color="auto" w:fill="DBDBDB"/>
          </w:tcPr>
          <w:p>
            <w:pPr>
              <w:spacing w:after="0"/>
              <w:rPr>
                <w:sz w:val="17"/>
                <w:szCs w:val="17"/>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186,071</w:t>
            </w:r>
          </w:p>
        </w:tc>
      </w:tr>
      <w:tr>
        <w:trPr>
          <w:trHeight w:val="203"/>
        </w:trPr>
        <w:tc>
          <w:tcPr>
            <w:tcW w:w="84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Goodwill</w:t>
            </w:r>
          </w:p>
        </w:tc>
        <w:tc>
          <w:tcPr>
            <w:tcW w:w="1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146,698</w:t>
            </w:r>
          </w:p>
        </w:tc>
      </w:tr>
      <w:tr>
        <w:trPr>
          <w:trHeight w:val="224"/>
        </w:trPr>
        <w:tc>
          <w:tcPr>
            <w:tcW w:w="8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net assets acquired</w:t>
            </w:r>
          </w:p>
        </w:tc>
        <w:tc>
          <w:tcPr>
            <w:tcW w:w="1160" w:type="dxa"/>
            <w:vAlign w:val="bottom"/>
            <w:tcBorders>
              <w:bottom w:val="single" w:sz="8" w:color="auto"/>
            </w:tcBorders>
            <w:shd w:val="clear" w:color="auto" w:fill="DBDBDB"/>
          </w:tcPr>
          <w:p>
            <w:pPr>
              <w:jc w:val="right"/>
              <w:ind w:right="98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332,769</w:t>
            </w:r>
          </w:p>
        </w:tc>
      </w:tr>
      <w:tr>
        <w:trPr>
          <w:trHeight w:val="20"/>
        </w:trPr>
        <w:tc>
          <w:tcPr>
            <w:tcW w:w="842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purchase price allocations are preliminary and subject to revision as additional information is obtained. The preliminary allocation of purchase price, including the measurement of acquired net working capital and the valuation of acquired rental equipment and intangible assets, is based on the best estimates of management and is subject to revision based on the final valuations. Goodwill recognized is attributable to expected operating synergies, assembled workforces, and the going concern value of the acquired businesses. Goodwill recorded for these acquisitions is deductible for tax purposes.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During the nine months ended September 30, 2023, the Company also acquired certain assets and liabilities of five regional and local storage and modular companies, which consisted primarily of approximately 1,800 storage units and 700 modular units, for $149.4 million in cash, net of cash acquired. The accompanying consolidated financial statements include $147.9 million of rental equipment as a result of these acquisitions.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7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Company also recorded $0.8 million and $3.9 million in integration costs related to acquisitions and the Merger within selling, general and administrative expense ("SG&amp;A") during the three months ended September 30, 2023 and 2022, respectively, and $6.9 million and $13.2 million in integration costs related to acquisitions and the Merger during the nine months ended September 30, 2023 and 2022,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3 - Discontinued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Tank and Pump Divestiture</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September 30, 2022, the Company sold its former Tank and Pump segment for $321.9 million. Exiting the former Tank and Pump segment represented the Company’s strategic shift to concentrate its operations on its core modular and storage businesses. The criteria for discontinued operations presentation were met during the third quarter of 2022 and results for the former Tank and Pump segment are reported in income from discontinued operations within the consolidated statements of operations for periods presented prior to September 30, 2022.</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 Storage Solutions Divestiture</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On December 12, 2022, the Company entered into a stock purchase agreement to sell its former UK Storage Solutions segment. The sale transaction was completed on January 31, 2023. Total cash consideration for the transaction was $418.1 million. Exiting the former UK Storage Solutions segment represented the Company’s strategic shift to concentrate its operations on its core modular and storage businesses in North America. The criteria for discontinued operations presentation were met during the fourth quarter of 2022 and results for the former UK Storage Solutions segment are reported in income from discontinued operations within the consolidated statements of operations for all periods presented. The carrying value of the former UK Storage Solutions segment's assets and liabilities are presented within assets and liabilities held for sale on the consolidated balance sheet as of December 31, 2022.</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0" w:name="page11"/>
    <w:bookmarkEnd w:id="10"/>
    <w:p>
      <w:pPr>
        <w:jc w:val="both"/>
        <w:ind w:firstLine="619"/>
        <w:spacing w:after="0" w:line="276" w:lineRule="auto"/>
        <w:rPr>
          <w:sz w:val="20"/>
          <w:szCs w:val="20"/>
          <w:color w:val="auto"/>
        </w:rPr>
      </w:pPr>
      <w:r>
        <w:rPr>
          <w:rFonts w:ascii="Arial" w:cs="Arial" w:eastAsia="Arial" w:hAnsi="Arial"/>
          <w:sz w:val="15"/>
          <w:szCs w:val="15"/>
          <w:color w:val="auto"/>
        </w:rPr>
        <w:t>The following tables present the results of the former Tank and Pump segment and the former UK Storage Solutions segment as reported in income from discontinued operations within the consolidated statements of operations, and the carrying value of the former UK Storage Solutions segment's assets and liabilities as presented within assets and liabilities held for sale on the consolidated balance sheet.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2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27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06"/>
        </w:trPr>
        <w:tc>
          <w:tcPr>
            <w:tcW w:w="842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27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206"/>
        </w:trPr>
        <w:tc>
          <w:tcPr>
            <w:tcW w:w="84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7"/>
                <w:szCs w:val="17"/>
                <w:color w:val="auto"/>
              </w:rPr>
            </w:pPr>
          </w:p>
        </w:tc>
        <w:tc>
          <w:tcPr>
            <w:tcW w:w="27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UK Storage Solutions</w:t>
            </w:r>
          </w:p>
        </w:tc>
        <w:tc>
          <w:tcPr>
            <w:tcW w:w="0" w:type="dxa"/>
            <w:vAlign w:val="bottom"/>
          </w:tcPr>
          <w:p>
            <w:pPr>
              <w:spacing w:after="0"/>
              <w:rPr>
                <w:sz w:val="1"/>
                <w:szCs w:val="1"/>
                <w:color w:val="auto"/>
              </w:rPr>
            </w:pPr>
          </w:p>
        </w:tc>
      </w:tr>
      <w:tr>
        <w:trPr>
          <w:trHeight w:val="206"/>
        </w:trPr>
        <w:tc>
          <w:tcPr>
            <w:tcW w:w="8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27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6,389</w:t>
            </w: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1,802</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2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196"/>
        </w:trPr>
        <w:tc>
          <w:tcPr>
            <w:tcW w:w="842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spacing w:after="0"/>
              <w:rPr>
                <w:sz w:val="18"/>
                <w:szCs w:val="18"/>
                <w:color w:val="auto"/>
              </w:rPr>
            </w:pPr>
          </w:p>
        </w:tc>
        <w:tc>
          <w:tcPr>
            <w:tcW w:w="2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1,407</w:t>
            </w: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2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w:t>
            </w:r>
          </w:p>
        </w:tc>
        <w:tc>
          <w:tcPr>
            <w:tcW w:w="0" w:type="dxa"/>
            <w:vAlign w:val="bottom"/>
          </w:tcPr>
          <w:p>
            <w:pPr>
              <w:spacing w:after="0"/>
              <w:rPr>
                <w:sz w:val="1"/>
                <w:szCs w:val="1"/>
                <w:color w:val="auto"/>
              </w:rPr>
            </w:pPr>
          </w:p>
        </w:tc>
      </w:tr>
      <w:tr>
        <w:trPr>
          <w:trHeight w:val="196"/>
        </w:trPr>
        <w:tc>
          <w:tcPr>
            <w:tcW w:w="8420" w:type="dxa"/>
            <w:vAlign w:val="bottom"/>
          </w:tcPr>
          <w:p>
            <w:pPr>
              <w:ind w:left="320"/>
              <w:spacing w:after="0"/>
              <w:rPr>
                <w:sz w:val="20"/>
                <w:szCs w:val="20"/>
                <w:color w:val="auto"/>
              </w:rPr>
            </w:pPr>
            <w:r>
              <w:rPr>
                <w:rFonts w:ascii="Arial" w:cs="Arial" w:eastAsia="Arial" w:hAnsi="Arial"/>
                <w:sz w:val="15"/>
                <w:szCs w:val="15"/>
                <w:color w:val="auto"/>
              </w:rPr>
              <w:t>Gross profit</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5,544</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Expenses:</w:t>
            </w:r>
          </w:p>
        </w:tc>
        <w:tc>
          <w:tcPr>
            <w:tcW w:w="12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1,486</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income, net</w:t>
            </w:r>
          </w:p>
        </w:tc>
        <w:tc>
          <w:tcPr>
            <w:tcW w:w="120" w:type="dxa"/>
            <w:vAlign w:val="bottom"/>
            <w:tcBorders>
              <w:bottom w:val="single" w:sz="8" w:color="auto"/>
            </w:tcBorders>
            <w:shd w:val="clear" w:color="auto" w:fill="DBDBDB"/>
          </w:tcPr>
          <w:p>
            <w:pPr>
              <w:spacing w:after="0"/>
              <w:rPr>
                <w:sz w:val="18"/>
                <w:szCs w:val="18"/>
                <w:color w:val="auto"/>
              </w:rPr>
            </w:pPr>
          </w:p>
        </w:tc>
        <w:tc>
          <w:tcPr>
            <w:tcW w:w="2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6"/>
        </w:trPr>
        <w:tc>
          <w:tcPr>
            <w:tcW w:w="842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4,059</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20" w:type="dxa"/>
            <w:vAlign w:val="bottom"/>
            <w:tcBorders>
              <w:bottom w:val="single" w:sz="8" w:color="auto"/>
            </w:tcBorders>
            <w:shd w:val="clear" w:color="auto" w:fill="DBDBDB"/>
          </w:tcPr>
          <w:p>
            <w:pPr>
              <w:spacing w:after="0"/>
              <w:rPr>
                <w:sz w:val="18"/>
                <w:szCs w:val="18"/>
                <w:color w:val="auto"/>
              </w:rPr>
            </w:pPr>
          </w:p>
        </w:tc>
        <w:tc>
          <w:tcPr>
            <w:tcW w:w="2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6"/>
        </w:trPr>
        <w:tc>
          <w:tcPr>
            <w:tcW w:w="842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12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5"/>
                <w:szCs w:val="15"/>
                <w:color w:val="auto"/>
              </w:rPr>
              <w:t>4,003</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120" w:type="dxa"/>
            <w:vAlign w:val="bottom"/>
            <w:shd w:val="clear" w:color="auto" w:fill="DBDBDB"/>
          </w:tcPr>
          <w:p>
            <w:pPr>
              <w:spacing w:after="0"/>
              <w:rPr>
                <w:sz w:val="18"/>
                <w:szCs w:val="18"/>
                <w:color w:val="auto"/>
              </w:rPr>
            </w:pPr>
          </w:p>
        </w:tc>
        <w:tc>
          <w:tcPr>
            <w:tcW w:w="2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175,708</w:t>
            </w:r>
          </w:p>
        </w:tc>
        <w:tc>
          <w:tcPr>
            <w:tcW w:w="0" w:type="dxa"/>
            <w:vAlign w:val="bottom"/>
          </w:tcPr>
          <w:p>
            <w:pPr>
              <w:spacing w:after="0"/>
              <w:rPr>
                <w:sz w:val="1"/>
                <w:szCs w:val="1"/>
                <w:color w:val="auto"/>
              </w:rPr>
            </w:pPr>
          </w:p>
        </w:tc>
      </w:tr>
      <w:tr>
        <w:trPr>
          <w:trHeight w:val="203"/>
        </w:trPr>
        <w:tc>
          <w:tcPr>
            <w:tcW w:w="84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0" w:type="dxa"/>
            <w:vAlign w:val="bottom"/>
          </w:tcPr>
          <w:p>
            <w:pPr>
              <w:spacing w:after="0"/>
              <w:rPr>
                <w:sz w:val="1"/>
                <w:szCs w:val="1"/>
                <w:color w:val="auto"/>
              </w:rPr>
            </w:pPr>
          </w:p>
        </w:tc>
      </w:tr>
      <w:tr>
        <w:trPr>
          <w:trHeight w:val="224"/>
        </w:trPr>
        <w:tc>
          <w:tcPr>
            <w:tcW w:w="8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134,243</w:t>
            </w:r>
          </w:p>
        </w:tc>
        <w:tc>
          <w:tcPr>
            <w:tcW w:w="0" w:type="dxa"/>
            <w:vAlign w:val="bottom"/>
          </w:tcPr>
          <w:p>
            <w:pPr>
              <w:spacing w:after="0"/>
              <w:rPr>
                <w:sz w:val="1"/>
                <w:szCs w:val="1"/>
                <w:color w:val="auto"/>
              </w:rPr>
            </w:pPr>
          </w:p>
        </w:tc>
      </w:tr>
      <w:tr>
        <w:trPr>
          <w:trHeight w:val="20"/>
        </w:trPr>
        <w:tc>
          <w:tcPr>
            <w:tcW w:w="84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Other selected data:</w:t>
            </w: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7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4,124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 January 2023, a $0.4 million adjustment was made to the gain on sale of the former Tank and Pump segment due to the final contractual working capital adjustment. Including this adjustment, the total gain on sale of discontinued operations was $176.1 million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240" w:type="dxa"/>
            <w:vAlign w:val="bottom"/>
            <w:gridSpan w:val="6"/>
            <w:shd w:val="clear" w:color="auto" w:fill="1D2758"/>
          </w:tcPr>
          <w:p>
            <w:pPr>
              <w:jc w:val="center"/>
              <w:ind w:left="903"/>
              <w:spacing w:after="0"/>
              <w:rPr>
                <w:sz w:val="20"/>
                <w:szCs w:val="20"/>
                <w:color w:val="auto"/>
              </w:rPr>
            </w:pPr>
            <w:r>
              <w:rPr>
                <w:rFonts w:ascii="Arial" w:cs="Arial" w:eastAsia="Arial" w:hAnsi="Arial"/>
                <w:sz w:val="15"/>
                <w:szCs w:val="15"/>
                <w:b w:val="1"/>
                <w:bCs w:val="1"/>
                <w:color w:val="FFFFFF"/>
              </w:rPr>
              <w:t>Three Months Ended September 30, 2022</w:t>
            </w:r>
          </w:p>
        </w:tc>
        <w:tc>
          <w:tcPr>
            <w:tcW w:w="1200" w:type="dxa"/>
            <w:vAlign w:val="bottom"/>
            <w:shd w:val="clear" w:color="auto" w:fill="1D2758"/>
          </w:tcPr>
          <w:p>
            <w:pPr>
              <w:spacing w:after="0"/>
              <w:rPr>
                <w:sz w:val="17"/>
                <w:szCs w:val="17"/>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Tank and Pump</w:t>
            </w:r>
          </w:p>
        </w:tc>
        <w:tc>
          <w:tcPr>
            <w:tcW w:w="100" w:type="dxa"/>
            <w:vAlign w:val="bottom"/>
            <w:shd w:val="clear" w:color="auto" w:fill="1D2758"/>
          </w:tcPr>
          <w:p>
            <w:pPr>
              <w:spacing w:after="0"/>
              <w:rPr>
                <w:sz w:val="17"/>
                <w:szCs w:val="17"/>
                <w:color w:val="auto"/>
              </w:rPr>
            </w:pPr>
          </w:p>
        </w:tc>
        <w:tc>
          <w:tcPr>
            <w:tcW w:w="182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UK Storage Solutions</w:t>
            </w:r>
          </w:p>
        </w:tc>
        <w:tc>
          <w:tcPr>
            <w:tcW w:w="62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22,432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19,693</w:t>
            </w: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42,125</w:t>
            </w: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10,121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5,822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15,943</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1,135</w:t>
            </w: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593</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950</w:t>
            </w:r>
          </w:p>
        </w:tc>
      </w:tr>
      <w:tr>
        <w:trPr>
          <w:trHeight w:val="196"/>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33,988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26,165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60,153</w:t>
            </w: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4,913</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4,179</w:t>
            </w: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9,092</w:t>
            </w: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8,634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3,935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12,569</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842</w:t>
            </w: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251</w:t>
            </w: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489</w:t>
            </w: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1,822</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1,144</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2,966</w:t>
            </w: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17,748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16,447</w:t>
            </w:r>
          </w:p>
        </w:tc>
        <w:tc>
          <w:tcPr>
            <w:tcW w:w="10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34,195</w:t>
            </w: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5,544</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5,328</w:t>
            </w: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10,872</w:t>
            </w: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1,410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2,684</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2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w:t>
            </w: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net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10,946</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9,638</w:t>
            </w:r>
          </w:p>
        </w:tc>
        <w:tc>
          <w:tcPr>
            <w:tcW w:w="10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20,584</w:t>
            </w: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r>
      <w:tr>
        <w:trPr>
          <w:trHeight w:val="202"/>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10,802</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9,483</w:t>
            </w:r>
          </w:p>
        </w:tc>
        <w:tc>
          <w:tcPr>
            <w:tcW w:w="10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20,285</w:t>
            </w: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1,931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3,917</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34,049</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34,049</w:t>
            </w:r>
          </w:p>
        </w:tc>
      </w:tr>
      <w:tr>
        <w:trPr>
          <w:trHeight w:val="196"/>
        </w:trPr>
        <w:tc>
          <w:tcPr>
            <w:tcW w:w="558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42,865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7,552</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50,417</w:t>
            </w: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5"/>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201"/>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13,048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11,971</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25,019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220" w:type="dxa"/>
            <w:vAlign w:val="bottom"/>
            <w:gridSpan w:val="6"/>
            <w:shd w:val="clear" w:color="auto" w:fill="1D2758"/>
          </w:tcPr>
          <w:p>
            <w:pPr>
              <w:jc w:val="center"/>
              <w:ind w:left="923"/>
              <w:spacing w:after="0"/>
              <w:rPr>
                <w:sz w:val="20"/>
                <w:szCs w:val="20"/>
                <w:color w:val="auto"/>
              </w:rPr>
            </w:pPr>
            <w:r>
              <w:rPr>
                <w:rFonts w:ascii="Arial" w:cs="Arial" w:eastAsia="Arial" w:hAnsi="Arial"/>
                <w:sz w:val="15"/>
                <w:szCs w:val="15"/>
                <w:b w:val="1"/>
                <w:bCs w:val="1"/>
                <w:color w:val="FFFFFF"/>
              </w:rPr>
              <w:t>Nine Months Ended September 30, 2022</w:t>
            </w:r>
          </w:p>
        </w:tc>
        <w:tc>
          <w:tcPr>
            <w:tcW w:w="1220" w:type="dxa"/>
            <w:vAlign w:val="bottom"/>
            <w:shd w:val="clear" w:color="auto" w:fill="1D2758"/>
          </w:tcPr>
          <w:p>
            <w:pPr>
              <w:spacing w:after="0"/>
              <w:rPr>
                <w:sz w:val="17"/>
                <w:szCs w:val="17"/>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Tank and Pump</w:t>
            </w:r>
          </w:p>
        </w:tc>
        <w:tc>
          <w:tcPr>
            <w:tcW w:w="100" w:type="dxa"/>
            <w:vAlign w:val="bottom"/>
            <w:shd w:val="clear" w:color="auto" w:fill="1D2758"/>
          </w:tcPr>
          <w:p>
            <w:pPr>
              <w:spacing w:after="0"/>
              <w:rPr>
                <w:sz w:val="17"/>
                <w:szCs w:val="17"/>
                <w:color w:val="auto"/>
              </w:rPr>
            </w:pPr>
          </w:p>
        </w:tc>
        <w:tc>
          <w:tcPr>
            <w:tcW w:w="182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UK Storage Solutions</w:t>
            </w:r>
          </w:p>
        </w:tc>
        <w:tc>
          <w:tcPr>
            <w:tcW w:w="60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65,572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60,420</w:t>
            </w: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125,992</w:t>
            </w: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27,665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17,631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45,296</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2,202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910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3,112</w:t>
            </w: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917</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1,310</w:t>
            </w:r>
          </w:p>
        </w:tc>
        <w:tc>
          <w:tcPr>
            <w:tcW w:w="100" w:type="dxa"/>
            <w:vAlign w:val="bottom"/>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2,227</w:t>
            </w:r>
          </w:p>
        </w:tc>
      </w:tr>
      <w:tr>
        <w:trPr>
          <w:trHeight w:val="196"/>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96,356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80,271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176,627</w:t>
            </w: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13,828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12,609</w:t>
            </w: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26,437</w:t>
            </w: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23,285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11,269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34,554</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594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2,230</w:t>
            </w: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908</w:t>
            </w: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1,218</w:t>
            </w: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8,145</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3,436</w:t>
            </w:r>
          </w:p>
        </w:tc>
        <w:tc>
          <w:tcPr>
            <w:tcW w:w="100" w:type="dxa"/>
            <w:vAlign w:val="bottom"/>
            <w:tcBorders>
              <w:bottom w:val="single" w:sz="8" w:color="DBDBDB"/>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11,581</w:t>
            </w: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49,152</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51,455</w:t>
            </w:r>
          </w:p>
        </w:tc>
        <w:tc>
          <w:tcPr>
            <w:tcW w:w="1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100,607</w:t>
            </w: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18,045</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17,097</w:t>
            </w: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35,142</w:t>
            </w: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6,103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4,925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11,028</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2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w:t>
            </w: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DBDBDB"/>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29,355</w:t>
            </w:r>
          </w:p>
        </w:tc>
        <w:tc>
          <w:tcPr>
            <w:tcW w:w="1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54,355</w:t>
            </w: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w:t>
            </w:r>
          </w:p>
        </w:tc>
        <w:tc>
          <w:tcPr>
            <w:tcW w:w="100" w:type="dxa"/>
            <w:vAlign w:val="bottom"/>
            <w:tcBorders>
              <w:bottom w:val="single" w:sz="8" w:color="DBDBDB"/>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1,143</w:t>
            </w:r>
          </w:p>
        </w:tc>
      </w:tr>
      <w:tr>
        <w:trPr>
          <w:trHeight w:val="202"/>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24,488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28,724</w:t>
            </w:r>
          </w:p>
        </w:tc>
        <w:tc>
          <w:tcPr>
            <w:tcW w:w="1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53,212</w:t>
            </w: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5,496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5,948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11,444</w:t>
            </w: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34,049</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34,049</w:t>
            </w:r>
          </w:p>
        </w:tc>
      </w:tr>
      <w:tr>
        <w:trPr>
          <w:trHeight w:val="196"/>
        </w:trPr>
        <w:tc>
          <w:tcPr>
            <w:tcW w:w="558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53,041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22,776</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75,817</w:t>
            </w: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r>
      <w:tr>
        <w:trPr>
          <w:trHeight w:val="201"/>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37,016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36,745</w:t>
            </w:r>
          </w:p>
        </w:tc>
        <w:tc>
          <w:tcPr>
            <w:tcW w:w="1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73,761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6"/>
        </w:trPr>
        <w:tc>
          <w:tcPr>
            <w:tcW w:w="83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4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83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46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UK Storage Solutions</w:t>
            </w:r>
          </w:p>
        </w:tc>
      </w:tr>
      <w:tr>
        <w:trPr>
          <w:trHeight w:val="206"/>
        </w:trPr>
        <w:tc>
          <w:tcPr>
            <w:tcW w:w="8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2460" w:type="dxa"/>
            <w:vAlign w:val="bottom"/>
            <w:shd w:val="clear" w:color="auto" w:fill="DBDBDB"/>
          </w:tcPr>
          <w:p>
            <w:pPr>
              <w:spacing w:after="0"/>
              <w:rPr>
                <w:sz w:val="17"/>
                <w:szCs w:val="17"/>
                <w:color w:val="auto"/>
              </w:rPr>
            </w:pP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60" w:type="dxa"/>
            <w:vAlign w:val="bottom"/>
          </w:tcPr>
          <w:p>
            <w:pPr>
              <w:jc w:val="right"/>
              <w:spacing w:after="0"/>
              <w:rPr>
                <w:sz w:val="20"/>
                <w:szCs w:val="20"/>
                <w:color w:val="auto"/>
              </w:rPr>
            </w:pPr>
            <w:r>
              <w:rPr>
                <w:rFonts w:ascii="Arial" w:cs="Arial" w:eastAsia="Arial" w:hAnsi="Arial"/>
                <w:sz w:val="15"/>
                <w:szCs w:val="15"/>
                <w:color w:val="auto"/>
              </w:rPr>
              <w:t>10,384</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receivables, net of allowances for doubtful accounts of $300</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15,991</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3,058</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1,787</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165,853</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Property, plant and equipment, net</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20,645</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15,134</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58,144</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6,414</w:t>
            </w:r>
          </w:p>
        </w:tc>
      </w:tr>
      <w:tr>
        <w:trPr>
          <w:trHeight w:val="206"/>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assets</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1,832</w:t>
            </w:r>
          </w:p>
        </w:tc>
      </w:tr>
      <w:tr>
        <w:trPr>
          <w:trHeight w:val="202"/>
        </w:trPr>
        <w:tc>
          <w:tcPr>
            <w:tcW w:w="8340" w:type="dxa"/>
            <w:vAlign w:val="bottom"/>
          </w:tcPr>
          <w:p>
            <w:pPr>
              <w:ind w:left="20"/>
              <w:spacing w:after="0"/>
              <w:rPr>
                <w:sz w:val="20"/>
                <w:szCs w:val="20"/>
                <w:color w:val="auto"/>
              </w:rPr>
            </w:pPr>
            <w:r>
              <w:rPr>
                <w:rFonts w:ascii="Arial" w:cs="Arial" w:eastAsia="Arial" w:hAnsi="Arial"/>
                <w:sz w:val="15"/>
                <w:szCs w:val="15"/>
                <w:color w:val="auto"/>
              </w:rPr>
              <w:t>Total assets held for sale</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60" w:type="dxa"/>
            <w:vAlign w:val="bottom"/>
          </w:tcPr>
          <w:p>
            <w:pPr>
              <w:jc w:val="right"/>
              <w:spacing w:after="0"/>
              <w:rPr>
                <w:sz w:val="20"/>
                <w:szCs w:val="20"/>
                <w:color w:val="auto"/>
              </w:rPr>
            </w:pPr>
            <w:r>
              <w:rPr>
                <w:rFonts w:ascii="Arial" w:cs="Arial" w:eastAsia="Arial" w:hAnsi="Arial"/>
                <w:sz w:val="15"/>
                <w:szCs w:val="15"/>
                <w:color w:val="auto"/>
              </w:rPr>
              <w:t>299,242</w:t>
            </w:r>
          </w:p>
        </w:tc>
      </w:tr>
      <w:tr>
        <w:trPr>
          <w:trHeight w:val="20"/>
        </w:trPr>
        <w:tc>
          <w:tcPr>
            <w:tcW w:w="83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8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2460" w:type="dxa"/>
            <w:vAlign w:val="bottom"/>
            <w:shd w:val="clear" w:color="auto" w:fill="DBDBDB"/>
          </w:tcPr>
          <w:p>
            <w:pPr>
              <w:spacing w:after="0"/>
              <w:rPr>
                <w:sz w:val="14"/>
                <w:szCs w:val="14"/>
                <w:color w:val="auto"/>
              </w:rPr>
            </w:pP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60" w:type="dxa"/>
            <w:vAlign w:val="bottom"/>
          </w:tcPr>
          <w:p>
            <w:pPr>
              <w:jc w:val="right"/>
              <w:spacing w:after="0"/>
              <w:rPr>
                <w:sz w:val="20"/>
                <w:szCs w:val="20"/>
                <w:color w:val="auto"/>
              </w:rPr>
            </w:pPr>
            <w:r>
              <w:rPr>
                <w:rFonts w:ascii="Arial" w:cs="Arial" w:eastAsia="Arial" w:hAnsi="Arial"/>
                <w:sz w:val="15"/>
                <w:szCs w:val="15"/>
                <w:color w:val="auto"/>
              </w:rPr>
              <w:t>4,515</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expenses</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3,273</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1,009</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6,850</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Deferred tax liabilities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29,737</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liabilities</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15,192</w:t>
            </w:r>
          </w:p>
        </w:tc>
      </w:tr>
      <w:tr>
        <w:trPr>
          <w:trHeight w:val="203"/>
        </w:trPr>
        <w:tc>
          <w:tcPr>
            <w:tcW w:w="83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non-current liabilities</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r>
      <w:tr>
        <w:trPr>
          <w:trHeight w:val="222"/>
        </w:trPr>
        <w:tc>
          <w:tcPr>
            <w:tcW w:w="8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liabilities held for sale</w:t>
            </w:r>
          </w:p>
        </w:tc>
        <w:tc>
          <w:tcPr>
            <w:tcW w:w="44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66,854</w:t>
            </w:r>
          </w:p>
        </w:tc>
      </w:tr>
      <w:tr>
        <w:trPr>
          <w:trHeight w:val="20"/>
        </w:trPr>
        <w:tc>
          <w:tcPr>
            <w:tcW w:w="83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nine months ended September 30, 2022, significant operating and investing items related to the former Tank and Pump segment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80" w:type="dxa"/>
            <w:vAlign w:val="bottom"/>
            <w:shd w:val="clear" w:color="auto" w:fill="1D2758"/>
          </w:tcPr>
          <w:p>
            <w:pPr>
              <w:spacing w:after="0"/>
              <w:rPr>
                <w:sz w:val="14"/>
                <w:szCs w:val="14"/>
                <w:color w:val="auto"/>
              </w:rPr>
            </w:pPr>
          </w:p>
        </w:tc>
        <w:tc>
          <w:tcPr>
            <w:tcW w:w="270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6060" w:type="dxa"/>
            <w:vAlign w:val="bottom"/>
            <w:shd w:val="clear" w:color="auto" w:fill="1D2758"/>
          </w:tcPr>
          <w:p>
            <w:pPr>
              <w:spacing w:after="0"/>
              <w:rPr>
                <w:sz w:val="17"/>
                <w:szCs w:val="17"/>
                <w:color w:val="auto"/>
              </w:rPr>
            </w:pPr>
          </w:p>
        </w:tc>
        <w:tc>
          <w:tcPr>
            <w:tcW w:w="2480" w:type="dxa"/>
            <w:vAlign w:val="bottom"/>
            <w:shd w:val="clear" w:color="auto" w:fill="1D2758"/>
          </w:tcPr>
          <w:p>
            <w:pPr>
              <w:spacing w:after="0"/>
              <w:rPr>
                <w:sz w:val="17"/>
                <w:szCs w:val="17"/>
                <w:color w:val="auto"/>
              </w:rPr>
            </w:pPr>
          </w:p>
        </w:tc>
        <w:tc>
          <w:tcPr>
            <w:tcW w:w="2700" w:type="dxa"/>
            <w:vAlign w:val="bottom"/>
            <w:shd w:val="clear" w:color="auto" w:fill="1D2758"/>
          </w:tcPr>
          <w:p>
            <w:pPr>
              <w:jc w:val="right"/>
              <w:ind w:right="116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2480" w:type="dxa"/>
            <w:vAlign w:val="bottom"/>
            <w:shd w:val="clear" w:color="auto" w:fill="DBDBDB"/>
          </w:tcPr>
          <w:p>
            <w:pPr>
              <w:spacing w:after="0"/>
              <w:rPr>
                <w:sz w:val="17"/>
                <w:szCs w:val="17"/>
                <w:color w:val="auto"/>
              </w:rPr>
            </w:pPr>
          </w:p>
        </w:tc>
        <w:tc>
          <w:tcPr>
            <w:tcW w:w="2700" w:type="dxa"/>
            <w:vAlign w:val="bottom"/>
            <w:shd w:val="clear" w:color="auto" w:fill="DBDBDB"/>
          </w:tcPr>
          <w:p>
            <w:pPr>
              <w:spacing w:after="0"/>
              <w:rPr>
                <w:sz w:val="17"/>
                <w:szCs w:val="17"/>
                <w:color w:val="auto"/>
              </w:rPr>
            </w:pPr>
          </w:p>
        </w:tc>
      </w:tr>
      <w:tr>
        <w:trPr>
          <w:trHeight w:val="203"/>
        </w:trPr>
        <w:tc>
          <w:tcPr>
            <w:tcW w:w="60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2480" w:type="dxa"/>
            <w:vAlign w:val="bottom"/>
          </w:tcPr>
          <w:p>
            <w:pPr>
              <w:jc w:val="right"/>
              <w:spacing w:after="0"/>
              <w:rPr>
                <w:sz w:val="20"/>
                <w:szCs w:val="20"/>
                <w:color w:val="auto"/>
              </w:rPr>
            </w:pPr>
            <w:r>
              <w:rPr>
                <w:rFonts w:ascii="Arial" w:cs="Arial" w:eastAsia="Arial" w:hAnsi="Arial"/>
                <w:sz w:val="15"/>
                <w:szCs w:val="15"/>
                <w:color w:val="auto"/>
              </w:rPr>
              <w:t>$</w:t>
            </w:r>
          </w:p>
        </w:tc>
        <w:tc>
          <w:tcPr>
            <w:tcW w:w="2700" w:type="dxa"/>
            <w:vAlign w:val="bottom"/>
          </w:tcPr>
          <w:p>
            <w:pPr>
              <w:jc w:val="right"/>
              <w:spacing w:after="0"/>
              <w:rPr>
                <w:sz w:val="20"/>
                <w:szCs w:val="20"/>
                <w:color w:val="auto"/>
              </w:rPr>
            </w:pPr>
            <w:r>
              <w:rPr>
                <w:rFonts w:ascii="Arial" w:cs="Arial" w:eastAsia="Arial" w:hAnsi="Arial"/>
                <w:sz w:val="15"/>
                <w:szCs w:val="15"/>
                <w:color w:val="auto"/>
              </w:rPr>
              <w:t>14,248</w:t>
            </w:r>
          </w:p>
        </w:tc>
      </w:tr>
      <w:tr>
        <w:trPr>
          <w:trHeight w:val="209"/>
        </w:trPr>
        <w:tc>
          <w:tcPr>
            <w:tcW w:w="6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248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r>
      <w:tr>
        <w:trPr>
          <w:trHeight w:val="203"/>
        </w:trPr>
        <w:tc>
          <w:tcPr>
            <w:tcW w:w="606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2480" w:type="dxa"/>
            <w:vAlign w:val="bottom"/>
          </w:tcPr>
          <w:p>
            <w:pPr>
              <w:jc w:val="right"/>
              <w:spacing w:after="0"/>
              <w:rPr>
                <w:sz w:val="20"/>
                <w:szCs w:val="20"/>
                <w:color w:val="auto"/>
              </w:rPr>
            </w:pPr>
            <w:r>
              <w:rPr>
                <w:rFonts w:ascii="Arial" w:cs="Arial" w:eastAsia="Arial" w:hAnsi="Arial"/>
                <w:sz w:val="15"/>
                <w:szCs w:val="15"/>
                <w:color w:val="auto"/>
              </w:rPr>
              <w:t>$</w:t>
            </w:r>
          </w:p>
        </w:tc>
        <w:tc>
          <w:tcPr>
            <w:tcW w:w="2700" w:type="dxa"/>
            <w:vAlign w:val="bottom"/>
          </w:tcPr>
          <w:p>
            <w:pPr>
              <w:jc w:val="right"/>
              <w:spacing w:after="0"/>
              <w:rPr>
                <w:sz w:val="20"/>
                <w:szCs w:val="20"/>
                <w:color w:val="auto"/>
              </w:rPr>
            </w:pPr>
            <w:r>
              <w:rPr>
                <w:rFonts w:ascii="Arial" w:cs="Arial" w:eastAsia="Arial" w:hAnsi="Arial"/>
                <w:sz w:val="15"/>
                <w:szCs w:val="15"/>
                <w:color w:val="auto"/>
              </w:rPr>
              <w:t>918</w:t>
            </w:r>
          </w:p>
        </w:tc>
      </w:tr>
      <w:tr>
        <w:trPr>
          <w:trHeight w:val="209"/>
        </w:trPr>
        <w:tc>
          <w:tcPr>
            <w:tcW w:w="6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(21,831)</w:t>
            </w:r>
          </w:p>
        </w:tc>
      </w:tr>
      <w:tr>
        <w:trPr>
          <w:trHeight w:val="201"/>
        </w:trPr>
        <w:tc>
          <w:tcPr>
            <w:tcW w:w="60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480" w:type="dxa"/>
            <w:vAlign w:val="bottom"/>
          </w:tcPr>
          <w:p>
            <w:pPr>
              <w:jc w:val="right"/>
              <w:spacing w:after="0"/>
              <w:rPr>
                <w:sz w:val="20"/>
                <w:szCs w:val="20"/>
                <w:color w:val="auto"/>
              </w:rPr>
            </w:pPr>
            <w:r>
              <w:rPr>
                <w:rFonts w:ascii="Arial" w:cs="Arial" w:eastAsia="Arial" w:hAnsi="Arial"/>
                <w:sz w:val="15"/>
                <w:szCs w:val="15"/>
                <w:color w:val="auto"/>
              </w:rPr>
              <w:t>$</w:t>
            </w:r>
          </w:p>
        </w:tc>
        <w:tc>
          <w:tcPr>
            <w:tcW w:w="2700" w:type="dxa"/>
            <w:vAlign w:val="bottom"/>
          </w:tcPr>
          <w:p>
            <w:pPr>
              <w:jc w:val="right"/>
              <w:spacing w:after="0"/>
              <w:rPr>
                <w:sz w:val="20"/>
                <w:szCs w:val="20"/>
                <w:color w:val="auto"/>
              </w:rPr>
            </w:pPr>
            <w:r>
              <w:rPr>
                <w:rFonts w:ascii="Arial" w:cs="Arial" w:eastAsia="Arial" w:hAnsi="Arial"/>
                <w:sz w:val="15"/>
                <w:szCs w:val="15"/>
                <w:color w:val="auto"/>
              </w:rPr>
              <w:t>(525)</w:t>
            </w:r>
          </w:p>
        </w:tc>
      </w:tr>
    </w:tbl>
    <w:p>
      <w:pPr>
        <w:spacing w:after="0" w:line="13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following table presents a reconciliation of Income from discontinued operations before income tax to Adjusted EBITDA from discontinued operations for the former Tank and Pump segment for the three and nine months ended September 30, 2022. See Note 16 for further information regarding Adjusted EBITDA.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5"/>
                <w:szCs w:val="15"/>
                <w:color w:val="auto"/>
              </w:rPr>
            </w:pPr>
          </w:p>
        </w:tc>
        <w:tc>
          <w:tcPr>
            <w:tcW w:w="2100" w:type="dxa"/>
            <w:vAlign w:val="bottom"/>
            <w:gridSpan w:val="2"/>
            <w:shd w:val="clear" w:color="auto" w:fill="1D2758"/>
          </w:tcPr>
          <w:p>
            <w:pPr>
              <w:jc w:val="center"/>
              <w:ind w:right="300"/>
              <w:spacing w:after="0"/>
              <w:rPr>
                <w:sz w:val="20"/>
                <w:szCs w:val="20"/>
                <w:color w:val="auto"/>
              </w:rPr>
            </w:pPr>
            <w:r>
              <w:rPr>
                <w:rFonts w:ascii="Arial" w:cs="Arial" w:eastAsia="Arial" w:hAnsi="Arial"/>
                <w:sz w:val="15"/>
                <w:szCs w:val="15"/>
                <w:b w:val="1"/>
                <w:bCs w:val="1"/>
                <w:color w:val="FFFFFF"/>
              </w:rPr>
              <w:t>Three Months Ended</w:t>
            </w:r>
          </w:p>
        </w:tc>
        <w:tc>
          <w:tcPr>
            <w:tcW w:w="260" w:type="dxa"/>
            <w:vAlign w:val="bottom"/>
            <w:shd w:val="clear" w:color="auto" w:fill="1D2758"/>
          </w:tcPr>
          <w:p>
            <w:pPr>
              <w:spacing w:after="0"/>
              <w:rPr>
                <w:sz w:val="15"/>
                <w:szCs w:val="15"/>
                <w:color w:val="auto"/>
              </w:rPr>
            </w:pPr>
          </w:p>
        </w:tc>
        <w:tc>
          <w:tcPr>
            <w:tcW w:w="19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66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2100" w:type="dxa"/>
            <w:vAlign w:val="bottom"/>
            <w:gridSpan w:val="2"/>
            <w:shd w:val="clear" w:color="auto" w:fill="1D2758"/>
          </w:tcPr>
          <w:p>
            <w:pPr>
              <w:jc w:val="center"/>
              <w:ind w:right="300"/>
              <w:spacing w:after="0"/>
              <w:rPr>
                <w:sz w:val="20"/>
                <w:szCs w:val="20"/>
                <w:color w:val="auto"/>
              </w:rPr>
            </w:pPr>
            <w:r>
              <w:rPr>
                <w:rFonts w:ascii="Arial" w:cs="Arial" w:eastAsia="Arial" w:hAnsi="Arial"/>
                <w:sz w:val="15"/>
                <w:szCs w:val="15"/>
                <w:b w:val="1"/>
                <w:bCs w:val="1"/>
                <w:color w:val="FFFFFF"/>
              </w:rPr>
              <w:t>September 30, 2022</w:t>
            </w:r>
          </w:p>
        </w:tc>
        <w:tc>
          <w:tcPr>
            <w:tcW w:w="260" w:type="dxa"/>
            <w:vAlign w:val="bottom"/>
            <w:shd w:val="clear" w:color="auto" w:fill="1D2758"/>
          </w:tcPr>
          <w:p>
            <w:pPr>
              <w:spacing w:after="0"/>
              <w:rPr>
                <w:sz w:val="17"/>
                <w:szCs w:val="17"/>
                <w:color w:val="auto"/>
              </w:rPr>
            </w:pPr>
          </w:p>
        </w:tc>
        <w:tc>
          <w:tcPr>
            <w:tcW w:w="19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September 30, 2022</w:t>
            </w:r>
          </w:p>
        </w:tc>
        <w:tc>
          <w:tcPr>
            <w:tcW w:w="0" w:type="dxa"/>
            <w:vAlign w:val="bottom"/>
          </w:tcPr>
          <w:p>
            <w:pPr>
              <w:spacing w:after="0"/>
              <w:rPr>
                <w:sz w:val="1"/>
                <w:szCs w:val="1"/>
                <w:color w:val="auto"/>
              </w:rPr>
            </w:pPr>
          </w:p>
        </w:tc>
      </w:tr>
      <w:tr>
        <w:trPr>
          <w:trHeight w:val="206"/>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42,865</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53,041</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20" w:type="dxa"/>
            <w:vAlign w:val="bottom"/>
          </w:tcPr>
          <w:p>
            <w:pPr>
              <w:spacing w:after="0"/>
              <w:rPr>
                <w:sz w:val="17"/>
                <w:szCs w:val="17"/>
                <w:color w:val="auto"/>
              </w:rPr>
            </w:pPr>
          </w:p>
        </w:tc>
        <w:tc>
          <w:tcPr>
            <w:tcW w:w="2020" w:type="dxa"/>
            <w:vAlign w:val="bottom"/>
          </w:tcPr>
          <w:p>
            <w:pPr>
              <w:jc w:val="right"/>
              <w:ind w:right="3"/>
              <w:spacing w:after="0"/>
              <w:rPr>
                <w:sz w:val="20"/>
                <w:szCs w:val="20"/>
                <w:color w:val="auto"/>
              </w:rPr>
            </w:pPr>
            <w:r>
              <w:rPr>
                <w:rFonts w:ascii="Arial" w:cs="Arial" w:eastAsia="Arial" w:hAnsi="Arial"/>
                <w:sz w:val="15"/>
                <w:szCs w:val="15"/>
                <w:color w:val="auto"/>
              </w:rPr>
              <w:t>34,049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34,049</w:t>
            </w:r>
          </w:p>
        </w:tc>
        <w:tc>
          <w:tcPr>
            <w:tcW w:w="0" w:type="dxa"/>
            <w:vAlign w:val="bottom"/>
          </w:tcPr>
          <w:p>
            <w:pPr>
              <w:spacing w:after="0"/>
              <w:rPr>
                <w:sz w:val="1"/>
                <w:szCs w:val="1"/>
                <w:color w:val="auto"/>
              </w:rPr>
            </w:pPr>
          </w:p>
        </w:tc>
      </w:tr>
      <w:tr>
        <w:trPr>
          <w:trHeight w:val="209"/>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1,986</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5,496</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Arial" w:cs="Arial" w:eastAsia="Arial" w:hAnsi="Arial"/>
                <w:sz w:val="15"/>
                <w:szCs w:val="15"/>
                <w:color w:val="auto"/>
              </w:rPr>
              <w:t>Income from discontinued operations before income tax and gain on sale</w:t>
            </w:r>
          </w:p>
        </w:tc>
        <w:tc>
          <w:tcPr>
            <w:tcW w:w="220" w:type="dxa"/>
            <w:vAlign w:val="bottom"/>
          </w:tcPr>
          <w:p>
            <w:pPr>
              <w:spacing w:after="0"/>
              <w:rPr>
                <w:sz w:val="17"/>
                <w:szCs w:val="17"/>
                <w:color w:val="auto"/>
              </w:rPr>
            </w:pPr>
          </w:p>
        </w:tc>
        <w:tc>
          <w:tcPr>
            <w:tcW w:w="2020" w:type="dxa"/>
            <w:vAlign w:val="bottom"/>
          </w:tcPr>
          <w:p>
            <w:pPr>
              <w:jc w:val="right"/>
              <w:ind w:right="3"/>
              <w:spacing w:after="0"/>
              <w:rPr>
                <w:sz w:val="20"/>
                <w:szCs w:val="20"/>
                <w:color w:val="auto"/>
              </w:rPr>
            </w:pPr>
            <w:r>
              <w:rPr>
                <w:rFonts w:ascii="Arial" w:cs="Arial" w:eastAsia="Arial" w:hAnsi="Arial"/>
                <w:sz w:val="15"/>
                <w:szCs w:val="15"/>
                <w:color w:val="auto"/>
              </w:rPr>
              <w:t>10,802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24,488</w:t>
            </w:r>
          </w:p>
        </w:tc>
        <w:tc>
          <w:tcPr>
            <w:tcW w:w="0" w:type="dxa"/>
            <w:vAlign w:val="bottom"/>
          </w:tcPr>
          <w:p>
            <w:pPr>
              <w:spacing w:after="0"/>
              <w:rPr>
                <w:sz w:val="1"/>
                <w:szCs w:val="1"/>
                <w:color w:val="auto"/>
              </w:rPr>
            </w:pPr>
          </w:p>
        </w:tc>
      </w:tr>
      <w:tr>
        <w:trPr>
          <w:trHeight w:val="20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DBDBDB"/>
          </w:tcPr>
          <w:p>
            <w:pPr>
              <w:spacing w:after="0"/>
              <w:rPr>
                <w:sz w:val="18"/>
                <w:szCs w:val="18"/>
                <w:color w:val="auto"/>
              </w:rPr>
            </w:pPr>
          </w:p>
        </w:tc>
        <w:tc>
          <w:tcPr>
            <w:tcW w:w="20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144</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512</w:t>
            </w:r>
          </w:p>
        </w:tc>
        <w:tc>
          <w:tcPr>
            <w:tcW w:w="0" w:type="dxa"/>
            <w:vAlign w:val="bottom"/>
          </w:tcPr>
          <w:p>
            <w:pPr>
              <w:spacing w:after="0"/>
              <w:rPr>
                <w:sz w:val="1"/>
                <w:szCs w:val="1"/>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2020" w:type="dxa"/>
            <w:vAlign w:val="bottom"/>
          </w:tcPr>
          <w:p>
            <w:pPr>
              <w:jc w:val="right"/>
              <w:ind w:right="3"/>
              <w:spacing w:after="0"/>
              <w:rPr>
                <w:sz w:val="20"/>
                <w:szCs w:val="20"/>
                <w:color w:val="auto"/>
              </w:rPr>
            </w:pPr>
            <w:r>
              <w:rPr>
                <w:rFonts w:ascii="Arial" w:cs="Arial" w:eastAsia="Arial" w:hAnsi="Arial"/>
                <w:sz w:val="15"/>
                <w:szCs w:val="15"/>
                <w:color w:val="auto"/>
              </w:rPr>
              <w:t>3,096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14,248</w:t>
            </w:r>
          </w:p>
        </w:tc>
        <w:tc>
          <w:tcPr>
            <w:tcW w:w="0" w:type="dxa"/>
            <w:vAlign w:val="bottom"/>
          </w:tcPr>
          <w:p>
            <w:pPr>
              <w:spacing w:after="0"/>
              <w:rPr>
                <w:sz w:val="1"/>
                <w:szCs w:val="1"/>
                <w:color w:val="auto"/>
              </w:rPr>
            </w:pPr>
          </w:p>
        </w:tc>
      </w:tr>
      <w:tr>
        <w:trPr>
          <w:trHeight w:val="20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22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(773)</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w:t>
            </w:r>
          </w:p>
        </w:tc>
        <w:tc>
          <w:tcPr>
            <w:tcW w:w="0" w:type="dxa"/>
            <w:vAlign w:val="bottom"/>
          </w:tcPr>
          <w:p>
            <w:pPr>
              <w:spacing w:after="0"/>
              <w:rPr>
                <w:sz w:val="1"/>
                <w:szCs w:val="1"/>
                <w:color w:val="auto"/>
              </w:rPr>
            </w:pPr>
          </w:p>
        </w:tc>
      </w:tr>
      <w:tr>
        <w:trPr>
          <w:trHeight w:val="227"/>
        </w:trPr>
        <w:tc>
          <w:tcPr>
            <w:tcW w:w="6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20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13,048</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37,016</w:t>
            </w:r>
          </w:p>
        </w:tc>
        <w:tc>
          <w:tcPr>
            <w:tcW w:w="0" w:type="dxa"/>
            <w:vAlign w:val="bottom"/>
          </w:tcPr>
          <w:p>
            <w:pPr>
              <w:spacing w:after="0"/>
              <w:rPr>
                <w:sz w:val="1"/>
                <w:szCs w:val="1"/>
                <w:color w:val="auto"/>
              </w:rPr>
            </w:pPr>
          </w:p>
        </w:tc>
      </w:tr>
      <w:tr>
        <w:trPr>
          <w:trHeight w:val="20"/>
        </w:trPr>
        <w:tc>
          <w:tcPr>
            <w:tcW w:w="66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4" w:name="page15"/>
    <w:bookmarkEnd w:id="14"/>
    <w:p>
      <w:pPr>
        <w:ind w:left="620"/>
        <w:spacing w:after="0"/>
        <w:rPr>
          <w:sz w:val="20"/>
          <w:szCs w:val="20"/>
          <w:color w:val="auto"/>
        </w:rPr>
      </w:pPr>
      <w:r>
        <w:rPr>
          <w:rFonts w:ascii="Arial" w:cs="Arial" w:eastAsia="Arial" w:hAnsi="Arial"/>
          <w:sz w:val="15"/>
          <w:szCs w:val="15"/>
          <w:color w:val="auto"/>
        </w:rPr>
        <w:t>For the nine months ended September 30, 2023 and 2022, significant operating and investing items related to the former UK Storage Solutions segment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spacing w:after="0"/>
              <w:rPr>
                <w:sz w:val="20"/>
                <w:szCs w:val="20"/>
                <w:color w:val="auto"/>
              </w:rPr>
            </w:pPr>
            <w:r>
              <w:rPr>
                <w:rFonts w:ascii="Arial" w:cs="Arial" w:eastAsia="Arial" w:hAnsi="Arial"/>
                <w:sz w:val="15"/>
                <w:szCs w:val="15"/>
                <w:color w:val="auto"/>
              </w:rPr>
              <w:t>were as follows:</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7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8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4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3480" w:type="dxa"/>
            <w:vAlign w:val="bottom"/>
            <w:gridSpan w:val="3"/>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13"/>
        </w:trPr>
        <w:tc>
          <w:tcPr>
            <w:tcW w:w="7400" w:type="dxa"/>
            <w:vAlign w:val="bottom"/>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56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2023</w:t>
            </w:r>
          </w:p>
        </w:tc>
        <w:tc>
          <w:tcPr>
            <w:tcW w:w="480" w:type="dxa"/>
            <w:vAlign w:val="bottom"/>
            <w:shd w:val="clear" w:color="auto" w:fill="1D2758"/>
          </w:tcPr>
          <w:p>
            <w:pPr>
              <w:spacing w:after="0"/>
              <w:rPr>
                <w:sz w:val="18"/>
                <w:szCs w:val="18"/>
                <w:color w:val="auto"/>
              </w:rPr>
            </w:pPr>
          </w:p>
        </w:tc>
        <w:tc>
          <w:tcPr>
            <w:tcW w:w="1440" w:type="dxa"/>
            <w:vAlign w:val="bottom"/>
            <w:vMerge w:val="restart"/>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740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560" w:type="dxa"/>
            <w:vAlign w:val="bottom"/>
            <w:vMerge w:val="continue"/>
            <w:shd w:val="clear" w:color="auto" w:fill="1D2758"/>
          </w:tcPr>
          <w:p>
            <w:pPr>
              <w:spacing w:after="0"/>
              <w:rPr>
                <w:sz w:val="14"/>
                <w:szCs w:val="14"/>
                <w:color w:val="auto"/>
              </w:rPr>
            </w:pPr>
          </w:p>
        </w:tc>
        <w:tc>
          <w:tcPr>
            <w:tcW w:w="480" w:type="dxa"/>
            <w:vAlign w:val="bottom"/>
            <w:shd w:val="clear" w:color="auto" w:fill="1D2758"/>
          </w:tcPr>
          <w:p>
            <w:pPr>
              <w:spacing w:after="0"/>
              <w:rPr>
                <w:sz w:val="14"/>
                <w:szCs w:val="14"/>
                <w:color w:val="auto"/>
              </w:rPr>
            </w:pPr>
          </w:p>
        </w:tc>
        <w:tc>
          <w:tcPr>
            <w:tcW w:w="14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3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8,361</w:t>
            </w:r>
          </w:p>
        </w:tc>
        <w:tc>
          <w:tcPr>
            <w:tcW w:w="0" w:type="dxa"/>
            <w:vAlign w:val="bottom"/>
          </w:tcPr>
          <w:p>
            <w:pPr>
              <w:spacing w:after="0"/>
              <w:rPr>
                <w:sz w:val="1"/>
                <w:szCs w:val="1"/>
                <w:color w:val="auto"/>
              </w:rPr>
            </w:pPr>
          </w:p>
        </w:tc>
      </w:tr>
      <w:tr>
        <w:trPr>
          <w:trHeight w:val="209"/>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3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514</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1,310</w:t>
            </w:r>
          </w:p>
        </w:tc>
        <w:tc>
          <w:tcPr>
            <w:tcW w:w="0" w:type="dxa"/>
            <w:vAlign w:val="bottom"/>
          </w:tcPr>
          <w:p>
            <w:pPr>
              <w:spacing w:after="0"/>
              <w:rPr>
                <w:sz w:val="1"/>
                <w:szCs w:val="1"/>
                <w:color w:val="auto"/>
              </w:rPr>
            </w:pPr>
          </w:p>
        </w:tc>
      </w:tr>
      <w:tr>
        <w:trPr>
          <w:trHeight w:val="209"/>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(371)</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(21,824)</w:t>
            </w: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8</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209"/>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(64)</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(2,843)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following table presents reconciliations of Income from discontinued operations before income tax to Adjusted EBITDA from discontinued operations for the former UK Storage Solutions segment for the three and nine months ended September 30, 2023 and 2022, respectively. See Note 16 for further information regarding Adjusted EBITDA.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3040" w:type="dxa"/>
            <w:vAlign w:val="bottom"/>
            <w:gridSpan w:val="5"/>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200" w:type="dxa"/>
            <w:vAlign w:val="bottom"/>
            <w:shd w:val="clear" w:color="auto" w:fill="1D2758"/>
          </w:tcPr>
          <w:p>
            <w:pPr>
              <w:spacing w:after="0"/>
              <w:rPr>
                <w:sz w:val="17"/>
                <w:szCs w:val="17"/>
                <w:color w:val="auto"/>
              </w:rPr>
            </w:pPr>
          </w:p>
        </w:tc>
        <w:tc>
          <w:tcPr>
            <w:tcW w:w="2940" w:type="dxa"/>
            <w:vAlign w:val="bottom"/>
            <w:gridSpan w:val="4"/>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06"/>
        </w:trPr>
        <w:tc>
          <w:tcPr>
            <w:tcW w:w="48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7"/>
                <w:szCs w:val="17"/>
                <w:color w:val="auto"/>
              </w:rPr>
            </w:pPr>
          </w:p>
        </w:tc>
        <w:tc>
          <w:tcPr>
            <w:tcW w:w="1340" w:type="dxa"/>
            <w:vAlign w:val="bottom"/>
            <w:shd w:val="clear" w:color="auto" w:fill="1D2758"/>
          </w:tcPr>
          <w:p>
            <w:pPr>
              <w:ind w:left="400"/>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4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420" w:type="dxa"/>
            <w:vAlign w:val="bottom"/>
            <w:gridSpan w:val="2"/>
            <w:shd w:val="clear" w:color="auto" w:fill="DBDBDB"/>
          </w:tcPr>
          <w:p>
            <w:pPr>
              <w:ind w:left="112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7,552</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134,243</w:t>
            </w: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22,776</w:t>
            </w:r>
          </w:p>
        </w:tc>
        <w:tc>
          <w:tcPr>
            <w:tcW w:w="0" w:type="dxa"/>
            <w:vAlign w:val="bottom"/>
          </w:tcPr>
          <w:p>
            <w:pPr>
              <w:spacing w:after="0"/>
              <w:rPr>
                <w:sz w:val="1"/>
                <w:szCs w:val="1"/>
                <w:color w:val="auto"/>
              </w:rPr>
            </w:pPr>
          </w:p>
        </w:tc>
      </w:tr>
      <w:tr>
        <w:trPr>
          <w:trHeight w:val="203"/>
        </w:trPr>
        <w:tc>
          <w:tcPr>
            <w:tcW w:w="4880" w:type="dxa"/>
            <w:vAlign w:val="bottom"/>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180" w:type="dxa"/>
            <w:vAlign w:val="bottom"/>
          </w:tcPr>
          <w:p>
            <w:pPr>
              <w:spacing w:after="0"/>
              <w:rPr>
                <w:sz w:val="17"/>
                <w:szCs w:val="17"/>
                <w:color w:val="auto"/>
              </w:rPr>
            </w:pPr>
          </w:p>
        </w:tc>
        <w:tc>
          <w:tcPr>
            <w:tcW w:w="1420" w:type="dxa"/>
            <w:vAlign w:val="bottom"/>
            <w:gridSpan w:val="2"/>
          </w:tcPr>
          <w:p>
            <w:pPr>
              <w:ind w:left="1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175,708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8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ind w:left="1120"/>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1,931</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45,468</w:t>
            </w:r>
          </w:p>
        </w:tc>
        <w:tc>
          <w:tcPr>
            <w:tcW w:w="8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5,948</w:t>
            </w:r>
          </w:p>
        </w:tc>
        <w:tc>
          <w:tcPr>
            <w:tcW w:w="0" w:type="dxa"/>
            <w:vAlign w:val="bottom"/>
          </w:tcPr>
          <w:p>
            <w:pPr>
              <w:spacing w:after="0"/>
              <w:rPr>
                <w:sz w:val="1"/>
                <w:szCs w:val="1"/>
                <w:color w:val="auto"/>
              </w:rPr>
            </w:pPr>
          </w:p>
        </w:tc>
      </w:tr>
      <w:tr>
        <w:trPr>
          <w:trHeight w:val="139"/>
        </w:trPr>
        <w:tc>
          <w:tcPr>
            <w:tcW w:w="4880" w:type="dxa"/>
            <w:vAlign w:val="bottom"/>
          </w:tcPr>
          <w:p>
            <w:pPr>
              <w:ind w:left="20"/>
              <w:spacing w:after="0" w:line="139" w:lineRule="exact"/>
              <w:rPr>
                <w:sz w:val="20"/>
                <w:szCs w:val="20"/>
                <w:color w:val="auto"/>
              </w:rPr>
            </w:pPr>
            <w:r>
              <w:rPr>
                <w:rFonts w:ascii="Arial" w:cs="Arial" w:eastAsia="Arial" w:hAnsi="Arial"/>
                <w:sz w:val="15"/>
                <w:szCs w:val="15"/>
                <w:color w:val="auto"/>
              </w:rPr>
              <w:t>Income from discontinued operations before income tax and gain on</w:t>
            </w:r>
          </w:p>
        </w:tc>
        <w:tc>
          <w:tcPr>
            <w:tcW w:w="180" w:type="dxa"/>
            <w:vAlign w:val="bottom"/>
          </w:tcPr>
          <w:p>
            <w:pPr>
              <w:spacing w:after="0"/>
              <w:rPr>
                <w:sz w:val="12"/>
                <w:szCs w:val="12"/>
                <w:color w:val="auto"/>
              </w:rPr>
            </w:pPr>
          </w:p>
        </w:tc>
        <w:tc>
          <w:tcPr>
            <w:tcW w:w="1420" w:type="dxa"/>
            <w:vAlign w:val="bottom"/>
            <w:gridSpan w:val="2"/>
            <w:vMerge w:val="restart"/>
          </w:tcPr>
          <w:p>
            <w:pPr>
              <w:ind w:left="1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9,483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restart"/>
          </w:tcPr>
          <w:p>
            <w:pPr>
              <w:jc w:val="right"/>
              <w:ind w:right="3"/>
              <w:spacing w:after="0"/>
              <w:rPr>
                <w:sz w:val="20"/>
                <w:szCs w:val="20"/>
                <w:color w:val="auto"/>
              </w:rPr>
            </w:pPr>
            <w:r>
              <w:rPr>
                <w:rFonts w:ascii="Arial" w:cs="Arial" w:eastAsia="Arial" w:hAnsi="Arial"/>
                <w:sz w:val="15"/>
                <w:szCs w:val="15"/>
                <w:color w:val="auto"/>
              </w:rPr>
              <w:t>4,003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28,724</w:t>
            </w:r>
          </w:p>
        </w:tc>
        <w:tc>
          <w:tcPr>
            <w:tcW w:w="0" w:type="dxa"/>
            <w:vAlign w:val="bottom"/>
          </w:tcPr>
          <w:p>
            <w:pPr>
              <w:spacing w:after="0"/>
              <w:rPr>
                <w:sz w:val="1"/>
                <w:szCs w:val="1"/>
                <w:color w:val="auto"/>
              </w:rPr>
            </w:pPr>
          </w:p>
        </w:tc>
      </w:tr>
      <w:tr>
        <w:trPr>
          <w:trHeight w:val="199"/>
        </w:trPr>
        <w:tc>
          <w:tcPr>
            <w:tcW w:w="4880" w:type="dxa"/>
            <w:vAlign w:val="bottom"/>
          </w:tcPr>
          <w:p>
            <w:pPr>
              <w:ind w:left="20"/>
              <w:spacing w:after="0"/>
              <w:rPr>
                <w:sz w:val="20"/>
                <w:szCs w:val="20"/>
                <w:color w:val="auto"/>
              </w:rPr>
            </w:pPr>
            <w:r>
              <w:rPr>
                <w:rFonts w:ascii="Arial" w:cs="Arial" w:eastAsia="Arial" w:hAnsi="Arial"/>
                <w:sz w:val="15"/>
                <w:szCs w:val="15"/>
                <w:color w:val="auto"/>
              </w:rPr>
              <w:t>sale</w:t>
            </w: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ind w:left="112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56</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203"/>
        </w:trPr>
        <w:tc>
          <w:tcPr>
            <w:tcW w:w="48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1420" w:type="dxa"/>
            <w:vAlign w:val="bottom"/>
            <w:gridSpan w:val="2"/>
          </w:tcPr>
          <w:p>
            <w:pPr>
              <w:ind w:left="1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8,361</w:t>
            </w:r>
          </w:p>
        </w:tc>
        <w:tc>
          <w:tcPr>
            <w:tcW w:w="0" w:type="dxa"/>
            <w:vAlign w:val="bottom"/>
          </w:tcPr>
          <w:p>
            <w:pPr>
              <w:spacing w:after="0"/>
              <w:rPr>
                <w:sz w:val="1"/>
                <w:szCs w:val="1"/>
                <w:color w:val="auto"/>
              </w:rPr>
            </w:pPr>
          </w:p>
        </w:tc>
      </w:tr>
      <w:tr>
        <w:trPr>
          <w:trHeight w:val="209"/>
        </w:trPr>
        <w:tc>
          <w:tcPr>
            <w:tcW w:w="4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8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ind w:left="112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3"/>
        </w:trPr>
        <w:tc>
          <w:tcPr>
            <w:tcW w:w="488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180" w:type="dxa"/>
            <w:vAlign w:val="bottom"/>
          </w:tcPr>
          <w:p>
            <w:pPr>
              <w:spacing w:after="0"/>
              <w:rPr>
                <w:sz w:val="17"/>
                <w:szCs w:val="17"/>
                <w:color w:val="auto"/>
              </w:rPr>
            </w:pPr>
          </w:p>
        </w:tc>
        <w:tc>
          <w:tcPr>
            <w:tcW w:w="1420" w:type="dxa"/>
            <w:vAlign w:val="bottom"/>
            <w:gridSpan w:val="2"/>
          </w:tcPr>
          <w:p>
            <w:pPr>
              <w:ind w:left="1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6"/>
        </w:trPr>
        <w:tc>
          <w:tcPr>
            <w:tcW w:w="4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ind w:left="1120"/>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261</w:t>
            </w:r>
          </w:p>
        </w:tc>
        <w:tc>
          <w:tcPr>
            <w:tcW w:w="8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(1,211)</w:t>
            </w:r>
          </w:p>
        </w:tc>
        <w:tc>
          <w:tcPr>
            <w:tcW w:w="0" w:type="dxa"/>
            <w:vAlign w:val="bottom"/>
          </w:tcPr>
          <w:p>
            <w:pPr>
              <w:spacing w:after="0"/>
              <w:rPr>
                <w:sz w:val="1"/>
                <w:szCs w:val="1"/>
                <w:color w:val="auto"/>
              </w:rPr>
            </w:pPr>
          </w:p>
        </w:tc>
      </w:tr>
      <w:tr>
        <w:trPr>
          <w:trHeight w:val="202"/>
        </w:trPr>
        <w:tc>
          <w:tcPr>
            <w:tcW w:w="4880" w:type="dxa"/>
            <w:vAlign w:val="bottom"/>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ind w:left="112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11,971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4,124</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36,745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1D2758"/>
        </w:rPr>
        <w:t>NOTE 4 - Revenue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Company had total revenue in the following geographic areas for the three and nine months ended September 30, 2023 and 2022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21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080" w:type="dxa"/>
            <w:vAlign w:val="bottom"/>
            <w:shd w:val="clear" w:color="auto" w:fill="1D2758"/>
          </w:tcPr>
          <w:p>
            <w:pPr>
              <w:spacing w:after="0"/>
              <w:rPr>
                <w:sz w:val="15"/>
                <w:szCs w:val="15"/>
                <w:color w:val="auto"/>
              </w:rPr>
            </w:pPr>
          </w:p>
        </w:tc>
      </w:tr>
      <w:tr>
        <w:trPr>
          <w:trHeight w:val="206"/>
        </w:trPr>
        <w:tc>
          <w:tcPr>
            <w:tcW w:w="38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80" w:type="dxa"/>
            <w:vAlign w:val="bottom"/>
            <w:gridSpan w:val="3"/>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74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567,221</w:t>
            </w: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538,740</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1,645,727</w:t>
            </w:r>
          </w:p>
        </w:tc>
        <w:tc>
          <w:tcPr>
            <w:tcW w:w="10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1,445,710</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Canada</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30,921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34,815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88,702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92,989</w:t>
            </w: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4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6,692</w:t>
            </w:r>
          </w:p>
        </w:tc>
        <w:tc>
          <w:tcPr>
            <w:tcW w:w="80" w:type="dxa"/>
            <w:vAlign w:val="bottom"/>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4,453</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17,962</w:t>
            </w:r>
          </w:p>
        </w:tc>
        <w:tc>
          <w:tcPr>
            <w:tcW w:w="100" w:type="dxa"/>
            <w:vAlign w:val="bottom"/>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13,370</w:t>
            </w:r>
          </w:p>
        </w:tc>
      </w:tr>
      <w:tr>
        <w:trPr>
          <w:trHeight w:val="202"/>
        </w:trPr>
        <w:tc>
          <w:tcPr>
            <w:tcW w:w="380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604,834</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578,008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1,752,391</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1,552,069</w:t>
            </w:r>
          </w:p>
        </w:tc>
      </w:tr>
      <w:tr>
        <w:trPr>
          <w:trHeight w:val="20"/>
        </w:trPr>
        <w:tc>
          <w:tcPr>
            <w:tcW w:w="3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6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modular space and portable storage units along with value-added products and services ("VAPS"), which include furniture, steps, ramps, basic appliances, internet connectivity devices, integral tool racking, heavy duty capacity shelving, workstations, electrical and lighting products and other items used by customers in connection with the Company's products. The Company also offers its lease customers a damage waiver program that protects them in case the leased unit is damaged.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5" w:name="page16"/>
    <w:bookmarkEnd w:id="15"/>
    <w:p>
      <w:pPr>
        <w:ind w:left="620"/>
        <w:spacing w:after="0"/>
        <w:rPr>
          <w:sz w:val="20"/>
          <w:szCs w:val="20"/>
          <w:color w:val="auto"/>
        </w:rPr>
      </w:pPr>
      <w:r>
        <w:rPr>
          <w:rFonts w:ascii="Arial" w:cs="Arial" w:eastAsia="Arial" w:hAnsi="Arial"/>
          <w:sz w:val="15"/>
          <w:szCs w:val="15"/>
          <w:color w:val="auto"/>
        </w:rPr>
        <w:t>The Company’s revenue by major product and service line for the three and nine months ended September 30, 2023 and 2022 was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21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080" w:type="dxa"/>
            <w:vAlign w:val="bottom"/>
            <w:shd w:val="clear" w:color="auto" w:fill="1D2758"/>
          </w:tcPr>
          <w:p>
            <w:pPr>
              <w:spacing w:after="0"/>
              <w:rPr>
                <w:sz w:val="14"/>
                <w:szCs w:val="14"/>
                <w:color w:val="auto"/>
              </w:rPr>
            </w:pPr>
          </w:p>
        </w:tc>
      </w:tr>
      <w:tr>
        <w:trPr>
          <w:trHeight w:val="206"/>
        </w:trPr>
        <w:tc>
          <w:tcPr>
            <w:tcW w:w="38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80" w:type="dxa"/>
            <w:vAlign w:val="bottom"/>
            <w:gridSpan w:val="3"/>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74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243,947</w:t>
            </w: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218,328</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705,041</w:t>
            </w:r>
          </w:p>
        </w:tc>
        <w:tc>
          <w:tcPr>
            <w:tcW w:w="100" w:type="dxa"/>
            <w:vAlign w:val="bottom"/>
            <w:shd w:val="clear" w:color="auto" w:fill="DDDDDD"/>
          </w:tcPr>
          <w:p>
            <w:pPr>
              <w:spacing w:after="0"/>
              <w:rPr>
                <w:sz w:val="17"/>
                <w:szCs w:val="17"/>
                <w:color w:val="auto"/>
              </w:rPr>
            </w:pPr>
          </w:p>
        </w:tc>
        <w:tc>
          <w:tcPr>
            <w:tcW w:w="700" w:type="dxa"/>
            <w:vAlign w:val="bottom"/>
            <w:shd w:val="clear" w:color="auto" w:fill="DDDDDD"/>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613,386</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98,155</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96,555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288,932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248,444</w:t>
            </w:r>
          </w:p>
        </w:tc>
      </w:tr>
      <w:tr>
        <w:trPr>
          <w:trHeight w:val="209"/>
        </w:trPr>
        <w:tc>
          <w:tcPr>
            <w:tcW w:w="3800" w:type="dxa"/>
            <w:vAlign w:val="bottom"/>
            <w:shd w:val="clear" w:color="auto" w:fill="DDDDDD"/>
          </w:tcPr>
          <w:p>
            <w:pPr>
              <w:ind w:left="20"/>
              <w:spacing w:after="0" w:line="209"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42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99,872</w:t>
            </w: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91,724</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291,697</w:t>
            </w:r>
          </w:p>
        </w:tc>
        <w:tc>
          <w:tcPr>
            <w:tcW w:w="10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248,883</w:t>
            </w:r>
          </w:p>
        </w:tc>
      </w:tr>
      <w:tr>
        <w:trPr>
          <w:trHeight w:val="206"/>
        </w:trPr>
        <w:tc>
          <w:tcPr>
            <w:tcW w:w="3800" w:type="dxa"/>
            <w:vAlign w:val="bottom"/>
            <w:tcBorders>
              <w:bottom w:val="single" w:sz="8" w:color="DDDDDD"/>
            </w:tcBorders>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24,795</w:t>
            </w: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21,235</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70,370</w:t>
            </w:r>
          </w:p>
        </w:tc>
        <w:tc>
          <w:tcPr>
            <w:tcW w:w="100" w:type="dxa"/>
            <w:vAlign w:val="bottom"/>
            <w:tcBorders>
              <w:bottom w:val="single" w:sz="8" w:color="DDDDDD"/>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55,074</w:t>
            </w:r>
          </w:p>
        </w:tc>
      </w:tr>
      <w:tr>
        <w:trPr>
          <w:trHeight w:val="199"/>
        </w:trPr>
        <w:tc>
          <w:tcPr>
            <w:tcW w:w="380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420" w:type="dxa"/>
            <w:vAlign w:val="bottom"/>
            <w:shd w:val="clear" w:color="auto" w:fill="DDDDDD"/>
          </w:tcPr>
          <w:p>
            <w:pPr>
              <w:spacing w:after="0"/>
              <w:rPr>
                <w:sz w:val="17"/>
                <w:szCs w:val="17"/>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466,769</w:t>
            </w: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427,842</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1,356,040</w:t>
            </w:r>
          </w:p>
        </w:tc>
        <w:tc>
          <w:tcPr>
            <w:tcW w:w="10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1,165,787</w:t>
            </w:r>
          </w:p>
        </w:tc>
      </w:tr>
      <w:tr>
        <w:trPr>
          <w:trHeight w:val="203"/>
        </w:trPr>
        <w:tc>
          <w:tcPr>
            <w:tcW w:w="380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115,598</w:t>
            </w: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127,016</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334,982</w:t>
            </w:r>
          </w:p>
        </w:tc>
        <w:tc>
          <w:tcPr>
            <w:tcW w:w="100" w:type="dxa"/>
            <w:vAlign w:val="bottom"/>
            <w:tcBorders>
              <w:bottom w:val="single" w:sz="8" w:color="DDDDDD"/>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323,396</w:t>
            </w:r>
          </w:p>
        </w:tc>
      </w:tr>
      <w:tr>
        <w:trPr>
          <w:trHeight w:val="202"/>
        </w:trPr>
        <w:tc>
          <w:tcPr>
            <w:tcW w:w="380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420" w:type="dxa"/>
            <w:vAlign w:val="bottom"/>
            <w:shd w:val="clear" w:color="auto" w:fill="DDDDDD"/>
          </w:tcPr>
          <w:p>
            <w:pPr>
              <w:spacing w:after="0"/>
              <w:rPr>
                <w:sz w:val="17"/>
                <w:szCs w:val="17"/>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582,367</w:t>
            </w: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554,858</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1,691,022</w:t>
            </w:r>
          </w:p>
        </w:tc>
        <w:tc>
          <w:tcPr>
            <w:tcW w:w="10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1,489,183</w:t>
            </w:r>
          </w:p>
        </w:tc>
      </w:tr>
      <w:tr>
        <w:trPr>
          <w:trHeight w:val="203"/>
        </w:trPr>
        <w:tc>
          <w:tcPr>
            <w:tcW w:w="380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10,155</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9,608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29,816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25,322</w:t>
            </w:r>
          </w:p>
        </w:tc>
      </w:tr>
      <w:tr>
        <w:trPr>
          <w:trHeight w:val="206"/>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4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12,312</w:t>
            </w:r>
          </w:p>
        </w:tc>
        <w:tc>
          <w:tcPr>
            <w:tcW w:w="80" w:type="dxa"/>
            <w:vAlign w:val="bottom"/>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13,542</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31,553</w:t>
            </w:r>
          </w:p>
        </w:tc>
        <w:tc>
          <w:tcPr>
            <w:tcW w:w="100" w:type="dxa"/>
            <w:vAlign w:val="bottom"/>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37,564</w:t>
            </w:r>
          </w:p>
        </w:tc>
      </w:tr>
      <w:tr>
        <w:trPr>
          <w:trHeight w:val="202"/>
        </w:trPr>
        <w:tc>
          <w:tcPr>
            <w:tcW w:w="380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604,834</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578,008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1,752,391</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1,552,069</w:t>
            </w:r>
          </w:p>
        </w:tc>
      </w:tr>
      <w:tr>
        <w:trPr>
          <w:trHeight w:val="20"/>
        </w:trPr>
        <w:tc>
          <w:tcPr>
            <w:tcW w:w="3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Includes $6.4 million and $7.3 million of service revenue for the three months ended September 30, 2023 and 2022, respectively, and $18.1 million and $18.8 million of service</w:t>
      </w:r>
    </w:p>
    <w:p>
      <w:pPr>
        <w:spacing w:after="0" w:line="3" w:lineRule="exact"/>
        <w:rPr>
          <w:sz w:val="20"/>
          <w:szCs w:val="20"/>
          <w:color w:val="auto"/>
        </w:rPr>
      </w:pPr>
    </w:p>
    <w:p>
      <w:pPr>
        <w:ind w:left="480" w:hanging="46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revenue for the nine months ended September 30, 2023 and 2022, respectively.</w:t>
      </w:r>
    </w:p>
    <w:p>
      <w:pPr>
        <w:spacing w:after="0" w:line="19" w:lineRule="exact"/>
        <w:rPr>
          <w:rFonts w:ascii="Arial" w:cs="Arial" w:eastAsia="Arial" w:hAnsi="Arial"/>
          <w:sz w:val="14"/>
          <w:szCs w:val="14"/>
          <w:color w:val="auto"/>
        </w:rPr>
      </w:pPr>
    </w:p>
    <w:p>
      <w:pPr>
        <w:ind w:left="480" w:hanging="46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8"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majority of revenue (76% for both the three and nine months ended September 30, 2023, and 73% and 74% for the three and nine months ended September 30, 2022, respectively) was generated by rental income subject to the guidance of ASU 2018-11, Leases (Topic 842</w:t>
      </w:r>
      <w:r>
        <w:rPr>
          <w:rFonts w:ascii="Arial" w:cs="Arial" w:eastAsia="Arial" w:hAnsi="Arial"/>
          <w:sz w:val="15"/>
          <w:szCs w:val="15"/>
          <w:i w:val="1"/>
          <w:iCs w:val="1"/>
          <w:color w:val="auto"/>
        </w:rPr>
        <w:t>)</w:t>
      </w:r>
      <w:r>
        <w:rPr>
          <w:rFonts w:ascii="Arial" w:cs="Arial" w:eastAsia="Arial" w:hAnsi="Arial"/>
          <w:sz w:val="15"/>
          <w:szCs w:val="15"/>
          <w:color w:val="auto"/>
        </w:rPr>
        <w:t xml:space="preserve"> ("ASC 842"). The remaining revenue was generated by performance obligations in contracts with customers for services or sale of units subject to the guidance in ASC 606.</w:t>
      </w:r>
    </w:p>
    <w:p>
      <w:pPr>
        <w:spacing w:after="0"/>
        <w:rPr>
          <w:sz w:val="20"/>
          <w:szCs w:val="20"/>
          <w:color w:val="auto"/>
        </w:rPr>
      </w:pPr>
      <w:r>
        <w:rPr>
          <w:rFonts w:ascii="Arial" w:cs="Arial" w:eastAsia="Arial" w:hAnsi="Arial"/>
          <w:sz w:val="17"/>
          <w:szCs w:val="17"/>
          <w:b w:val="1"/>
          <w:bCs w:val="1"/>
          <w:color w:val="auto"/>
        </w:rPr>
        <w:t>Receivables and Credit Losses</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exposed to credit losses from trade receivables and manages credit risk at the customer level. Because the same customers generate the revenues that are accounted for under both ASC 606 and ASC 842, the discussions below on credit risk and the Company's allowance for credit losses address the Company's total revenues. Concentration of credit risk with respect to the Company's receivables is limited because of a large number of geographically diverse customers who operate in a variety of end user markets.</w:t>
      </w:r>
    </w:p>
    <w:p>
      <w:pPr>
        <w:spacing w:after="0" w:line="2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assesses each customer’s ability to pay for the products it leases or sells by conducting a credit review that considers expected billing exposure,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1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and may employ collection agencies and legal counsel to pursue recovery of defaulted receivables. The allowance for credit losses reflects the estimate of the amount of receivables that the Company will be unable to collect based on historical collection experience and, as applicable, current conditions and reasonable and supportable forecasts that affect collectability. The Company's estimate reflects changing circumstances, including changes in the economy or in the particular circumstances of individual customers. Accordingly, the Company may be required to increase or decrease its allowance.</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21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3060" w:type="dxa"/>
            <w:vAlign w:val="bottom"/>
            <w:gridSpan w:val="4"/>
            <w:shd w:val="clear" w:color="auto" w:fill="1D2758"/>
          </w:tcPr>
          <w:p>
            <w:pPr>
              <w:jc w:val="right"/>
              <w:ind w:right="92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0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180" w:type="dxa"/>
            <w:vAlign w:val="bottom"/>
            <w:gridSpan w:val="3"/>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6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100" w:type="dxa"/>
            <w:vAlign w:val="bottom"/>
            <w:shd w:val="clear" w:color="auto" w:fill="1D2758"/>
          </w:tcPr>
          <w:p>
            <w:pPr>
              <w:spacing w:after="0"/>
              <w:rPr>
                <w:sz w:val="17"/>
                <w:szCs w:val="17"/>
                <w:color w:val="auto"/>
              </w:rPr>
            </w:pPr>
          </w:p>
        </w:tc>
      </w:tr>
      <w:tr>
        <w:trPr>
          <w:trHeight w:val="206"/>
        </w:trPr>
        <w:tc>
          <w:tcPr>
            <w:tcW w:w="40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w w:val="95"/>
              </w:rPr>
              <w:t>2022</w:t>
            </w: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68,096</w:t>
            </w:r>
          </w:p>
        </w:tc>
        <w:tc>
          <w:tcPr>
            <w:tcW w:w="80" w:type="dxa"/>
            <w:vAlign w:val="bottom"/>
            <w:shd w:val="clear" w:color="auto" w:fill="DDDDDD"/>
          </w:tcPr>
          <w:p>
            <w:pPr>
              <w:spacing w:after="0"/>
              <w:rPr>
                <w:sz w:val="17"/>
                <w:szCs w:val="17"/>
                <w:color w:val="auto"/>
              </w:rPr>
            </w:pPr>
          </w:p>
        </w:tc>
        <w:tc>
          <w:tcPr>
            <w:tcW w:w="72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51,284</w:t>
            </w:r>
          </w:p>
        </w:tc>
        <w:tc>
          <w:tcPr>
            <w:tcW w:w="80" w:type="dxa"/>
            <w:vAlign w:val="bottom"/>
            <w:shd w:val="clear" w:color="auto" w:fill="DDDDDD"/>
          </w:tcPr>
          <w:p>
            <w:pPr>
              <w:spacing w:after="0"/>
              <w:rPr>
                <w:sz w:val="17"/>
                <w:szCs w:val="17"/>
                <w:color w:val="auto"/>
              </w:rPr>
            </w:pPr>
          </w:p>
        </w:tc>
        <w:tc>
          <w:tcPr>
            <w:tcW w:w="380" w:type="dxa"/>
            <w:vAlign w:val="bottom"/>
            <w:shd w:val="clear" w:color="auto" w:fill="DDDDDD"/>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57,048</w:t>
            </w:r>
          </w:p>
        </w:tc>
        <w:tc>
          <w:tcPr>
            <w:tcW w:w="80" w:type="dxa"/>
            <w:vAlign w:val="bottom"/>
            <w:shd w:val="clear" w:color="auto" w:fill="DDDDDD"/>
          </w:tcPr>
          <w:p>
            <w:pPr>
              <w:spacing w:after="0"/>
              <w:rPr>
                <w:sz w:val="17"/>
                <w:szCs w:val="17"/>
                <w:color w:val="auto"/>
              </w:rPr>
            </w:pPr>
          </w:p>
        </w:tc>
        <w:tc>
          <w:tcPr>
            <w:tcW w:w="580" w:type="dxa"/>
            <w:vAlign w:val="bottom"/>
            <w:shd w:val="clear" w:color="auto" w:fill="DDDDDD"/>
          </w:tcPr>
          <w:p>
            <w:pPr>
              <w:jc w:val="right"/>
              <w:ind w:right="38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45,773</w:t>
            </w:r>
          </w:p>
        </w:tc>
      </w:tr>
      <w:tr>
        <w:trPr>
          <w:trHeight w:val="203"/>
        </w:trPr>
        <w:tc>
          <w:tcPr>
            <w:tcW w:w="404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15,871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9,036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38,079</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27,455</w:t>
            </w:r>
          </w:p>
        </w:tc>
      </w:tr>
      <w:tr>
        <w:trPr>
          <w:trHeight w:val="209"/>
        </w:trPr>
        <w:tc>
          <w:tcPr>
            <w:tcW w:w="4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42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(5,252)</w:t>
            </w:r>
          </w:p>
        </w:tc>
        <w:tc>
          <w:tcPr>
            <w:tcW w:w="8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(4,474)</w:t>
            </w:r>
          </w:p>
        </w:tc>
        <w:tc>
          <w:tcPr>
            <w:tcW w:w="8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(16,758)</w:t>
            </w:r>
          </w:p>
        </w:tc>
        <w:tc>
          <w:tcPr>
            <w:tcW w:w="80" w:type="dxa"/>
            <w:vAlign w:val="bottom"/>
            <w:shd w:val="clear" w:color="auto" w:fill="DDDDDD"/>
          </w:tcPr>
          <w:p>
            <w:pPr>
              <w:spacing w:after="0"/>
              <w:rPr>
                <w:sz w:val="18"/>
                <w:szCs w:val="18"/>
                <w:color w:val="auto"/>
              </w:rPr>
            </w:pPr>
          </w:p>
        </w:tc>
        <w:tc>
          <w:tcPr>
            <w:tcW w:w="58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(17,384)</w:t>
            </w:r>
          </w:p>
        </w:tc>
      </w:tr>
      <w:tr>
        <w:trPr>
          <w:trHeight w:val="203"/>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w:t>
            </w:r>
          </w:p>
        </w:tc>
        <w:tc>
          <w:tcPr>
            <w:tcW w:w="8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80" w:type="dxa"/>
            <w:vAlign w:val="bottom"/>
            <w:tcBorders>
              <w:bottom w:val="single" w:sz="8" w:color="DDDDD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w:t>
            </w:r>
          </w:p>
        </w:tc>
        <w:tc>
          <w:tcPr>
            <w:tcW w:w="80" w:type="dxa"/>
            <w:vAlign w:val="bottom"/>
            <w:tcBorders>
              <w:bottom w:val="single" w:sz="8" w:color="DDDDDD"/>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r>
      <w:tr>
        <w:trPr>
          <w:trHeight w:val="224"/>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420" w:type="dxa"/>
            <w:vAlign w:val="bottom"/>
            <w:tcBorders>
              <w:bottom w:val="single" w:sz="8" w:color="auto"/>
            </w:tcBorders>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78,738</w:t>
            </w:r>
          </w:p>
        </w:tc>
        <w:tc>
          <w:tcPr>
            <w:tcW w:w="80" w:type="dxa"/>
            <w:vAlign w:val="bottom"/>
            <w:tcBorders>
              <w:bottom w:val="single" w:sz="8" w:color="DDDDDD"/>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55,779</w:t>
            </w:r>
          </w:p>
        </w:tc>
        <w:tc>
          <w:tcPr>
            <w:tcW w:w="8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78,738</w:t>
            </w:r>
          </w:p>
        </w:tc>
        <w:tc>
          <w:tcPr>
            <w:tcW w:w="80" w:type="dxa"/>
            <w:vAlign w:val="bottom"/>
            <w:tcBorders>
              <w:bottom w:val="single" w:sz="8" w:color="DDDDDD"/>
            </w:tcBorders>
            <w:shd w:val="clear" w:color="auto" w:fill="DDDDDD"/>
          </w:tcPr>
          <w:p>
            <w:pPr>
              <w:spacing w:after="0"/>
              <w:rPr>
                <w:sz w:val="19"/>
                <w:szCs w:val="19"/>
                <w:color w:val="auto"/>
              </w:rPr>
            </w:pPr>
          </w:p>
        </w:tc>
        <w:tc>
          <w:tcPr>
            <w:tcW w:w="580" w:type="dxa"/>
            <w:vAlign w:val="bottom"/>
            <w:tcBorders>
              <w:bottom w:val="single" w:sz="8" w:color="auto"/>
            </w:tcBorders>
            <w:shd w:val="clear" w:color="auto" w:fill="DDDDDD"/>
          </w:tcPr>
          <w:p>
            <w:pPr>
              <w:jc w:val="right"/>
              <w:ind w:right="38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55,779</w:t>
            </w: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8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September 30, 2023 and December 31, 2022, the Company had approximately $122.1 million and $102.2 million, respectively, of deferred revenue related to services billed in advance. During the three and nine months ended September 30, 2023, $15.4 million and $60.5 million, respectively, of deferred revenue billed in advance as of December 31, 2022 was recognized as revenue.</w:t>
      </w:r>
    </w:p>
    <w:p>
      <w:pPr>
        <w:spacing w:after="0" w:line="208"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does not have material contract assets, and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expedient to omit disclosure of such amounts.</w:t>
      </w:r>
    </w:p>
    <w:p>
      <w:pPr>
        <w:spacing w:after="0" w:line="1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therefore, the commissions are expensed as incurred.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1D2758"/>
        </w:rPr>
        <w:t>NOTE 5 - Leases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60" w:type="dxa"/>
            <w:vAlign w:val="bottom"/>
          </w:tcPr>
          <w:p>
            <w:pPr>
              <w:ind w:left="620"/>
              <w:spacing w:after="0"/>
              <w:rPr>
                <w:sz w:val="20"/>
                <w:szCs w:val="20"/>
                <w:color w:val="auto"/>
              </w:rPr>
            </w:pPr>
            <w:r>
              <w:rPr>
                <w:rFonts w:ascii="Arial" w:cs="Arial" w:eastAsia="Arial" w:hAnsi="Arial"/>
                <w:sz w:val="15"/>
                <w:szCs w:val="15"/>
                <w:color w:val="auto"/>
              </w:rPr>
              <w:t>As  of  September  30,</w:t>
            </w:r>
          </w:p>
        </w:tc>
        <w:tc>
          <w:tcPr>
            <w:tcW w:w="5440" w:type="dxa"/>
            <w:vAlign w:val="bottom"/>
            <w:gridSpan w:val="2"/>
          </w:tcPr>
          <w:p>
            <w:pPr>
              <w:jc w:val="right"/>
              <w:ind w:right="3"/>
              <w:spacing w:after="0"/>
              <w:rPr>
                <w:sz w:val="20"/>
                <w:szCs w:val="20"/>
                <w:color w:val="auto"/>
              </w:rPr>
            </w:pPr>
            <w:r>
              <w:rPr>
                <w:rFonts w:ascii="Arial" w:cs="Arial" w:eastAsia="Arial" w:hAnsi="Arial"/>
                <w:sz w:val="15"/>
                <w:szCs w:val="15"/>
                <w:color w:val="auto"/>
              </w:rPr>
              <w:t>2023,  the  undiscounted  future  lease  payments  for  operating  and</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finance</w:t>
            </w:r>
          </w:p>
        </w:tc>
        <w:tc>
          <w:tcPr>
            <w:tcW w:w="460" w:type="dxa"/>
            <w:vAlign w:val="bottom"/>
            <w:gridSpan w:val="3"/>
          </w:tcPr>
          <w:p>
            <w:pPr>
              <w:jc w:val="center"/>
              <w:ind w:right="40"/>
              <w:spacing w:after="0"/>
              <w:rPr>
                <w:sz w:val="20"/>
                <w:szCs w:val="20"/>
                <w:color w:val="auto"/>
              </w:rPr>
            </w:pPr>
            <w:r>
              <w:rPr>
                <w:rFonts w:ascii="Arial" w:cs="Arial" w:eastAsia="Arial" w:hAnsi="Arial"/>
                <w:sz w:val="15"/>
                <w:szCs w:val="15"/>
                <w:color w:val="auto"/>
              </w:rPr>
              <w:t>lease</w:t>
            </w:r>
          </w:p>
        </w:tc>
        <w:tc>
          <w:tcPr>
            <w:tcW w:w="2160" w:type="dxa"/>
            <w:vAlign w:val="bottom"/>
          </w:tcPr>
          <w:p>
            <w:pPr>
              <w:jc w:val="right"/>
              <w:spacing w:after="0"/>
              <w:rPr>
                <w:sz w:val="20"/>
                <w:szCs w:val="20"/>
                <w:color w:val="auto"/>
              </w:rPr>
            </w:pPr>
            <w:r>
              <w:rPr>
                <w:rFonts w:ascii="Arial" w:cs="Arial" w:eastAsia="Arial" w:hAnsi="Arial"/>
                <w:sz w:val="15"/>
                <w:szCs w:val="15"/>
                <w:color w:val="auto"/>
              </w:rPr>
              <w:t>liabilities  were  as  follows:</w:t>
            </w:r>
          </w:p>
        </w:tc>
      </w:tr>
      <w:tr>
        <w:trPr>
          <w:trHeight w:val="31"/>
        </w:trPr>
        <w:tc>
          <w:tcPr>
            <w:tcW w:w="24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6"/>
        </w:trPr>
        <w:tc>
          <w:tcPr>
            <w:tcW w:w="24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740" w:type="dxa"/>
            <w:vAlign w:val="bottom"/>
            <w:shd w:val="clear" w:color="auto" w:fill="1D2758"/>
          </w:tcPr>
          <w:p>
            <w:pPr>
              <w:spacing w:after="0"/>
              <w:rPr>
                <w:sz w:val="17"/>
                <w:szCs w:val="17"/>
                <w:color w:val="auto"/>
              </w:rPr>
            </w:pPr>
          </w:p>
        </w:tc>
        <w:tc>
          <w:tcPr>
            <w:tcW w:w="1700" w:type="dxa"/>
            <w:vAlign w:val="bottom"/>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Operating</w:t>
            </w:r>
          </w:p>
        </w:tc>
        <w:tc>
          <w:tcPr>
            <w:tcW w:w="720" w:type="dxa"/>
            <w:vAlign w:val="bottom"/>
            <w:shd w:val="clear" w:color="auto" w:fill="1D2758"/>
          </w:tcPr>
          <w:p>
            <w:pPr>
              <w:spacing w:after="0"/>
              <w:rPr>
                <w:sz w:val="17"/>
                <w:szCs w:val="17"/>
                <w:color w:val="auto"/>
              </w:rPr>
            </w:pPr>
          </w:p>
        </w:tc>
        <w:tc>
          <w:tcPr>
            <w:tcW w:w="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216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Finance</w:t>
            </w:r>
          </w:p>
        </w:tc>
      </w:tr>
      <w:tr>
        <w:trPr>
          <w:trHeight w:val="206"/>
        </w:trPr>
        <w:tc>
          <w:tcPr>
            <w:tcW w:w="2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 (remaining)</w:t>
            </w:r>
          </w:p>
        </w:tc>
        <w:tc>
          <w:tcPr>
            <w:tcW w:w="5440" w:type="dxa"/>
            <w:vAlign w:val="bottom"/>
            <w:gridSpan w:val="2"/>
            <w:shd w:val="clear" w:color="auto" w:fill="DBDBDB"/>
          </w:tcPr>
          <w:p>
            <w:pPr>
              <w:jc w:val="right"/>
              <w:ind w:right="1523"/>
              <w:spacing w:after="0"/>
              <w:rPr>
                <w:sz w:val="20"/>
                <w:szCs w:val="20"/>
                <w:color w:val="auto"/>
              </w:rPr>
            </w:pPr>
            <w:r>
              <w:rPr>
                <w:rFonts w:ascii="Arial" w:cs="Arial" w:eastAsia="Arial" w:hAnsi="Arial"/>
                <w:sz w:val="15"/>
                <w:szCs w:val="15"/>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17,198</w:t>
            </w:r>
          </w:p>
        </w:tc>
        <w:tc>
          <w:tcPr>
            <w:tcW w:w="460" w:type="dxa"/>
            <w:vAlign w:val="bottom"/>
            <w:gridSpan w:val="3"/>
            <w:shd w:val="clear" w:color="auto" w:fill="DBDBDB"/>
          </w:tcPr>
          <w:p>
            <w:pPr>
              <w:jc w:val="center"/>
              <w:ind w:right="40"/>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4,904</w:t>
            </w:r>
          </w:p>
        </w:tc>
      </w:tr>
      <w:tr>
        <w:trPr>
          <w:trHeight w:val="203"/>
        </w:trPr>
        <w:tc>
          <w:tcPr>
            <w:tcW w:w="2460" w:type="dxa"/>
            <w:vAlign w:val="bottom"/>
          </w:tcPr>
          <w:p>
            <w:pPr>
              <w:ind w:left="20"/>
              <w:spacing w:after="0"/>
              <w:rPr>
                <w:sz w:val="20"/>
                <w:szCs w:val="20"/>
                <w:color w:val="auto"/>
              </w:rPr>
            </w:pPr>
            <w:r>
              <w:rPr>
                <w:rFonts w:ascii="Arial" w:cs="Arial" w:eastAsia="Arial" w:hAnsi="Arial"/>
                <w:sz w:val="15"/>
                <w:szCs w:val="15"/>
                <w:color w:val="auto"/>
              </w:rPr>
              <w:t>2024</w:t>
            </w: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66,027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20,431</w:t>
            </w:r>
          </w:p>
        </w:tc>
      </w:tr>
      <w:tr>
        <w:trPr>
          <w:trHeight w:val="209"/>
        </w:trPr>
        <w:tc>
          <w:tcPr>
            <w:tcW w:w="2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374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56,511</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20,104</w:t>
            </w:r>
          </w:p>
        </w:tc>
      </w:tr>
      <w:tr>
        <w:trPr>
          <w:trHeight w:val="203"/>
        </w:trPr>
        <w:tc>
          <w:tcPr>
            <w:tcW w:w="2460" w:type="dxa"/>
            <w:vAlign w:val="bottom"/>
          </w:tcPr>
          <w:p>
            <w:pPr>
              <w:ind w:left="20"/>
              <w:spacing w:after="0"/>
              <w:rPr>
                <w:sz w:val="20"/>
                <w:szCs w:val="20"/>
                <w:color w:val="auto"/>
              </w:rPr>
            </w:pPr>
            <w:r>
              <w:rPr>
                <w:rFonts w:ascii="Arial" w:cs="Arial" w:eastAsia="Arial" w:hAnsi="Arial"/>
                <w:sz w:val="15"/>
                <w:szCs w:val="15"/>
                <w:color w:val="auto"/>
              </w:rPr>
              <w:t>2026</w:t>
            </w: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44,279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19,790</w:t>
            </w:r>
          </w:p>
        </w:tc>
      </w:tr>
      <w:tr>
        <w:trPr>
          <w:trHeight w:val="209"/>
        </w:trPr>
        <w:tc>
          <w:tcPr>
            <w:tcW w:w="2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374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33,766</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16,544</w:t>
            </w:r>
          </w:p>
        </w:tc>
      </w:tr>
      <w:tr>
        <w:trPr>
          <w:trHeight w:val="203"/>
        </w:trPr>
        <w:tc>
          <w:tcPr>
            <w:tcW w:w="24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3740" w:type="dxa"/>
            <w:vAlign w:val="bottom"/>
            <w:tcBorders>
              <w:bottom w:val="single" w:sz="8" w:color="DBDBDB"/>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77,910</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33,692</w:t>
            </w:r>
          </w:p>
        </w:tc>
      </w:tr>
      <w:tr>
        <w:trPr>
          <w:trHeight w:val="202"/>
        </w:trPr>
        <w:tc>
          <w:tcPr>
            <w:tcW w:w="2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374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295,691</w:t>
            </w:r>
          </w:p>
        </w:tc>
        <w:tc>
          <w:tcPr>
            <w:tcW w:w="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115,465</w:t>
            </w:r>
          </w:p>
        </w:tc>
      </w:tr>
      <w:tr>
        <w:trPr>
          <w:trHeight w:val="203"/>
        </w:trPr>
        <w:tc>
          <w:tcPr>
            <w:tcW w:w="24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3740" w:type="dxa"/>
            <w:vAlign w:val="bottom"/>
            <w:tcBorders>
              <w:bottom w:val="single" w:sz="8" w:color="DBDBDB"/>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(45,739)</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(14,529)</w:t>
            </w:r>
          </w:p>
        </w:tc>
      </w:tr>
      <w:tr>
        <w:trPr>
          <w:trHeight w:val="219"/>
        </w:trPr>
        <w:tc>
          <w:tcPr>
            <w:tcW w:w="2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5440" w:type="dxa"/>
            <w:vAlign w:val="bottom"/>
            <w:gridSpan w:val="2"/>
            <w:shd w:val="clear" w:color="auto" w:fill="DBDBDB"/>
          </w:tcPr>
          <w:p>
            <w:pPr>
              <w:jc w:val="right"/>
              <w:ind w:right="1523"/>
              <w:spacing w:after="0"/>
              <w:rPr>
                <w:sz w:val="20"/>
                <w:szCs w:val="20"/>
                <w:color w:val="auto"/>
              </w:rPr>
            </w:pPr>
            <w:r>
              <w:rPr>
                <w:rFonts w:ascii="Arial" w:cs="Arial" w:eastAsia="Arial" w:hAnsi="Arial"/>
                <w:sz w:val="15"/>
                <w:szCs w:val="15"/>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249,952</w:t>
            </w:r>
          </w:p>
        </w:tc>
        <w:tc>
          <w:tcPr>
            <w:tcW w:w="460" w:type="dxa"/>
            <w:vAlign w:val="bottom"/>
            <w:gridSpan w:val="3"/>
            <w:shd w:val="clear" w:color="auto" w:fill="DBDBDB"/>
          </w:tcPr>
          <w:p>
            <w:pPr>
              <w:jc w:val="center"/>
              <w:ind w:right="40"/>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100,936</w:t>
            </w:r>
          </w:p>
        </w:tc>
      </w:tr>
      <w:tr>
        <w:trPr>
          <w:trHeight w:val="20"/>
        </w:trPr>
        <w:tc>
          <w:tcPr>
            <w:tcW w:w="2460" w:type="dxa"/>
            <w:vAlign w:val="bottom"/>
            <w:tcBorders>
              <w:top w:val="single" w:sz="8" w:color="DBDBDB"/>
            </w:tcBorders>
          </w:tcPr>
          <w:p>
            <w:pPr>
              <w:spacing w:after="0" w:line="20" w:lineRule="exact"/>
              <w:rPr>
                <w:sz w:val="1"/>
                <w:szCs w:val="1"/>
                <w:color w:val="auto"/>
              </w:rPr>
            </w:pPr>
          </w:p>
        </w:tc>
        <w:tc>
          <w:tcPr>
            <w:tcW w:w="374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7" w:name="page18"/>
    <w:bookmarkEnd w:id="17"/>
    <w:p>
      <w:pPr>
        <w:ind w:left="620"/>
        <w:spacing w:after="0"/>
        <w:rPr>
          <w:sz w:val="20"/>
          <w:szCs w:val="20"/>
          <w:color w:val="auto"/>
        </w:rPr>
      </w:pPr>
      <w:r>
        <w:rPr>
          <w:rFonts w:ascii="Arial" w:cs="Arial" w:eastAsia="Arial" w:hAnsi="Arial"/>
          <w:sz w:val="15"/>
          <w:szCs w:val="15"/>
          <w:color w:val="auto"/>
        </w:rPr>
        <w:t>The Company’s lease activity during the nine months ended September 30, 2023 and 2022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80" w:type="dxa"/>
            <w:vAlign w:val="bottom"/>
            <w:shd w:val="clear" w:color="auto" w:fill="1D2758"/>
          </w:tcPr>
          <w:p>
            <w:pPr>
              <w:spacing w:after="0"/>
              <w:rPr>
                <w:sz w:val="17"/>
                <w:szCs w:val="17"/>
                <w:color w:val="auto"/>
              </w:rPr>
            </w:pPr>
          </w:p>
        </w:tc>
        <w:tc>
          <w:tcPr>
            <w:tcW w:w="4340" w:type="dxa"/>
            <w:vAlign w:val="bottom"/>
            <w:gridSpan w:val="5"/>
            <w:shd w:val="clear" w:color="auto" w:fill="1D2758"/>
          </w:tcPr>
          <w:p>
            <w:pPr>
              <w:jc w:val="right"/>
              <w:ind w:right="116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680" w:type="dxa"/>
            <w:vAlign w:val="bottom"/>
            <w:shd w:val="clear" w:color="auto" w:fill="1D2758"/>
          </w:tcPr>
          <w:p>
            <w:pPr>
              <w:spacing w:after="0"/>
              <w:rPr>
                <w:sz w:val="17"/>
                <w:szCs w:val="17"/>
                <w:color w:val="auto"/>
              </w:rPr>
            </w:pPr>
          </w:p>
        </w:tc>
        <w:tc>
          <w:tcPr>
            <w:tcW w:w="17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68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r>
      <w:tr>
        <w:trPr>
          <w:trHeight w:val="203"/>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11,976</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10,326</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680" w:type="dxa"/>
            <w:vAlign w:val="bottom"/>
            <w:tcBorders>
              <w:bottom w:val="single" w:sz="8" w:color="auto"/>
            </w:tcBorders>
            <w:shd w:val="clear" w:color="auto" w:fill="DBDBDB"/>
          </w:tcPr>
          <w:p>
            <w:pPr>
              <w:spacing w:after="0"/>
              <w:rPr>
                <w:sz w:val="17"/>
                <w:szCs w:val="17"/>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2,571</w:t>
            </w:r>
          </w:p>
        </w:tc>
        <w:tc>
          <w:tcPr>
            <w:tcW w:w="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1,344</w:t>
            </w:r>
          </w:p>
        </w:tc>
      </w:tr>
      <w:tr>
        <w:trPr>
          <w:trHeight w:val="202"/>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14,547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11,670</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Fixed lease expense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1,013</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2,242</w:t>
            </w:r>
          </w:p>
        </w:tc>
      </w:tr>
      <w:tr>
        <w:trPr>
          <w:trHeight w:val="209"/>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49,327</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44,621</w:t>
            </w: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Short-term lease expense</w:t>
            </w: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9"/>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Cost of leasing and services</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18,631</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24,122</w:t>
            </w: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Selling, general and administrative</w:t>
            </w: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1,375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1,416</w:t>
            </w: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Variable lease expense</w:t>
            </w:r>
          </w:p>
        </w:tc>
        <w:tc>
          <w:tcPr>
            <w:tcW w:w="6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1,865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3,989</w:t>
            </w:r>
          </w:p>
        </w:tc>
      </w:tr>
      <w:tr>
        <w:trPr>
          <w:trHeight w:val="206"/>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680" w:type="dxa"/>
            <w:vAlign w:val="bottom"/>
            <w:tcBorders>
              <w:bottom w:val="single" w:sz="8" w:color="auto"/>
            </w:tcBorders>
            <w:shd w:val="clear" w:color="auto" w:fill="DBDBDB"/>
          </w:tcPr>
          <w:p>
            <w:pPr>
              <w:spacing w:after="0"/>
              <w:rPr>
                <w:sz w:val="17"/>
                <w:szCs w:val="17"/>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7,028</w:t>
            </w:r>
          </w:p>
        </w:tc>
        <w:tc>
          <w:tcPr>
            <w:tcW w:w="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5,123</w:t>
            </w:r>
          </w:p>
        </w:tc>
      </w:tr>
      <w:tr>
        <w:trPr>
          <w:trHeight w:val="202"/>
        </w:trPr>
        <w:tc>
          <w:tcPr>
            <w:tcW w:w="6220" w:type="dxa"/>
            <w:vAlign w:val="bottom"/>
          </w:tcPr>
          <w:p>
            <w:pPr>
              <w:ind w:left="20"/>
              <w:spacing w:after="0"/>
              <w:rPr>
                <w:sz w:val="20"/>
                <w:szCs w:val="20"/>
                <w:color w:val="auto"/>
              </w:rPr>
            </w:pPr>
            <w:r>
              <w:rPr>
                <w:rFonts w:ascii="Arial" w:cs="Arial" w:eastAsia="Arial" w:hAnsi="Arial"/>
                <w:sz w:val="15"/>
                <w:szCs w:val="15"/>
                <w:color w:val="auto"/>
              </w:rPr>
              <w:t>Total operating lease expense</w:t>
            </w: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79,239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81,513</w:t>
            </w:r>
          </w:p>
        </w:tc>
      </w:tr>
      <w:tr>
        <w:trPr>
          <w:trHeight w:val="20"/>
        </w:trPr>
        <w:tc>
          <w:tcPr>
            <w:tcW w:w="6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321"/>
        </w:trPr>
        <w:tc>
          <w:tcPr>
            <w:tcW w:w="9340" w:type="dxa"/>
            <w:vAlign w:val="bottom"/>
            <w:gridSpan w:val="6"/>
          </w:tcPr>
          <w:p>
            <w:pPr>
              <w:ind w:left="620"/>
              <w:spacing w:after="0"/>
              <w:rPr>
                <w:sz w:val="20"/>
                <w:szCs w:val="20"/>
                <w:color w:val="auto"/>
              </w:rPr>
            </w:pPr>
            <w:r>
              <w:rPr>
                <w:rFonts w:ascii="Arial" w:cs="Arial" w:eastAsia="Arial" w:hAnsi="Arial"/>
                <w:sz w:val="15"/>
                <w:szCs w:val="15"/>
                <w:color w:val="auto"/>
              </w:rPr>
              <w:t>Supplemental cash flow information related to leases for the nine months ended September 30, 2023 and 2022 was as follows:</w:t>
            </w:r>
          </w:p>
        </w:tc>
        <w:tc>
          <w:tcPr>
            <w:tcW w:w="1900" w:type="dxa"/>
            <w:vAlign w:val="bottom"/>
          </w:tcPr>
          <w:p>
            <w:pPr>
              <w:spacing w:after="0"/>
              <w:rPr>
                <w:sz w:val="24"/>
                <w:szCs w:val="24"/>
                <w:color w:val="auto"/>
              </w:rPr>
            </w:pPr>
          </w:p>
        </w:tc>
      </w:tr>
      <w:tr>
        <w:trPr>
          <w:trHeight w:val="70"/>
        </w:trPr>
        <w:tc>
          <w:tcPr>
            <w:tcW w:w="6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340" w:type="dxa"/>
            <w:vAlign w:val="bottom"/>
            <w:gridSpan w:val="5"/>
          </w:tcPr>
          <w:p>
            <w:pPr>
              <w:spacing w:after="0"/>
              <w:rPr>
                <w:sz w:val="6"/>
                <w:szCs w:val="6"/>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80" w:type="dxa"/>
            <w:vAlign w:val="bottom"/>
            <w:shd w:val="clear" w:color="auto" w:fill="1D2758"/>
          </w:tcPr>
          <w:p>
            <w:pPr>
              <w:spacing w:after="0"/>
              <w:rPr>
                <w:sz w:val="17"/>
                <w:szCs w:val="17"/>
                <w:color w:val="auto"/>
              </w:rPr>
            </w:pPr>
          </w:p>
        </w:tc>
        <w:tc>
          <w:tcPr>
            <w:tcW w:w="4340" w:type="dxa"/>
            <w:vAlign w:val="bottom"/>
            <w:gridSpan w:val="5"/>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680" w:type="dxa"/>
            <w:vAlign w:val="bottom"/>
            <w:shd w:val="clear" w:color="auto" w:fill="1D2758"/>
          </w:tcPr>
          <w:p>
            <w:pPr>
              <w:spacing w:after="0"/>
              <w:rPr>
                <w:sz w:val="17"/>
                <w:szCs w:val="17"/>
                <w:color w:val="auto"/>
              </w:rPr>
            </w:pPr>
          </w:p>
        </w:tc>
        <w:tc>
          <w:tcPr>
            <w:tcW w:w="178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68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r>
      <w:tr>
        <w:trPr>
          <w:trHeight w:val="203"/>
        </w:trPr>
        <w:tc>
          <w:tcPr>
            <w:tcW w:w="62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tcPr>
          <w:p>
            <w:pPr>
              <w:jc w:val="right"/>
              <w:ind w:right="23"/>
              <w:spacing w:after="0"/>
              <w:rPr>
                <w:sz w:val="20"/>
                <w:szCs w:val="20"/>
                <w:color w:val="auto"/>
              </w:rPr>
            </w:pPr>
            <w:r>
              <w:rPr>
                <w:rFonts w:ascii="Arial" w:cs="Arial" w:eastAsia="Arial" w:hAnsi="Arial"/>
                <w:sz w:val="15"/>
                <w:szCs w:val="15"/>
                <w:color w:val="auto"/>
              </w:rPr>
              <w:t>50,495</w:t>
            </w:r>
          </w:p>
        </w:tc>
        <w:tc>
          <w:tcPr>
            <w:tcW w:w="3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46,731</w:t>
            </w:r>
          </w:p>
        </w:tc>
      </w:tr>
      <w:tr>
        <w:trPr>
          <w:trHeight w:val="209"/>
        </w:trPr>
        <w:tc>
          <w:tcPr>
            <w:tcW w:w="62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shd w:val="clear" w:color="auto" w:fill="DBDBDB"/>
          </w:tcPr>
          <w:p>
            <w:pPr>
              <w:jc w:val="right"/>
              <w:ind w:right="23"/>
              <w:spacing w:after="0"/>
              <w:rPr>
                <w:sz w:val="20"/>
                <w:szCs w:val="20"/>
                <w:color w:val="auto"/>
              </w:rPr>
            </w:pPr>
            <w:r>
              <w:rPr>
                <w:rFonts w:ascii="Arial" w:cs="Arial" w:eastAsia="Arial" w:hAnsi="Arial"/>
                <w:sz w:val="15"/>
                <w:szCs w:val="15"/>
                <w:color w:val="auto"/>
              </w:rPr>
              <w:t>2,515</w:t>
            </w:r>
          </w:p>
        </w:tc>
        <w:tc>
          <w:tcPr>
            <w:tcW w:w="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1,343</w:t>
            </w:r>
          </w:p>
        </w:tc>
      </w:tr>
      <w:tr>
        <w:trPr>
          <w:trHeight w:val="203"/>
        </w:trPr>
        <w:tc>
          <w:tcPr>
            <w:tcW w:w="62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tcPr>
          <w:p>
            <w:pPr>
              <w:jc w:val="right"/>
              <w:ind w:right="23"/>
              <w:spacing w:after="0"/>
              <w:rPr>
                <w:sz w:val="20"/>
                <w:szCs w:val="20"/>
                <w:color w:val="auto"/>
              </w:rPr>
            </w:pPr>
            <w:r>
              <w:rPr>
                <w:rFonts w:ascii="Arial" w:cs="Arial" w:eastAsia="Arial" w:hAnsi="Arial"/>
                <w:sz w:val="15"/>
                <w:szCs w:val="15"/>
                <w:color w:val="auto"/>
              </w:rPr>
              <w:t>12,425</w:t>
            </w:r>
          </w:p>
        </w:tc>
        <w:tc>
          <w:tcPr>
            <w:tcW w:w="3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12,096</w:t>
            </w:r>
          </w:p>
        </w:tc>
      </w:tr>
      <w:tr>
        <w:trPr>
          <w:trHeight w:val="248"/>
        </w:trPr>
        <w:tc>
          <w:tcPr>
            <w:tcW w:w="6220" w:type="dxa"/>
            <w:vAlign w:val="bottom"/>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c>
          <w:tcPr>
            <w:tcW w:w="2060" w:type="dxa"/>
            <w:vAlign w:val="bottom"/>
            <w:gridSpan w:val="3"/>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900" w:type="dxa"/>
            <w:vAlign w:val="bottom"/>
            <w:shd w:val="clear" w:color="auto" w:fill="DBDBDB"/>
          </w:tcPr>
          <w:p>
            <w:pPr>
              <w:spacing w:after="0"/>
              <w:rPr>
                <w:sz w:val="21"/>
                <w:szCs w:val="2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tcPr>
          <w:p>
            <w:pPr>
              <w:jc w:val="right"/>
              <w:ind w:right="23"/>
              <w:spacing w:after="0"/>
              <w:rPr>
                <w:sz w:val="20"/>
                <w:szCs w:val="20"/>
                <w:color w:val="auto"/>
              </w:rPr>
            </w:pPr>
            <w:r>
              <w:rPr>
                <w:rFonts w:ascii="Arial" w:cs="Arial" w:eastAsia="Arial" w:hAnsi="Arial"/>
                <w:sz w:val="15"/>
                <w:szCs w:val="15"/>
                <w:color w:val="auto"/>
              </w:rPr>
              <w:t>78,969</w:t>
            </w:r>
          </w:p>
        </w:tc>
        <w:tc>
          <w:tcPr>
            <w:tcW w:w="3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37,309</w:t>
            </w:r>
          </w:p>
        </w:tc>
      </w:tr>
      <w:tr>
        <w:trPr>
          <w:trHeight w:val="209"/>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60" w:type="dxa"/>
            <w:vAlign w:val="bottom"/>
            <w:gridSpan w:val="3"/>
            <w:shd w:val="clear" w:color="auto" w:fill="DBDBDB"/>
          </w:tcPr>
          <w:p>
            <w:pPr>
              <w:jc w:val="right"/>
              <w:ind w:right="23"/>
              <w:spacing w:after="0"/>
              <w:rPr>
                <w:sz w:val="20"/>
                <w:szCs w:val="20"/>
                <w:color w:val="auto"/>
              </w:rPr>
            </w:pPr>
            <w:r>
              <w:rPr>
                <w:rFonts w:ascii="Arial" w:cs="Arial" w:eastAsia="Arial" w:hAnsi="Arial"/>
                <w:sz w:val="15"/>
                <w:szCs w:val="15"/>
                <w:color w:val="auto"/>
              </w:rPr>
              <w:t>38,534</w:t>
            </w:r>
          </w:p>
        </w:tc>
        <w:tc>
          <w:tcPr>
            <w:tcW w:w="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20,196</w:t>
            </w:r>
          </w:p>
        </w:tc>
      </w:tr>
      <w:tr>
        <w:trPr>
          <w:trHeight w:val="314"/>
        </w:trPr>
        <w:tc>
          <w:tcPr>
            <w:tcW w:w="11240" w:type="dxa"/>
            <w:vAlign w:val="bottom"/>
            <w:gridSpan w:val="7"/>
          </w:tcPr>
          <w:p>
            <w:pPr>
              <w:ind w:left="620"/>
              <w:spacing w:after="0"/>
              <w:rPr>
                <w:sz w:val="20"/>
                <w:szCs w:val="20"/>
                <w:color w:val="auto"/>
              </w:rPr>
            </w:pPr>
            <w:r>
              <w:rPr>
                <w:rFonts w:ascii="Arial" w:cs="Arial" w:eastAsia="Arial" w:hAnsi="Arial"/>
                <w:sz w:val="15"/>
                <w:szCs w:val="15"/>
                <w:color w:val="auto"/>
              </w:rPr>
              <w:t>Weighted average remaining operating lease terms and the weighted average discount rates as of September 30, 2023 and December 31, 2022 were as</w:t>
            </w:r>
          </w:p>
        </w:tc>
      </w:tr>
      <w:tr>
        <w:trPr>
          <w:trHeight w:val="196"/>
        </w:trPr>
        <w:tc>
          <w:tcPr>
            <w:tcW w:w="6220" w:type="dxa"/>
            <w:vAlign w:val="bottom"/>
          </w:tcPr>
          <w:p>
            <w:pPr>
              <w:spacing w:after="0"/>
              <w:rPr>
                <w:sz w:val="20"/>
                <w:szCs w:val="20"/>
                <w:color w:val="auto"/>
              </w:rPr>
            </w:pPr>
            <w:r>
              <w:rPr>
                <w:rFonts w:ascii="Arial" w:cs="Arial" w:eastAsia="Arial" w:hAnsi="Arial"/>
                <w:sz w:val="15"/>
                <w:szCs w:val="15"/>
                <w:color w:val="auto"/>
              </w:rPr>
              <w:t>follows:</w:t>
            </w: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3"/>
        </w:trPr>
        <w:tc>
          <w:tcPr>
            <w:tcW w:w="6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6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680" w:type="dxa"/>
            <w:vAlign w:val="bottom"/>
            <w:shd w:val="clear" w:color="auto" w:fill="1D2758"/>
          </w:tcPr>
          <w:p>
            <w:pPr>
              <w:spacing w:after="0"/>
              <w:rPr>
                <w:sz w:val="17"/>
                <w:szCs w:val="17"/>
                <w:color w:val="auto"/>
              </w:rPr>
            </w:pPr>
          </w:p>
        </w:tc>
        <w:tc>
          <w:tcPr>
            <w:tcW w:w="186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September 30, 2023</w:t>
            </w:r>
          </w:p>
        </w:tc>
        <w:tc>
          <w:tcPr>
            <w:tcW w:w="2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operating leases</w:t>
            </w:r>
          </w:p>
        </w:tc>
        <w:tc>
          <w:tcPr>
            <w:tcW w:w="680" w:type="dxa"/>
            <w:vAlign w:val="bottom"/>
            <w:shd w:val="clear" w:color="auto" w:fill="DBDBDB"/>
          </w:tcPr>
          <w:p>
            <w:pPr>
              <w:spacing w:after="0"/>
              <w:rPr>
                <w:sz w:val="17"/>
                <w:szCs w:val="17"/>
                <w:color w:val="auto"/>
              </w:rPr>
            </w:pPr>
          </w:p>
        </w:tc>
        <w:tc>
          <w:tcPr>
            <w:tcW w:w="2060" w:type="dxa"/>
            <w:vAlign w:val="bottom"/>
            <w:gridSpan w:val="3"/>
            <w:shd w:val="clear" w:color="auto" w:fill="DBDBDB"/>
          </w:tcPr>
          <w:p>
            <w:pPr>
              <w:jc w:val="right"/>
              <w:ind w:right="43"/>
              <w:spacing w:after="0"/>
              <w:rPr>
                <w:sz w:val="20"/>
                <w:szCs w:val="20"/>
                <w:color w:val="auto"/>
              </w:rPr>
            </w:pPr>
            <w:r>
              <w:rPr>
                <w:rFonts w:ascii="Arial" w:cs="Arial" w:eastAsia="Arial" w:hAnsi="Arial"/>
                <w:sz w:val="15"/>
                <w:szCs w:val="15"/>
                <w:color w:val="auto"/>
              </w:rPr>
              <w:t>5.8 years</w:t>
            </w:r>
          </w:p>
        </w:tc>
        <w:tc>
          <w:tcPr>
            <w:tcW w:w="380" w:type="dxa"/>
            <w:vAlign w:val="bottom"/>
            <w:shd w:val="clear" w:color="auto" w:fill="DBDBDB"/>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 years</w:t>
            </w: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Weighted average discount rate - operating leases</w:t>
            </w:r>
          </w:p>
        </w:tc>
        <w:tc>
          <w:tcPr>
            <w:tcW w:w="680" w:type="dxa"/>
            <w:vAlign w:val="bottom"/>
          </w:tcPr>
          <w:p>
            <w:pPr>
              <w:spacing w:after="0"/>
              <w:rPr>
                <w:sz w:val="17"/>
                <w:szCs w:val="17"/>
                <w:color w:val="auto"/>
              </w:rPr>
            </w:pPr>
          </w:p>
        </w:tc>
        <w:tc>
          <w:tcPr>
            <w:tcW w:w="2060" w:type="dxa"/>
            <w:vAlign w:val="bottom"/>
            <w:gridSpan w:val="3"/>
          </w:tcPr>
          <w:p>
            <w:pPr>
              <w:jc w:val="right"/>
              <w:ind w:right="43"/>
              <w:spacing w:after="0"/>
              <w:rPr>
                <w:sz w:val="20"/>
                <w:szCs w:val="20"/>
                <w:color w:val="auto"/>
              </w:rPr>
            </w:pPr>
            <w:r>
              <w:rPr>
                <w:rFonts w:ascii="Arial" w:cs="Arial" w:eastAsia="Arial" w:hAnsi="Arial"/>
                <w:sz w:val="15"/>
                <w:szCs w:val="15"/>
                <w:color w:val="auto"/>
              </w:rPr>
              <w:t>5.7 %</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5.4 %</w:t>
            </w:r>
          </w:p>
        </w:tc>
      </w:tr>
      <w:tr>
        <w:trPr>
          <w:trHeight w:val="209"/>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finance leases</w:t>
            </w:r>
          </w:p>
        </w:tc>
        <w:tc>
          <w:tcPr>
            <w:tcW w:w="680" w:type="dxa"/>
            <w:vAlign w:val="bottom"/>
            <w:shd w:val="clear" w:color="auto" w:fill="DBDBDB"/>
          </w:tcPr>
          <w:p>
            <w:pPr>
              <w:spacing w:after="0"/>
              <w:rPr>
                <w:sz w:val="18"/>
                <w:szCs w:val="18"/>
                <w:color w:val="auto"/>
              </w:rPr>
            </w:pPr>
          </w:p>
        </w:tc>
        <w:tc>
          <w:tcPr>
            <w:tcW w:w="2060" w:type="dxa"/>
            <w:vAlign w:val="bottom"/>
            <w:gridSpan w:val="3"/>
            <w:shd w:val="clear" w:color="auto" w:fill="DBDBDB"/>
          </w:tcPr>
          <w:p>
            <w:pPr>
              <w:jc w:val="right"/>
              <w:ind w:right="43"/>
              <w:spacing w:after="0"/>
              <w:rPr>
                <w:sz w:val="20"/>
                <w:szCs w:val="20"/>
                <w:color w:val="auto"/>
              </w:rPr>
            </w:pPr>
            <w:r>
              <w:rPr>
                <w:rFonts w:ascii="Arial" w:cs="Arial" w:eastAsia="Arial" w:hAnsi="Arial"/>
                <w:sz w:val="15"/>
                <w:szCs w:val="15"/>
                <w:color w:val="auto"/>
              </w:rPr>
              <w:t>5.1 years</w:t>
            </w:r>
          </w:p>
        </w:tc>
        <w:tc>
          <w:tcPr>
            <w:tcW w:w="3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 years</w:t>
            </w:r>
          </w:p>
        </w:tc>
      </w:tr>
      <w:tr>
        <w:trPr>
          <w:trHeight w:val="201"/>
        </w:trPr>
        <w:tc>
          <w:tcPr>
            <w:tcW w:w="6220" w:type="dxa"/>
            <w:vAlign w:val="bottom"/>
          </w:tcPr>
          <w:p>
            <w:pPr>
              <w:ind w:left="20"/>
              <w:spacing w:after="0"/>
              <w:rPr>
                <w:sz w:val="20"/>
                <w:szCs w:val="20"/>
                <w:color w:val="auto"/>
              </w:rPr>
            </w:pPr>
            <w:r>
              <w:rPr>
                <w:rFonts w:ascii="Arial" w:cs="Arial" w:eastAsia="Arial" w:hAnsi="Arial"/>
                <w:sz w:val="15"/>
                <w:szCs w:val="15"/>
                <w:color w:val="auto"/>
              </w:rPr>
              <w:t>Weighted average discount rate - finance leases</w:t>
            </w:r>
          </w:p>
        </w:tc>
        <w:tc>
          <w:tcPr>
            <w:tcW w:w="680" w:type="dxa"/>
            <w:vAlign w:val="bottom"/>
          </w:tcPr>
          <w:p>
            <w:pPr>
              <w:spacing w:after="0"/>
              <w:rPr>
                <w:sz w:val="17"/>
                <w:szCs w:val="17"/>
                <w:color w:val="auto"/>
              </w:rPr>
            </w:pPr>
          </w:p>
        </w:tc>
        <w:tc>
          <w:tcPr>
            <w:tcW w:w="2060" w:type="dxa"/>
            <w:vAlign w:val="bottom"/>
            <w:gridSpan w:val="3"/>
          </w:tcPr>
          <w:p>
            <w:pPr>
              <w:jc w:val="right"/>
              <w:ind w:right="43"/>
              <w:spacing w:after="0"/>
              <w:rPr>
                <w:sz w:val="20"/>
                <w:szCs w:val="20"/>
                <w:color w:val="auto"/>
              </w:rPr>
            </w:pPr>
            <w:r>
              <w:rPr>
                <w:rFonts w:ascii="Arial" w:cs="Arial" w:eastAsia="Arial" w:hAnsi="Arial"/>
                <w:sz w:val="15"/>
                <w:szCs w:val="15"/>
                <w:color w:val="auto"/>
              </w:rPr>
              <w:t>4.5 %</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335"/>
        </w:trPr>
        <w:tc>
          <w:tcPr>
            <w:tcW w:w="6220" w:type="dxa"/>
            <w:vAlign w:val="bottom"/>
          </w:tcPr>
          <w:p>
            <w:pPr>
              <w:ind w:left="620"/>
              <w:spacing w:after="0"/>
              <w:rPr>
                <w:sz w:val="20"/>
                <w:szCs w:val="20"/>
                <w:color w:val="auto"/>
              </w:rPr>
            </w:pPr>
            <w:r>
              <w:rPr>
                <w:rFonts w:ascii="Arial" w:cs="Arial" w:eastAsia="Arial" w:hAnsi="Arial"/>
                <w:sz w:val="15"/>
                <w:szCs w:val="15"/>
                <w:color w:val="auto"/>
              </w:rPr>
              <w:t>The Company presents information related to leasing revenues in Note 4.</w:t>
            </w: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1D2758"/>
        </w:rPr>
        <w:t>NOTE 6 - Inventories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20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September 30, 2023</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61"/>
        </w:trPr>
        <w:tc>
          <w:tcPr>
            <w:tcW w:w="6720" w:type="dxa"/>
            <w:vAlign w:val="bottom"/>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206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42,116</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38,611</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2,613</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2,419</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44,729</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41,030</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1D2758"/>
        </w:rPr>
        <w:t>NOTE 7 - Rental Equipment, net</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20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September 30, 2023</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61"/>
        </w:trPr>
        <w:tc>
          <w:tcPr>
            <w:tcW w:w="6720" w:type="dxa"/>
            <w:vAlign w:val="bottom"/>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206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3,507,399</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3,197,779</w:t>
            </w:r>
          </w:p>
        </w:tc>
        <w:tc>
          <w:tcPr>
            <w:tcW w:w="0" w:type="dxa"/>
            <w:vAlign w:val="bottom"/>
          </w:tcPr>
          <w:p>
            <w:pPr>
              <w:spacing w:after="0"/>
              <w:rPr>
                <w:sz w:val="1"/>
                <w:szCs w:val="1"/>
                <w:color w:val="auto"/>
              </w:rPr>
            </w:pPr>
          </w:p>
        </w:tc>
      </w:tr>
      <w:tr>
        <w:trPr>
          <w:trHeight w:val="203"/>
        </w:trPr>
        <w:tc>
          <w:tcPr>
            <w:tcW w:w="672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40" w:type="dxa"/>
            <w:vAlign w:val="bottom"/>
          </w:tcPr>
          <w:p>
            <w:pPr>
              <w:spacing w:after="0"/>
              <w:rPr>
                <w:sz w:val="17"/>
                <w:szCs w:val="17"/>
                <w:color w:val="auto"/>
              </w:rPr>
            </w:pP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948,829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849,193</w:t>
            </w:r>
          </w:p>
        </w:tc>
        <w:tc>
          <w:tcPr>
            <w:tcW w:w="0" w:type="dxa"/>
            <w:vAlign w:val="bottom"/>
          </w:tcPr>
          <w:p>
            <w:pPr>
              <w:spacing w:after="0"/>
              <w:rPr>
                <w:sz w:val="1"/>
                <w:szCs w:val="1"/>
                <w:color w:val="auto"/>
              </w:rPr>
            </w:pPr>
          </w:p>
        </w:tc>
      </w:tr>
      <w:tr>
        <w:trPr>
          <w:trHeight w:val="209"/>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240" w:type="dxa"/>
            <w:vAlign w:val="bottom"/>
            <w:tcBorders>
              <w:bottom w:val="single" w:sz="8" w:color="auto"/>
            </w:tcBorders>
            <w:shd w:val="clear" w:color="auto" w:fill="DBDBDB"/>
          </w:tcPr>
          <w:p>
            <w:pPr>
              <w:spacing w:after="0"/>
              <w:rPr>
                <w:sz w:val="18"/>
                <w:szCs w:val="18"/>
                <w:color w:val="auto"/>
              </w:rPr>
            </w:pPr>
          </w:p>
        </w:tc>
        <w:tc>
          <w:tcPr>
            <w:tcW w:w="1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200,424</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203,444</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240" w:type="dxa"/>
            <w:vAlign w:val="bottom"/>
          </w:tcPr>
          <w:p>
            <w:pPr>
              <w:spacing w:after="0"/>
              <w:rPr>
                <w:sz w:val="17"/>
                <w:szCs w:val="17"/>
                <w:color w:val="auto"/>
              </w:rPr>
            </w:pP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4,656,652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4,250,416</w:t>
            </w:r>
          </w:p>
        </w:tc>
        <w:tc>
          <w:tcPr>
            <w:tcW w:w="0" w:type="dxa"/>
            <w:vAlign w:val="bottom"/>
          </w:tcPr>
          <w:p>
            <w:pPr>
              <w:spacing w:after="0"/>
              <w:rPr>
                <w:sz w:val="1"/>
                <w:szCs w:val="1"/>
                <w:color w:val="auto"/>
              </w:rPr>
            </w:pPr>
          </w:p>
        </w:tc>
      </w:tr>
      <w:tr>
        <w:trPr>
          <w:trHeight w:val="209"/>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240" w:type="dxa"/>
            <w:vAlign w:val="bottom"/>
            <w:tcBorders>
              <w:bottom w:val="single" w:sz="8" w:color="auto"/>
            </w:tcBorders>
            <w:shd w:val="clear" w:color="auto" w:fill="DBDBDB"/>
          </w:tcPr>
          <w:p>
            <w:pPr>
              <w:spacing w:after="0"/>
              <w:rPr>
                <w:sz w:val="18"/>
                <w:szCs w:val="18"/>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(1,309,635)</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(1,173,129)</w:t>
            </w:r>
          </w:p>
        </w:tc>
        <w:tc>
          <w:tcPr>
            <w:tcW w:w="0" w:type="dxa"/>
            <w:vAlign w:val="bottom"/>
          </w:tcPr>
          <w:p>
            <w:pPr>
              <w:spacing w:after="0"/>
              <w:rPr>
                <w:sz w:val="1"/>
                <w:szCs w:val="1"/>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3,347,017</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3,077,287</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1D2758"/>
        </w:rPr>
        <w:t>NOTE 8 - Goodwill and Intangibles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5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52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Modular</w:t>
            </w:r>
          </w:p>
        </w:tc>
        <w:tc>
          <w:tcPr>
            <w:tcW w:w="340" w:type="dxa"/>
            <w:vAlign w:val="bottom"/>
            <w:shd w:val="clear" w:color="auto" w:fill="1D2758"/>
          </w:tcPr>
          <w:p>
            <w:pPr>
              <w:spacing w:after="0"/>
              <w:rPr>
                <w:sz w:val="18"/>
                <w:szCs w:val="18"/>
                <w:color w:val="auto"/>
              </w:rPr>
            </w:pPr>
          </w:p>
        </w:tc>
        <w:tc>
          <w:tcPr>
            <w:tcW w:w="1540" w:type="dxa"/>
            <w:vAlign w:val="bottom"/>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Storage</w:t>
            </w:r>
          </w:p>
        </w:tc>
        <w:tc>
          <w:tcPr>
            <w:tcW w:w="42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521,049</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1,013,601</w:t>
            </w:r>
          </w:p>
        </w:tc>
      </w:tr>
      <w:tr>
        <w:trPr>
          <w:trHeight w:val="203"/>
        </w:trPr>
        <w:tc>
          <w:tcPr>
            <w:tcW w:w="5720" w:type="dxa"/>
            <w:vAlign w:val="bottom"/>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(2,172)</w:t>
            </w:r>
          </w:p>
        </w:tc>
      </w:tr>
      <w:tr>
        <w:trPr>
          <w:trHeight w:val="202"/>
        </w:trPr>
        <w:tc>
          <w:tcPr>
            <w:tcW w:w="5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340" w:type="dxa"/>
            <w:vAlign w:val="bottom"/>
            <w:tcBorders>
              <w:top w:val="single" w:sz="8" w:color="auto"/>
            </w:tcBorders>
            <w:shd w:val="clear" w:color="auto" w:fill="DBDBDB"/>
          </w:tcPr>
          <w:p>
            <w:pPr>
              <w:spacing w:after="0"/>
              <w:rPr>
                <w:sz w:val="17"/>
                <w:szCs w:val="17"/>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518,877</w:t>
            </w:r>
          </w:p>
        </w:tc>
        <w:tc>
          <w:tcPr>
            <w:tcW w:w="10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spacing w:after="0"/>
              <w:rPr>
                <w:sz w:val="17"/>
                <w:szCs w:val="17"/>
                <w:color w:val="auto"/>
              </w:rPr>
            </w:pPr>
          </w:p>
        </w:tc>
        <w:tc>
          <w:tcPr>
            <w:tcW w:w="14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tcBorders>
              <w:top w:val="single" w:sz="8" w:color="DBDBDB"/>
            </w:tcBorders>
            <w:shd w:val="clear" w:color="auto" w:fill="DBDBDB"/>
          </w:tcPr>
          <w:p>
            <w:pPr>
              <w:spacing w:after="0"/>
              <w:rPr>
                <w:sz w:val="17"/>
                <w:szCs w:val="17"/>
                <w:color w:val="auto"/>
              </w:rPr>
            </w:pPr>
          </w:p>
        </w:tc>
        <w:tc>
          <w:tcPr>
            <w:tcW w:w="420" w:type="dxa"/>
            <w:vAlign w:val="bottom"/>
            <w:tcBorders>
              <w:top w:val="single" w:sz="8" w:color="auto"/>
            </w:tcBorders>
            <w:shd w:val="clear" w:color="auto" w:fill="DBDBDB"/>
          </w:tcPr>
          <w:p>
            <w:pPr>
              <w:spacing w:after="0"/>
              <w:rPr>
                <w:sz w:val="17"/>
                <w:szCs w:val="17"/>
                <w:color w:val="auto"/>
              </w:rPr>
            </w:pP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1,011,429</w:t>
            </w:r>
          </w:p>
        </w:tc>
      </w:tr>
      <w:tr>
        <w:trPr>
          <w:trHeight w:val="203"/>
        </w:trPr>
        <w:tc>
          <w:tcPr>
            <w:tcW w:w="5720" w:type="dxa"/>
            <w:vAlign w:val="bottom"/>
          </w:tcPr>
          <w:p>
            <w:pPr>
              <w:ind w:left="220"/>
              <w:spacing w:after="0"/>
              <w:rPr>
                <w:sz w:val="20"/>
                <w:szCs w:val="20"/>
                <w:color w:val="auto"/>
              </w:rPr>
            </w:pPr>
            <w:r>
              <w:rPr>
                <w:rFonts w:ascii="Arial" w:cs="Arial" w:eastAsia="Arial" w:hAnsi="Arial"/>
                <w:sz w:val="15"/>
                <w:szCs w:val="15"/>
                <w:color w:val="auto"/>
              </w:rPr>
              <w:t>Additions from acquisitions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4,482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142,216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146,698</w:t>
            </w:r>
          </w:p>
        </w:tc>
      </w:tr>
      <w:tr>
        <w:trPr>
          <w:trHeight w:val="209"/>
        </w:trPr>
        <w:tc>
          <w:tcPr>
            <w:tcW w:w="57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5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w:t>
            </w:r>
          </w:p>
        </w:tc>
      </w:tr>
      <w:tr>
        <w:trPr>
          <w:trHeight w:val="196"/>
        </w:trPr>
        <w:tc>
          <w:tcPr>
            <w:tcW w:w="5720" w:type="dxa"/>
            <w:vAlign w:val="bottom"/>
          </w:tcPr>
          <w:p>
            <w:pPr>
              <w:ind w:left="20"/>
              <w:spacing w:after="0"/>
              <w:rPr>
                <w:sz w:val="20"/>
                <w:szCs w:val="20"/>
                <w:color w:val="auto"/>
              </w:rPr>
            </w:pPr>
            <w:r>
              <w:rPr>
                <w:rFonts w:ascii="Arial" w:cs="Arial" w:eastAsia="Arial" w:hAnsi="Arial"/>
                <w:sz w:val="15"/>
                <w:szCs w:val="15"/>
                <w:color w:val="auto"/>
              </w:rPr>
              <w:t>Balance at September 30, 2023</w:t>
            </w: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523,308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634,768</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1,158,076</w:t>
            </w:r>
          </w:p>
        </w:tc>
      </w:tr>
      <w:tr>
        <w:trPr>
          <w:trHeight w:val="21"/>
        </w:trPr>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As discussed in further detail in Note 2, purchase price allocations for the acquisitions completed during the three months ended September 30, 2023 are preliminary and subject to revision. The Company will finalize the valuation of the acquired net assets, including the final assignment of goodwill, within the one-year measurement period.</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no goodwill impairment during the nine months ended September 30, 2023 or the year ended December 31, 2022.</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60"/>
              <w:spacing w:after="0"/>
              <w:rPr>
                <w:sz w:val="20"/>
                <w:szCs w:val="20"/>
                <w:color w:val="auto"/>
              </w:rPr>
            </w:pPr>
            <w:r>
              <w:rPr>
                <w:rFonts w:ascii="Arial" w:cs="Arial" w:eastAsia="Arial" w:hAnsi="Arial"/>
                <w:sz w:val="15"/>
                <w:szCs w:val="15"/>
                <w:b w:val="1"/>
                <w:bCs w:val="1"/>
                <w:color w:val="FFFFFF"/>
              </w:rPr>
              <w:t>September 30, 2023</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4.8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188,000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(76,374)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111,626</w:t>
            </w:r>
          </w:p>
        </w:tc>
        <w:tc>
          <w:tcPr>
            <w:tcW w:w="0" w:type="dxa"/>
            <w:vAlign w:val="bottom"/>
          </w:tcPr>
          <w:p>
            <w:pPr>
              <w:spacing w:after="0"/>
              <w:rPr>
                <w:sz w:val="1"/>
                <w:szCs w:val="1"/>
                <w:color w:val="auto"/>
              </w:rPr>
            </w:pPr>
          </w:p>
        </w:tc>
      </w:tr>
      <w:tr>
        <w:trPr>
          <w:trHeight w:val="20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2.8</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687</w:t>
            </w:r>
          </w:p>
        </w:tc>
        <w:tc>
          <w:tcPr>
            <w:tcW w:w="0" w:type="dxa"/>
            <w:vAlign w:val="bottom"/>
          </w:tcPr>
          <w:p>
            <w:pPr>
              <w:spacing w:after="0"/>
              <w:rPr>
                <w:sz w:val="1"/>
                <w:szCs w:val="1"/>
                <w:color w:val="auto"/>
              </w:rPr>
            </w:pPr>
          </w:p>
        </w:tc>
      </w:tr>
      <w:tr>
        <w:trPr>
          <w:trHeight w:val="201"/>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8"/>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5"/>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478,500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(77,187)</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401,313</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80"/>
              <w:spacing w:after="0"/>
              <w:rPr>
                <w:sz w:val="20"/>
                <w:szCs w:val="20"/>
                <w:color w:val="auto"/>
              </w:rPr>
            </w:pPr>
            <w:r>
              <w:rPr>
                <w:rFonts w:ascii="Arial" w:cs="Arial" w:eastAsia="Arial" w:hAnsi="Arial"/>
                <w:sz w:val="15"/>
                <w:szCs w:val="15"/>
                <w:b w:val="1"/>
                <w:bCs w:val="1"/>
                <w:color w:val="FFFFFF"/>
              </w:rPr>
              <w:t>December 31, 2022</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5.5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188,000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(58,750)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129,250</w:t>
            </w:r>
          </w:p>
        </w:tc>
        <w:tc>
          <w:tcPr>
            <w:tcW w:w="0" w:type="dxa"/>
            <w:vAlign w:val="bottom"/>
          </w:tcPr>
          <w:p>
            <w:pPr>
              <w:spacing w:after="0"/>
              <w:rPr>
                <w:sz w:val="1"/>
                <w:szCs w:val="1"/>
                <w:color w:val="auto"/>
              </w:rPr>
            </w:pPr>
          </w:p>
        </w:tc>
      </w:tr>
      <w:tr>
        <w:trPr>
          <w:trHeight w:val="20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3.5</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01"/>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8"/>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5"/>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478,500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(59,375)</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419,125</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Amortization expense related to intangible assets was $5.9 million and $5.6 million for the three months ended September 30, 2023 and 2022, respectively, and $17.8 million and $17.4 million for the nine months ended September 30, 2023 and 2022, respectively.</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Based on the carrying value at September 30, 2023, future amortization of intangible assets is expected to be as follows for the years ended December 31: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0" w:type="dxa"/>
            <w:vAlign w:val="bottom"/>
            <w:shd w:val="clear" w:color="auto" w:fill="1D2758"/>
          </w:tcPr>
          <w:p>
            <w:pPr>
              <w:spacing w:after="0"/>
              <w:rPr>
                <w:sz w:val="17"/>
                <w:szCs w:val="17"/>
                <w:color w:val="auto"/>
              </w:rPr>
            </w:pPr>
          </w:p>
        </w:tc>
        <w:tc>
          <w:tcPr>
            <w:tcW w:w="1480" w:type="dxa"/>
            <w:vAlign w:val="bottom"/>
            <w:shd w:val="clear" w:color="auto" w:fill="1D2758"/>
          </w:tcPr>
          <w:p>
            <w:pPr>
              <w:spacing w:after="0"/>
              <w:rPr>
                <w:sz w:val="17"/>
                <w:szCs w:val="17"/>
                <w:color w:val="auto"/>
              </w:rPr>
            </w:pP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 (remaining)</w:t>
            </w:r>
          </w:p>
        </w:tc>
        <w:tc>
          <w:tcPr>
            <w:tcW w:w="1000" w:type="dxa"/>
            <w:vAlign w:val="bottom"/>
            <w:shd w:val="clear" w:color="auto" w:fill="DBDBDB"/>
          </w:tcPr>
          <w:p>
            <w:pPr>
              <w:jc w:val="right"/>
              <w:ind w:right="80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5,938</w:t>
            </w:r>
          </w:p>
        </w:tc>
      </w:tr>
      <w:tr>
        <w:trPr>
          <w:trHeight w:val="203"/>
        </w:trPr>
        <w:tc>
          <w:tcPr>
            <w:tcW w:w="8760" w:type="dxa"/>
            <w:vAlign w:val="bottom"/>
          </w:tcPr>
          <w:p>
            <w:pPr>
              <w:ind w:left="20"/>
              <w:spacing w:after="0"/>
              <w:rPr>
                <w:sz w:val="20"/>
                <w:szCs w:val="20"/>
                <w:color w:val="auto"/>
              </w:rPr>
            </w:pPr>
            <w:r>
              <w:rPr>
                <w:rFonts w:ascii="Arial" w:cs="Arial" w:eastAsia="Arial" w:hAnsi="Arial"/>
                <w:sz w:val="15"/>
                <w:szCs w:val="15"/>
                <w:color w:val="auto"/>
              </w:rPr>
              <w:t>2024</w:t>
            </w:r>
          </w:p>
        </w:tc>
        <w:tc>
          <w:tcPr>
            <w:tcW w:w="10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23,750</w:t>
            </w:r>
          </w:p>
        </w:tc>
      </w:tr>
      <w:tr>
        <w:trPr>
          <w:trHeight w:val="209"/>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100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23,750</w:t>
            </w:r>
          </w:p>
        </w:tc>
      </w:tr>
      <w:tr>
        <w:trPr>
          <w:trHeight w:val="203"/>
        </w:trPr>
        <w:tc>
          <w:tcPr>
            <w:tcW w:w="8760" w:type="dxa"/>
            <w:vAlign w:val="bottom"/>
          </w:tcPr>
          <w:p>
            <w:pPr>
              <w:ind w:left="20"/>
              <w:spacing w:after="0"/>
              <w:rPr>
                <w:sz w:val="20"/>
                <w:szCs w:val="20"/>
                <w:color w:val="auto"/>
              </w:rPr>
            </w:pPr>
            <w:r>
              <w:rPr>
                <w:rFonts w:ascii="Arial" w:cs="Arial" w:eastAsia="Arial" w:hAnsi="Arial"/>
                <w:sz w:val="15"/>
                <w:szCs w:val="15"/>
                <w:color w:val="auto"/>
              </w:rPr>
              <w:t>2026</w:t>
            </w:r>
          </w:p>
        </w:tc>
        <w:tc>
          <w:tcPr>
            <w:tcW w:w="10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23,625</w:t>
            </w:r>
          </w:p>
        </w:tc>
      </w:tr>
      <w:tr>
        <w:trPr>
          <w:trHeight w:val="209"/>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100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23,500</w:t>
            </w:r>
          </w:p>
        </w:tc>
      </w:tr>
      <w:tr>
        <w:trPr>
          <w:trHeight w:val="203"/>
        </w:trPr>
        <w:tc>
          <w:tcPr>
            <w:tcW w:w="8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10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11,750</w:t>
            </w:r>
          </w:p>
        </w:tc>
      </w:tr>
      <w:tr>
        <w:trPr>
          <w:trHeight w:val="227"/>
        </w:trPr>
        <w:tc>
          <w:tcPr>
            <w:tcW w:w="87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w:t>
            </w:r>
          </w:p>
        </w:tc>
        <w:tc>
          <w:tcPr>
            <w:tcW w:w="1000" w:type="dxa"/>
            <w:vAlign w:val="bottom"/>
            <w:tcBorders>
              <w:bottom w:val="single" w:sz="8" w:color="auto"/>
            </w:tcBorders>
            <w:shd w:val="clear" w:color="auto" w:fill="DBDBDB"/>
          </w:tcPr>
          <w:p>
            <w:pPr>
              <w:jc w:val="right"/>
              <w:ind w:right="80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112,313</w:t>
            </w:r>
          </w:p>
        </w:tc>
      </w:tr>
      <w:tr>
        <w:trPr>
          <w:trHeight w:val="20"/>
        </w:trPr>
        <w:tc>
          <w:tcPr>
            <w:tcW w:w="876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1D2758"/>
        </w:rPr>
        <w:t>NOTE 9 - Debt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gridSpan w:val="6"/>
          </w:tcPr>
          <w:p>
            <w:pPr>
              <w:ind w:left="62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34"/>
        </w:trPr>
        <w:tc>
          <w:tcPr>
            <w:tcW w:w="3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r>
      <w:tr>
        <w:trPr>
          <w:trHeight w:val="206"/>
        </w:trPr>
        <w:tc>
          <w:tcPr>
            <w:tcW w:w="3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1940" w:type="dxa"/>
            <w:vAlign w:val="bottom"/>
            <w:shd w:val="clear" w:color="auto" w:fill="1D2758"/>
          </w:tcPr>
          <w:p>
            <w:pPr>
              <w:jc w:val="center"/>
              <w:ind w:left="223"/>
              <w:spacing w:after="0"/>
              <w:rPr>
                <w:sz w:val="20"/>
                <w:szCs w:val="20"/>
                <w:color w:val="auto"/>
              </w:rPr>
            </w:pPr>
            <w:r>
              <w:rPr>
                <w:rFonts w:ascii="Arial" w:cs="Arial" w:eastAsia="Arial" w:hAnsi="Arial"/>
                <w:sz w:val="15"/>
                <w:szCs w:val="15"/>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18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September 30, 2023</w:t>
            </w:r>
          </w:p>
        </w:tc>
        <w:tc>
          <w:tcPr>
            <w:tcW w:w="200" w:type="dxa"/>
            <w:vAlign w:val="bottom"/>
            <w:shd w:val="clear" w:color="auto" w:fill="1D2758"/>
          </w:tcPr>
          <w:p>
            <w:pPr>
              <w:spacing w:after="0"/>
              <w:rPr>
                <w:sz w:val="17"/>
                <w:szCs w:val="17"/>
                <w:color w:val="auto"/>
              </w:rPr>
            </w:pPr>
          </w:p>
        </w:tc>
        <w:tc>
          <w:tcPr>
            <w:tcW w:w="180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522,124</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520,350</w:t>
            </w:r>
          </w:p>
        </w:tc>
      </w:tr>
      <w:tr>
        <w:trPr>
          <w:trHeight w:val="203"/>
        </w:trPr>
        <w:tc>
          <w:tcPr>
            <w:tcW w:w="3320" w:type="dxa"/>
            <w:vAlign w:val="bottom"/>
          </w:tcPr>
          <w:p>
            <w:pPr>
              <w:ind w:left="20"/>
              <w:spacing w:after="0"/>
              <w:rPr>
                <w:sz w:val="20"/>
                <w:szCs w:val="20"/>
                <w:color w:val="auto"/>
              </w:rPr>
            </w:pPr>
            <w:r>
              <w:rPr>
                <w:rFonts w:ascii="Arial" w:cs="Arial" w:eastAsia="Arial" w:hAnsi="Arial"/>
                <w:sz w:val="15"/>
                <w:szCs w:val="15"/>
                <w:color w:val="auto"/>
              </w:rPr>
              <w:t>ABL Facility</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tcPr>
          <w:p>
            <w:pPr>
              <w:jc w:val="center"/>
              <w:spacing w:after="0"/>
              <w:rPr>
                <w:sz w:val="20"/>
                <w:szCs w:val="20"/>
                <w:color w:val="auto"/>
              </w:rPr>
            </w:pPr>
            <w:r>
              <w:rPr>
                <w:rFonts w:ascii="Arial" w:cs="Arial" w:eastAsia="Arial" w:hAnsi="Arial"/>
                <w:sz w:val="15"/>
                <w:szCs w:val="15"/>
                <w:color w:val="auto"/>
              </w:rPr>
              <w:t>2027</w:t>
            </w: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1,865,116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1,988,176</w:t>
            </w:r>
          </w:p>
        </w:tc>
      </w:tr>
      <w:tr>
        <w:trPr>
          <w:trHeight w:val="209"/>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18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494,238</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493,470</w:t>
            </w:r>
          </w:p>
        </w:tc>
      </w:tr>
      <w:tr>
        <w:trPr>
          <w:trHeight w:val="203"/>
        </w:trPr>
        <w:tc>
          <w:tcPr>
            <w:tcW w:w="3320" w:type="dxa"/>
            <w:vAlign w:val="bottom"/>
          </w:tcPr>
          <w:p>
            <w:pPr>
              <w:ind w:left="20"/>
              <w:spacing w:after="0"/>
              <w:rPr>
                <w:sz w:val="20"/>
                <w:szCs w:val="20"/>
                <w:color w:val="auto"/>
              </w:rPr>
            </w:pPr>
            <w:r>
              <w:rPr>
                <w:rFonts w:ascii="Arial" w:cs="Arial" w:eastAsia="Arial" w:hAnsi="Arial"/>
                <w:sz w:val="15"/>
                <w:szCs w:val="15"/>
                <w:color w:val="auto"/>
              </w:rPr>
              <w:t>2031 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7.375%</w:t>
            </w:r>
          </w:p>
        </w:tc>
        <w:tc>
          <w:tcPr>
            <w:tcW w:w="1880" w:type="dxa"/>
            <w:vAlign w:val="bottom"/>
          </w:tcPr>
          <w:p>
            <w:pPr>
              <w:jc w:val="center"/>
              <w:spacing w:after="0"/>
              <w:rPr>
                <w:sz w:val="20"/>
                <w:szCs w:val="20"/>
                <w:color w:val="auto"/>
              </w:rPr>
            </w:pPr>
            <w:r>
              <w:rPr>
                <w:rFonts w:ascii="Arial" w:cs="Arial" w:eastAsia="Arial" w:hAnsi="Arial"/>
                <w:sz w:val="15"/>
                <w:szCs w:val="15"/>
                <w:color w:val="auto"/>
              </w:rPr>
              <w:t>2031</w:t>
            </w: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493,633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Varies</w:t>
            </w:r>
          </w:p>
        </w:tc>
        <w:tc>
          <w:tcPr>
            <w:tcW w:w="180" w:type="dxa"/>
            <w:vAlign w:val="bottom"/>
            <w:tcBorders>
              <w:bottom w:val="single" w:sz="8" w:color="auto"/>
            </w:tcBorders>
            <w:shd w:val="clear" w:color="auto" w:fill="DBDBDB"/>
          </w:tcPr>
          <w:p>
            <w:pPr>
              <w:spacing w:after="0"/>
              <w:rPr>
                <w:sz w:val="18"/>
                <w:szCs w:val="18"/>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100,936</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74,370</w:t>
            </w:r>
          </w:p>
        </w:tc>
      </w:tr>
      <w:tr>
        <w:trPr>
          <w:trHeight w:val="196"/>
        </w:trPr>
        <w:tc>
          <w:tcPr>
            <w:tcW w:w="3320" w:type="dxa"/>
            <w:vAlign w:val="bottom"/>
          </w:tcPr>
          <w:p>
            <w:pPr>
              <w:ind w:left="220"/>
              <w:spacing w:after="0"/>
              <w:rPr>
                <w:sz w:val="20"/>
                <w:szCs w:val="20"/>
                <w:color w:val="auto"/>
              </w:rPr>
            </w:pPr>
            <w:r>
              <w:rPr>
                <w:rFonts w:ascii="Arial" w:cs="Arial" w:eastAsia="Arial" w:hAnsi="Arial"/>
                <w:sz w:val="15"/>
                <w:szCs w:val="15"/>
                <w:color w:val="auto"/>
              </w:rPr>
              <w:t>Total debt</w:t>
            </w:r>
          </w:p>
        </w:tc>
        <w:tc>
          <w:tcPr>
            <w:tcW w:w="1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3,476,047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3,076,366</w:t>
            </w:r>
          </w:p>
        </w:tc>
      </w:tr>
      <w:tr>
        <w:trPr>
          <w:trHeight w:val="209"/>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current portion of long-term debt</w:t>
            </w:r>
          </w:p>
        </w:tc>
        <w:tc>
          <w:tcPr>
            <w:tcW w:w="194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15,981</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13,324</w:t>
            </w:r>
          </w:p>
        </w:tc>
      </w:tr>
      <w:tr>
        <w:trPr>
          <w:trHeight w:val="196"/>
        </w:trPr>
        <w:tc>
          <w:tcPr>
            <w:tcW w:w="3320" w:type="dxa"/>
            <w:vAlign w:val="bottom"/>
          </w:tcPr>
          <w:p>
            <w:pPr>
              <w:ind w:left="220"/>
              <w:spacing w:after="0"/>
              <w:rPr>
                <w:sz w:val="20"/>
                <w:szCs w:val="20"/>
                <w:color w:val="auto"/>
              </w:rPr>
            </w:pPr>
            <w:r>
              <w:rPr>
                <w:rFonts w:ascii="Arial" w:cs="Arial" w:eastAsia="Arial" w:hAnsi="Arial"/>
                <w:sz w:val="15"/>
                <w:szCs w:val="15"/>
                <w:color w:val="auto"/>
              </w:rPr>
              <w:t>Total long-term debt</w:t>
            </w:r>
          </w:p>
        </w:tc>
        <w:tc>
          <w:tcPr>
            <w:tcW w:w="1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3,460,066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3,063,042</w:t>
            </w:r>
          </w:p>
        </w:tc>
      </w:tr>
      <w:tr>
        <w:trPr>
          <w:trHeight w:val="21"/>
        </w:trPr>
        <w:tc>
          <w:tcPr>
            <w:tcW w:w="3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75"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On July 1, 2020, certain subsidiaries of the Company entered into an asset-based credit agreement (the "ABL Facility") that initially provided for revolving credit facilities in the aggregate principal amount of up to $2.4 billion, consisting of: (i) a senior secured asset-based US dollar revolving credit facility in the aggregate principal amount of $2.0 billion and (ii) a $400.0 million senior secured asset-based multicurrency revolving credit facility available to be drawn in US Dollars, Canadian Dollars, British Pounds Sterling or Euros. The ABL Facility was initially scheduled to mature on July 1, 2025.</w:t>
      </w:r>
    </w:p>
    <w:p>
      <w:pPr>
        <w:spacing w:after="0" w:line="1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(the “US Facility”), (ii) a $400.0 million senior secured asset-based multicurrency revolving credit facility (the "Multicurrency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subject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5"/>
          <w:szCs w:val="15"/>
          <w:color w:val="auto"/>
        </w:rPr>
        <w:t>the satisfaction of customary conditions including lender approval, plus any voluntary prepayments that are accompanied by permanent commitment reductions under the ABL facility. The amendment also converted the interest rate for borrowings denominated in US Dollars from a LIBOR-based rate to a Term-SOFR-based rate with an interest period of one month and adjusted the applicable margins. The applicable margin for Canadian BA rate, Term SOFR, British Pounds Sterling and Euros loans is 1.50%. The facility includes a credit spread adjustment of 0.10% in addition to the applicable margin. The applicable margin for base rate and Canadian Prime Rate loans is 0.50%. The applicable margins are subject to one step down of 0.25% based on excess availability or one step up of 0.25% based on the Company's leverage ratio. The ABL Facility requires the payment of a commitment fee on the unused available borrowings of 0.20% annually. The weighted average interest rate on the balance outstanding as of September 30, 2023, as adjusted for the effects of the interest rate swap agreements, was 6.20%. Refer to Note 12 for a more detailed discussion on interest rate management.</w:t>
      </w:r>
    </w:p>
    <w:p>
      <w:pPr>
        <w:spacing w:after="0" w:line="2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September 30, 2023, the Line Cap was $3.2 billion and the Company had $1.3 billion of available borrowing capacity under the ABL Facility, including $1.1 billion under the US Facility and $183.7 million under the Multicurrency Facility. Borrowing capacity under the ABL Facility is made available for up to $220.0 million letters of credit and $220.0 million of swingline loans. At September 30, 2023, the available capacity was $197.2 million of letters of credit and $217.0 million of swingline loans. At September 30, 2023, letters of credit and bank guarantees carried fees of 1.625%. The Company had issued $22.8 million of standby letters of credit under the ABL Facility at September 30, 2023.</w:t>
      </w:r>
    </w:p>
    <w:p>
      <w:pPr>
        <w:spacing w:after="0" w:line="2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Company had approximately $1.9 billion outstanding principal under the ABL Facility at September 30, 2023. Debt issuance costs of $28.6 million and $31.8 million were included in the carrying value of the ABL Facility at September 30, 2023 and December 31, 2022, respectively. As of December 31, 2022, the Company had no outstanding principal borrowings on the Multicurrency Facility and $2.5 million of related debt issuance costs were recorded in other non-current assets on the condensed consolidated balance sheets.</w:t>
      </w:r>
    </w:p>
    <w:p>
      <w:pPr>
        <w:spacing w:after="0" w:line="12"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ABL Facility and related guarantees are secured by a first priority security interest in substantially all of the assets of a subsidiary, Williams Scotsman, Inc. (“WSI”), and the Company’s other subsidiaries that are borrowers or guarantors under the ABL Facility (collectively the “ABL Loan Parties”), subject to customary exclusions.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2031 Senior Secured Notes</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September 25, 2023, WSI completed a private offering of $500.0 million in aggregate principal amount of 7.375% senior secured notes due 2031 (the "2031 Secured Notes") to qualified institutional buyers pursuant to Rule 144A. Proceeds were used to repay approximately $494.0 million of outstanding indebtedness under the ABL Facility and certain fees and expenses. The 2031 Secured Notes mature on October 1, 2031 and bear interest at a rate of 7.375% per annum. Interest is payable semi-annually on April 1 and October 1 of each year, beginning April 1, 2024. Unamortized deferred financing costs pertaining to the 2031 Secured Notes were $6.4 million as of September 30, 2023.</w:t>
      </w:r>
    </w:p>
    <w:p>
      <w:pPr>
        <w:spacing w:after="0" w:line="1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2031 Secured Notes are unconditionally guaranteed by certain subsidiaries of the Company (collectively, "the Note Guarantors"). WillScot Mobile Mini is not a guarantor of the 2031 Secured Notes. The Note Guarantors are guarantors or borrowers under the ABL Facility. To the extent lenders under the ABL Facility release the guarantee of any Note Guarantor, such Note Guarantor will also be released from obligations under the 2031 Secured Notes. The 2031 Secured Notes and related guarantees are secured by a second priority security interest in substantially the same assets of WSI and the Note Guarantors securing the ABL Facility. Upon the repayment of the 2025 Secured Notes and the 2028 Secured Notes, if the lien associated with the ABL Facility represents the only lien outstanding on the collateral under the 2031 Secured Notes (other than certain permitted), the collateral securing the 2031 Secured Notes will be released and the 2031 Secured Notes will become unsecured subject to satisfaction of customary conditions.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7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Company maintains finance leases primarily related to transportation equipment. At September 30, 2023 and December 31, 2022, obligations under finance leases for transportation related equipment were $100.9 million and $74.4 million, respectively. Refer to Note 5 for further information.</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September 30, 2023.</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1D2758"/>
        </w:rPr>
        <w:t>NOTE 10 – Equity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7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 connection with the stock compensation vesting events and stock option exercises described in Note 14, the Company issued 546,865 shares of Common Stock during the nine months ended September 30, 2023.</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7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 May 2023, the Board of Directors approved a reset of the share repurchase program authorizing the Company to repurchase up to $1.0 billion of its outstanding shares of Common Stock and equivalents. The stock repurchase program does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1" w:name="page22"/>
    <w:bookmarkEnd w:id="21"/>
    <w:p>
      <w:pPr>
        <w:jc w:val="both"/>
        <w:spacing w:after="0" w:line="283" w:lineRule="auto"/>
        <w:rPr>
          <w:sz w:val="20"/>
          <w:szCs w:val="20"/>
          <w:color w:val="auto"/>
        </w:rPr>
      </w:pPr>
      <w:r>
        <w:rPr>
          <w:rFonts w:ascii="Arial" w:cs="Arial" w:eastAsia="Arial" w:hAnsi="Arial"/>
          <w:sz w:val="15"/>
          <w:szCs w:val="15"/>
          <w:color w:val="auto"/>
        </w:rPr>
        <w:t>not obligate the Company to purchase any particular number of shares, and the timing and exact amount of any repurchases will depend on various factors, including market pricing, business, legal, accounting, and other considerations.</w:t>
      </w:r>
    </w:p>
    <w:p>
      <w:pPr>
        <w:spacing w:after="0" w:line="1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In August 2022, the Inflation Reduction Act of 2022 was enacted into law and imposed a nondeductible 1% excise tax on the net value of certain stock repurchases made after December 31, 2022. The Company reflected the applicable excise tax in equity as part of the cost basis of the stock repurchased and recorded a corresponding liability for the excise taxes payable in accrued expenses on the consolidated balance sheet.</w:t>
      </w:r>
    </w:p>
    <w:p>
      <w:pPr>
        <w:spacing w:after="0" w:line="1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During the nine months ended September 30, 2023, the Company repurchased 15,037,843 shares of Common Stock for $674.8 million, excluding excise tax. As of September 30, 2023, $634.2 million of the approved share repurchase pool remained available.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nine months ended September 30, 2023 and 2022 were as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80" w:type="dxa"/>
            <w:vAlign w:val="bottom"/>
            <w:gridSpan w:val="6"/>
            <w:shd w:val="clear" w:color="auto" w:fill="1D2758"/>
          </w:tcPr>
          <w:p>
            <w:pPr>
              <w:jc w:val="center"/>
              <w:ind w:left="943"/>
              <w:spacing w:after="0"/>
              <w:rPr>
                <w:sz w:val="20"/>
                <w:szCs w:val="20"/>
                <w:color w:val="auto"/>
              </w:rPr>
            </w:pPr>
            <w:r>
              <w:rPr>
                <w:rFonts w:ascii="Arial" w:cs="Arial" w:eastAsia="Arial" w:hAnsi="Arial"/>
                <w:sz w:val="15"/>
                <w:szCs w:val="15"/>
                <w:b w:val="1"/>
                <w:bCs w:val="1"/>
                <w:color w:val="FFFFFF"/>
              </w:rPr>
              <w:t>Nine Months Ended September 30, 2023</w:t>
            </w:r>
          </w:p>
        </w:tc>
        <w:tc>
          <w:tcPr>
            <w:tcW w:w="12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280"/>
              <w:spacing w:after="0" w:line="155" w:lineRule="exact"/>
              <w:rPr>
                <w:sz w:val="20"/>
                <w:szCs w:val="20"/>
                <w:color w:val="auto"/>
              </w:rPr>
            </w:pPr>
            <w:r>
              <w:rPr>
                <w:rFonts w:ascii="Arial" w:cs="Arial" w:eastAsia="Arial" w:hAnsi="Arial"/>
                <w:sz w:val="15"/>
                <w:szCs w:val="15"/>
                <w:b w:val="1"/>
                <w:bCs w:val="1"/>
                <w:color w:val="FFFFFF"/>
              </w:rPr>
              <w:t>Foreign currency</w:t>
            </w:r>
          </w:p>
        </w:tc>
        <w:tc>
          <w:tcPr>
            <w:tcW w:w="140" w:type="dxa"/>
            <w:vAlign w:val="bottom"/>
            <w:shd w:val="clear" w:color="auto" w:fill="1D2758"/>
          </w:tcPr>
          <w:p>
            <w:pPr>
              <w:spacing w:after="0"/>
              <w:rPr>
                <w:sz w:val="13"/>
                <w:szCs w:val="13"/>
                <w:color w:val="auto"/>
              </w:rPr>
            </w:pPr>
          </w:p>
        </w:tc>
        <w:tc>
          <w:tcPr>
            <w:tcW w:w="1760" w:type="dxa"/>
            <w:vAlign w:val="bottom"/>
            <w:gridSpan w:val="2"/>
            <w:shd w:val="clear" w:color="auto" w:fill="1D2758"/>
          </w:tcPr>
          <w:p>
            <w:pPr>
              <w:jc w:val="center"/>
              <w:ind w:right="240"/>
              <w:spacing w:after="0" w:line="155" w:lineRule="exact"/>
              <w:rPr>
                <w:sz w:val="20"/>
                <w:szCs w:val="20"/>
                <w:color w:val="auto"/>
              </w:rPr>
            </w:pPr>
            <w:r>
              <w:rPr>
                <w:rFonts w:ascii="Arial" w:cs="Arial" w:eastAsia="Arial" w:hAnsi="Arial"/>
                <w:sz w:val="15"/>
                <w:szCs w:val="15"/>
                <w:b w:val="1"/>
                <w:bCs w:val="1"/>
                <w:color w:val="FFFFFF"/>
              </w:rPr>
              <w:t>Unrealized gains on</w:t>
            </w:r>
          </w:p>
        </w:tc>
        <w:tc>
          <w:tcPr>
            <w:tcW w:w="580" w:type="dxa"/>
            <w:vAlign w:val="bottom"/>
            <w:shd w:val="clear" w:color="auto" w:fill="1D2758"/>
          </w:tcPr>
          <w:p>
            <w:pPr>
              <w:spacing w:after="0"/>
              <w:rPr>
                <w:sz w:val="13"/>
                <w:szCs w:val="13"/>
                <w:color w:val="auto"/>
              </w:rPr>
            </w:pPr>
          </w:p>
        </w:tc>
        <w:tc>
          <w:tcPr>
            <w:tcW w:w="120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17"/>
                <w:szCs w:val="17"/>
                <w:color w:val="auto"/>
              </w:rPr>
            </w:pPr>
          </w:p>
        </w:tc>
        <w:tc>
          <w:tcPr>
            <w:tcW w:w="176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hedging activities</w:t>
            </w:r>
          </w:p>
        </w:tc>
        <w:tc>
          <w:tcPr>
            <w:tcW w:w="580" w:type="dxa"/>
            <w:vAlign w:val="bottom"/>
            <w:shd w:val="clear" w:color="auto" w:fill="1D2758"/>
          </w:tcPr>
          <w:p>
            <w:pPr>
              <w:spacing w:after="0"/>
              <w:rPr>
                <w:sz w:val="17"/>
                <w:szCs w:val="17"/>
                <w:color w:val="auto"/>
              </w:rPr>
            </w:pPr>
          </w:p>
        </w:tc>
        <w:tc>
          <w:tcPr>
            <w:tcW w:w="12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7,934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8,793</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2023</w:t>
            </w: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(62,188)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(62,855)</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18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5,915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15,761</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21,676</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(2,930)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2"/>
        </w:trPr>
        <w:tc>
          <w:tcPr>
            <w:tcW w:w="56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2023</w:t>
            </w:r>
          </w:p>
        </w:tc>
        <w:tc>
          <w:tcPr>
            <w:tcW w:w="180" w:type="dxa"/>
            <w:vAlign w:val="bottom"/>
            <w:tcBorders>
              <w:top w:val="single" w:sz="8" w:color="auto"/>
            </w:tcBorders>
            <w:shd w:val="clear" w:color="auto" w:fill="DBDBDB"/>
          </w:tcPr>
          <w:p>
            <w:pPr>
              <w:spacing w:after="0"/>
              <w:rPr>
                <w:sz w:val="17"/>
                <w:szCs w:val="17"/>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(56,273)</w:t>
            </w:r>
          </w:p>
        </w:tc>
        <w:tc>
          <w:tcPr>
            <w:tcW w:w="1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12,164</w:t>
            </w:r>
          </w:p>
        </w:tc>
        <w:tc>
          <w:tcPr>
            <w:tcW w:w="100" w:type="dxa"/>
            <w:vAlign w:val="bottom"/>
            <w:tcBorders>
              <w:top w:val="single" w:sz="8" w:color="DBDBDB"/>
            </w:tcBorders>
            <w:shd w:val="clear" w:color="auto" w:fill="DBDBDB"/>
          </w:tcPr>
          <w:p>
            <w:pPr>
              <w:spacing w:after="0"/>
              <w:rPr>
                <w:sz w:val="17"/>
                <w:szCs w:val="17"/>
                <w:color w:val="auto"/>
              </w:rPr>
            </w:pPr>
          </w:p>
        </w:tc>
        <w:tc>
          <w:tcPr>
            <w:tcW w:w="58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(44,109)</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(6,732)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10,240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3,508</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(3,472)</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(3,472)</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5"/>
                <w:szCs w:val="15"/>
                <w:color w:val="auto"/>
              </w:rPr>
              <w:t>Balance at September 30, 2023</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(63,005)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18,932</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(44,073)</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80" w:type="dxa"/>
            <w:vAlign w:val="bottom"/>
            <w:gridSpan w:val="6"/>
            <w:shd w:val="clear" w:color="auto" w:fill="1D2758"/>
          </w:tcPr>
          <w:p>
            <w:pPr>
              <w:jc w:val="center"/>
              <w:ind w:left="943"/>
              <w:spacing w:after="0"/>
              <w:rPr>
                <w:sz w:val="20"/>
                <w:szCs w:val="20"/>
                <w:color w:val="auto"/>
              </w:rPr>
            </w:pPr>
            <w:r>
              <w:rPr>
                <w:rFonts w:ascii="Arial" w:cs="Arial" w:eastAsia="Arial" w:hAnsi="Arial"/>
                <w:sz w:val="15"/>
                <w:szCs w:val="15"/>
                <w:b w:val="1"/>
                <w:bCs w:val="1"/>
                <w:color w:val="FFFFFF"/>
              </w:rPr>
              <w:t>Nine Months Ended September 30, 2022</w:t>
            </w:r>
          </w:p>
        </w:tc>
        <w:tc>
          <w:tcPr>
            <w:tcW w:w="12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280"/>
              <w:spacing w:after="0" w:line="155" w:lineRule="exact"/>
              <w:rPr>
                <w:sz w:val="20"/>
                <w:szCs w:val="20"/>
                <w:color w:val="auto"/>
              </w:rPr>
            </w:pPr>
            <w:r>
              <w:rPr>
                <w:rFonts w:ascii="Arial" w:cs="Arial" w:eastAsia="Arial" w:hAnsi="Arial"/>
                <w:sz w:val="15"/>
                <w:szCs w:val="15"/>
                <w:b w:val="1"/>
                <w:bCs w:val="1"/>
                <w:color w:val="FFFFFF"/>
              </w:rPr>
              <w:t>Foreign currency</w:t>
            </w:r>
          </w:p>
        </w:tc>
        <w:tc>
          <w:tcPr>
            <w:tcW w:w="120" w:type="dxa"/>
            <w:vAlign w:val="bottom"/>
            <w:shd w:val="clear" w:color="auto" w:fill="1D2758"/>
          </w:tcPr>
          <w:p>
            <w:pPr>
              <w:spacing w:after="0"/>
              <w:rPr>
                <w:sz w:val="13"/>
                <w:szCs w:val="13"/>
                <w:color w:val="auto"/>
              </w:rPr>
            </w:pPr>
          </w:p>
        </w:tc>
        <w:tc>
          <w:tcPr>
            <w:tcW w:w="178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80" w:type="dxa"/>
            <w:vAlign w:val="bottom"/>
            <w:shd w:val="clear" w:color="auto" w:fill="1D2758"/>
          </w:tcPr>
          <w:p>
            <w:pPr>
              <w:spacing w:after="0"/>
              <w:rPr>
                <w:sz w:val="13"/>
                <w:szCs w:val="13"/>
                <w:color w:val="auto"/>
              </w:rPr>
            </w:pPr>
          </w:p>
        </w:tc>
        <w:tc>
          <w:tcPr>
            <w:tcW w:w="120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20" w:type="dxa"/>
            <w:vAlign w:val="bottom"/>
            <w:shd w:val="clear" w:color="auto" w:fill="1D2758"/>
          </w:tcPr>
          <w:p>
            <w:pPr>
              <w:spacing w:after="0"/>
              <w:rPr>
                <w:sz w:val="17"/>
                <w:szCs w:val="17"/>
                <w:color w:val="auto"/>
              </w:rPr>
            </w:pPr>
          </w:p>
        </w:tc>
        <w:tc>
          <w:tcPr>
            <w:tcW w:w="178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hedging activities</w:t>
            </w:r>
          </w:p>
        </w:tc>
        <w:tc>
          <w:tcPr>
            <w:tcW w:w="580" w:type="dxa"/>
            <w:vAlign w:val="bottom"/>
            <w:shd w:val="clear" w:color="auto" w:fill="1D2758"/>
          </w:tcPr>
          <w:p>
            <w:pPr>
              <w:spacing w:after="0"/>
              <w:rPr>
                <w:sz w:val="17"/>
                <w:szCs w:val="17"/>
                <w:color w:val="auto"/>
              </w:rPr>
            </w:pPr>
          </w:p>
        </w:tc>
        <w:tc>
          <w:tcPr>
            <w:tcW w:w="12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(25,574)</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ind w:left="1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(29,648)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(1,176)</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(30,824)</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(25,628)</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(464)</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(26,092)</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w:t>
            </w:r>
          </w:p>
        </w:tc>
        <w:tc>
          <w:tcPr>
            <w:tcW w:w="100" w:type="dxa"/>
            <w:vAlign w:val="bottom"/>
            <w:tcBorders>
              <w:bottom w:val="single" w:sz="8" w:color="DBDBDB"/>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w:t>
            </w:r>
          </w:p>
        </w:tc>
        <w:tc>
          <w:tcPr>
            <w:tcW w:w="0" w:type="dxa"/>
            <w:vAlign w:val="bottom"/>
          </w:tcPr>
          <w:p>
            <w:pPr>
              <w:spacing w:after="0"/>
              <w:rPr>
                <w:sz w:val="1"/>
                <w:szCs w:val="1"/>
                <w:color w:val="auto"/>
              </w:rPr>
            </w:pPr>
          </w:p>
        </w:tc>
      </w:tr>
      <w:tr>
        <w:trPr>
          <w:trHeight w:val="202"/>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2022</w:t>
            </w:r>
          </w:p>
        </w:tc>
        <w:tc>
          <w:tcPr>
            <w:tcW w:w="18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comprehensive loss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(37,733)</w:t>
            </w:r>
          </w:p>
        </w:tc>
        <w:tc>
          <w:tcPr>
            <w:tcW w:w="1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(37,733)</w:t>
            </w:r>
          </w:p>
        </w:tc>
        <w:tc>
          <w:tcPr>
            <w:tcW w:w="0" w:type="dxa"/>
            <w:vAlign w:val="bottom"/>
          </w:tcPr>
          <w:p>
            <w:pPr>
              <w:spacing w:after="0"/>
              <w:rPr>
                <w:sz w:val="1"/>
                <w:szCs w:val="1"/>
                <w:color w:val="auto"/>
              </w:rPr>
            </w:pPr>
          </w:p>
        </w:tc>
      </w:tr>
      <w:tr>
        <w:trPr>
          <w:trHeight w:val="219"/>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September 30, 2022</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(93,009)</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(93,009)</w:t>
            </w:r>
          </w:p>
        </w:tc>
        <w:tc>
          <w:tcPr>
            <w:tcW w:w="0" w:type="dxa"/>
            <w:vAlign w:val="bottom"/>
          </w:tcPr>
          <w:p>
            <w:pPr>
              <w:spacing w:after="0"/>
              <w:rPr>
                <w:sz w:val="1"/>
                <w:szCs w:val="1"/>
                <w:color w:val="auto"/>
              </w:rPr>
            </w:pP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For the three months ended September 30, 2023, a gain of $3.5 million was reclassified from AOCI into the condensed consolidated statements of operations within interest expense related to the interest rate swaps. For the nine months ended September 30, 2023 and 2022, a gain of $7.9 million and a loss of $4.5 million, respectively, were reclassified from AOCI into the condensed consolidated statements of operations within interest expense related to the interest rate swaps. The interest rate swaps are discussed in Note 12. Associated with these reclassifications, the Company recorded tax expense of $0.9 million for the three months ended September 30, 2023 and tax expense of $2.1 million and a tax benefit of $1.1 million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1D2758"/>
        </w:rPr>
        <w:t>NOTE 11 – Income Taxes</w:t>
      </w:r>
    </w:p>
    <w:p>
      <w:pPr>
        <w:spacing w:after="0" w:line="12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recorded $32.8 million and $94.9 million of income tax expense from continuing operations for the three and nine months ended September 30, 2023, respectively, and $28.3 million and $61.2 million of income tax expense from continuing operations for the three and nine months ended September 30, 2022, respectively. The Company’s effective tax rate for the three and nine months ended September 30, 2023 was 26.4% and 27.1%, respectively. The Company's effective tax rate for the three and nine months ended September 30, 2022 was 26.6% and 25.7%, respectively.</w:t>
      </w:r>
    </w:p>
    <w:p>
      <w:pPr>
        <w:spacing w:after="0" w:line="1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effective tax rate for the three and nine months ended September 30, 2023 differed from the US federal statutory rate of 21% primarily due to state and provincial taxes and non-deductible executive compensation. The effective tax rate for the three and nine months ended September 30, 2022 differed from the US federal statutory rate of 21% primarily due to state and provincial taxes partially offset by a discrete tax benefit related to employee stock vesting.</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1D2758"/>
        </w:rPr>
        <w:t>NOTE 12 - Derivatives</w:t>
      </w:r>
    </w:p>
    <w:p>
      <w:pPr>
        <w:spacing w:after="0" w:line="11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2018, the Company entered into an interest rate swap agreement with a financial counterparty that effectively converted $400.0 million in aggregate notional amount of variable-rate debt under the Company’s former asset backed lending facility into fixed-rate debt. Under the terms of the agreement, the Company received a floating rate equal to one-month LIBOR and made payments based on a fixed rate of 3.06% on the notional amount. The swap agreement was designated and qualified as a hedge of the Company’s exposure to changes in interest payment cash flows created by fluctuations in variable interest rates on the former asset backed lending facility and terminated on May 29, 2022.</w:t>
      </w:r>
    </w:p>
    <w:p>
      <w:pPr>
        <w:spacing w:after="0" w:line="1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Company’s ABL Facility. Under the terms of the agreements, the Company receives a floating rate equal to one-month term SOFR and makes payments based on a weighted average fixed interest rate of 3.44% on the notional amount. 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receives under the terms of these swap agreements was 5.32% at September 30, 2023.</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120" w:type="dxa"/>
            <w:vAlign w:val="bottom"/>
            <w:shd w:val="clear" w:color="auto" w:fill="1D2758"/>
          </w:tcPr>
          <w:p>
            <w:pPr>
              <w:ind w:left="2660"/>
              <w:spacing w:after="0"/>
              <w:rPr>
                <w:sz w:val="20"/>
                <w:szCs w:val="20"/>
                <w:color w:val="auto"/>
              </w:rPr>
            </w:pPr>
            <w:r>
              <w:rPr>
                <w:rFonts w:ascii="Arial" w:cs="Arial" w:eastAsia="Arial" w:hAnsi="Arial"/>
                <w:sz w:val="15"/>
                <w:szCs w:val="15"/>
                <w:b w:val="1"/>
                <w:bCs w:val="1"/>
                <w:color w:val="FFFFFF"/>
              </w:rPr>
              <w:t>Balance Sheet Location</w:t>
            </w:r>
          </w:p>
        </w:tc>
        <w:tc>
          <w:tcPr>
            <w:tcW w:w="1040" w:type="dxa"/>
            <w:vAlign w:val="bottom"/>
            <w:shd w:val="clear" w:color="auto" w:fill="1D2758"/>
          </w:tcPr>
          <w:p>
            <w:pPr>
              <w:spacing w:after="0"/>
              <w:rPr>
                <w:sz w:val="20"/>
                <w:szCs w:val="20"/>
                <w:color w:val="auto"/>
              </w:rPr>
            </w:pPr>
          </w:p>
        </w:tc>
        <w:tc>
          <w:tcPr>
            <w:tcW w:w="23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September 30, 2023</w:t>
            </w:r>
          </w:p>
        </w:tc>
      </w:tr>
      <w:tr>
        <w:trPr>
          <w:trHeight w:val="206"/>
        </w:trPr>
        <w:tc>
          <w:tcPr>
            <w:tcW w:w="2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5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320" w:type="dxa"/>
            <w:vAlign w:val="bottom"/>
            <w:shd w:val="clear" w:color="auto" w:fill="DBDBDB"/>
          </w:tcPr>
          <w:p>
            <w:pPr>
              <w:spacing w:after="0"/>
              <w:rPr>
                <w:sz w:val="17"/>
                <w:szCs w:val="17"/>
                <w:color w:val="auto"/>
              </w:rPr>
            </w:pPr>
          </w:p>
        </w:tc>
      </w:tr>
      <w:tr>
        <w:trPr>
          <w:trHeight w:val="203"/>
        </w:trPr>
        <w:tc>
          <w:tcPr>
            <w:tcW w:w="276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5120" w:type="dxa"/>
            <w:vAlign w:val="bottom"/>
          </w:tcPr>
          <w:p>
            <w:pPr>
              <w:ind w:left="1300"/>
              <w:spacing w:after="0"/>
              <w:rPr>
                <w:sz w:val="20"/>
                <w:szCs w:val="20"/>
                <w:color w:val="auto"/>
              </w:rPr>
            </w:pPr>
            <w:r>
              <w:rPr>
                <w:rFonts w:ascii="Arial" w:cs="Arial" w:eastAsia="Arial" w:hAnsi="Arial"/>
                <w:sz w:val="15"/>
                <w:szCs w:val="15"/>
                <w:color w:val="auto"/>
              </w:rPr>
              <w:t>Prepaid expenses and other current assets</w:t>
            </w:r>
          </w:p>
        </w:tc>
        <w:tc>
          <w:tcPr>
            <w:tcW w:w="10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2320" w:type="dxa"/>
            <w:vAlign w:val="bottom"/>
          </w:tcPr>
          <w:p>
            <w:pPr>
              <w:jc w:val="right"/>
              <w:spacing w:after="0"/>
              <w:rPr>
                <w:sz w:val="20"/>
                <w:szCs w:val="20"/>
                <w:color w:val="auto"/>
              </w:rPr>
            </w:pPr>
            <w:r>
              <w:rPr>
                <w:rFonts w:ascii="Arial" w:cs="Arial" w:eastAsia="Arial" w:hAnsi="Arial"/>
                <w:sz w:val="15"/>
                <w:szCs w:val="15"/>
                <w:color w:val="auto"/>
              </w:rPr>
              <w:t>13,770</w:t>
            </w:r>
          </w:p>
        </w:tc>
      </w:tr>
      <w:tr>
        <w:trPr>
          <w:trHeight w:val="209"/>
        </w:trPr>
        <w:tc>
          <w:tcPr>
            <w:tcW w:w="2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w:t>
            </w:r>
          </w:p>
        </w:tc>
        <w:tc>
          <w:tcPr>
            <w:tcW w:w="5120" w:type="dxa"/>
            <w:vAlign w:val="bottom"/>
            <w:shd w:val="clear" w:color="auto" w:fill="DBDBDB"/>
          </w:tcPr>
          <w:p>
            <w:pPr>
              <w:ind w:left="1300"/>
              <w:spacing w:after="0"/>
              <w:rPr>
                <w:sz w:val="20"/>
                <w:szCs w:val="20"/>
                <w:color w:val="auto"/>
              </w:rPr>
            </w:pPr>
            <w:r>
              <w:rPr>
                <w:rFonts w:ascii="Arial" w:cs="Arial" w:eastAsia="Arial" w:hAnsi="Arial"/>
                <w:sz w:val="15"/>
                <w:szCs w:val="15"/>
                <w:color w:val="auto"/>
              </w:rPr>
              <w:t>Other non-current assets</w:t>
            </w:r>
          </w:p>
        </w:tc>
        <w:tc>
          <w:tcPr>
            <w:tcW w:w="104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2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11,613</w:t>
            </w:r>
          </w:p>
        </w:tc>
      </w:tr>
    </w:tbl>
    <w:p>
      <w:pPr>
        <w:spacing w:after="0" w:line="13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fair value of the interest rate swaps are based on dealer quotes of market forward rates, Level 2 inputs on the fair value hierarchy, and reflect the amounts that the Company would receive or pay as of September 30, 2023 for contracts involving the same attributes and maturity dates.</w:t>
      </w:r>
    </w:p>
    <w:p>
      <w:pPr>
        <w:spacing w:after="0" w:line="6"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statements of operations for the nine months ended September 30, 2023 and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12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2023</w:t>
            </w:r>
          </w:p>
        </w:tc>
        <w:tc>
          <w:tcPr>
            <w:tcW w:w="26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recognized in OCI</w:t>
            </w:r>
          </w:p>
        </w:tc>
        <w:tc>
          <w:tcPr>
            <w:tcW w:w="21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33,153</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4,669</w:t>
            </w:r>
          </w:p>
        </w:tc>
      </w:tr>
      <w:tr>
        <w:trPr>
          <w:trHeight w:val="203"/>
        </w:trPr>
        <w:tc>
          <w:tcPr>
            <w:tcW w:w="5100" w:type="dxa"/>
            <w:vAlign w:val="bottom"/>
          </w:tcPr>
          <w:p>
            <w:pPr>
              <w:ind w:left="20"/>
              <w:spacing w:after="0"/>
              <w:rPr>
                <w:sz w:val="20"/>
                <w:szCs w:val="20"/>
                <w:color w:val="auto"/>
              </w:rPr>
            </w:pPr>
            <w:r>
              <w:rPr>
                <w:rFonts w:ascii="Arial" w:cs="Arial" w:eastAsia="Arial" w:hAnsi="Arial"/>
                <w:sz w:val="15"/>
                <w:szCs w:val="15"/>
                <w:color w:val="auto"/>
              </w:rPr>
              <w:t>Location of gain (loss) recognized in income</w:t>
            </w:r>
          </w:p>
        </w:tc>
        <w:tc>
          <w:tcPr>
            <w:tcW w:w="2120" w:type="dxa"/>
            <w:vAlign w:val="bottom"/>
          </w:tcPr>
          <w:p>
            <w:pPr>
              <w:spacing w:after="0"/>
              <w:rPr>
                <w:sz w:val="17"/>
                <w:szCs w:val="17"/>
                <w:color w:val="auto"/>
              </w:rPr>
            </w:pPr>
          </w:p>
        </w:tc>
        <w:tc>
          <w:tcPr>
            <w:tcW w:w="1900" w:type="dxa"/>
            <w:vAlign w:val="bottom"/>
          </w:tcPr>
          <w:p>
            <w:pPr>
              <w:jc w:val="center"/>
              <w:ind w:right="183"/>
              <w:spacing w:after="0"/>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7"/>
                <w:szCs w:val="17"/>
                <w:color w:val="auto"/>
              </w:rPr>
            </w:pPr>
          </w:p>
        </w:tc>
        <w:tc>
          <w:tcPr>
            <w:tcW w:w="1860" w:type="dxa"/>
            <w:vAlign w:val="bottom"/>
          </w:tcPr>
          <w:p>
            <w:pPr>
              <w:jc w:val="right"/>
              <w:ind w:right="243"/>
              <w:spacing w:after="0"/>
              <w:rPr>
                <w:sz w:val="20"/>
                <w:szCs w:val="20"/>
                <w:color w:val="auto"/>
              </w:rPr>
            </w:pPr>
            <w:r>
              <w:rPr>
                <w:rFonts w:ascii="Arial" w:cs="Arial" w:eastAsia="Arial" w:hAnsi="Arial"/>
                <w:sz w:val="15"/>
                <w:szCs w:val="15"/>
                <w:color w:val="auto"/>
              </w:rPr>
              <w:t>Interest expense, net</w:t>
            </w:r>
          </w:p>
        </w:tc>
      </w:tr>
      <w:tr>
        <w:trPr>
          <w:trHeight w:val="209"/>
        </w:trPr>
        <w:tc>
          <w:tcPr>
            <w:tcW w:w="5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loss reclassified from AOCI into income</w:t>
            </w:r>
          </w:p>
        </w:tc>
        <w:tc>
          <w:tcPr>
            <w:tcW w:w="21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(7,928)</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Contract</w:t>
      </w:r>
    </w:p>
    <w:p>
      <w:pPr>
        <w:spacing w:after="0" w:line="7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In December 2022, the Company executed a contingent forward contract to sell £330.0 million upon the closing of the sale of the former UK Storage Solutions segment at a price ranging from 1.20550 to 1.20440 US Dollars (USD) to British Pounds Sterling. The price was dependent upon the date of the closing of the sale. This contract, which was to expire on September 11, 2023, mitigated the foreign currency risk of the USD relative to the British Pound Sterling prior to the closing of the sale of the former UK Storage Solutions segment. This contract did not qualify for hedge accounting and was revalued at fair value at December 31, 2022 with unrealized gains and losses reflected in the Company's results of operations. Upon the closing of the sale of the former UK Storage Solutions segment on January 31, 2023, the Company settled the contingent foreign currency forward contract and received cash at an exchange rate of 1.205 USD to British Pounds Sterling.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6160" w:type="dxa"/>
            <w:vAlign w:val="bottom"/>
          </w:tcPr>
          <w:p>
            <w:pPr>
              <w:ind w:left="620"/>
              <w:spacing w:after="0"/>
              <w:rPr>
                <w:sz w:val="20"/>
                <w:szCs w:val="20"/>
                <w:color w:val="auto"/>
              </w:rPr>
            </w:pPr>
            <w:r>
              <w:rPr>
                <w:rFonts w:ascii="Arial" w:cs="Arial" w:eastAsia="Arial" w:hAnsi="Arial"/>
                <w:sz w:val="15"/>
                <w:szCs w:val="15"/>
                <w:color w:val="auto"/>
              </w:rPr>
              <w:t>The location and the fair value of the foreign currency contract was as follows:</w:t>
            </w:r>
          </w:p>
        </w:tc>
        <w:tc>
          <w:tcPr>
            <w:tcW w:w="2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70"/>
        </w:trPr>
        <w:tc>
          <w:tcPr>
            <w:tcW w:w="61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20" w:type="dxa"/>
            <w:vAlign w:val="bottom"/>
          </w:tcPr>
          <w:p>
            <w:pPr>
              <w:spacing w:after="0"/>
              <w:rPr>
                <w:sz w:val="6"/>
                <w:szCs w:val="6"/>
                <w:color w:val="auto"/>
              </w:rPr>
            </w:pPr>
          </w:p>
        </w:tc>
      </w:tr>
      <w:tr>
        <w:trPr>
          <w:trHeight w:val="206"/>
        </w:trPr>
        <w:tc>
          <w:tcPr>
            <w:tcW w:w="6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80" w:type="dxa"/>
            <w:vAlign w:val="bottom"/>
            <w:shd w:val="clear" w:color="auto" w:fill="1D2758"/>
          </w:tcPr>
          <w:p>
            <w:pPr>
              <w:ind w:left="680"/>
              <w:spacing w:after="0"/>
              <w:rPr>
                <w:sz w:val="20"/>
                <w:szCs w:val="20"/>
                <w:color w:val="auto"/>
              </w:rPr>
            </w:pPr>
            <w:r>
              <w:rPr>
                <w:rFonts w:ascii="Arial" w:cs="Arial" w:eastAsia="Arial" w:hAnsi="Arial"/>
                <w:sz w:val="15"/>
                <w:szCs w:val="15"/>
                <w:b w:val="1"/>
                <w:bCs w:val="1"/>
                <w:color w:val="FFFFFF"/>
              </w:rPr>
              <w:t>Balance Sheet Location</w:t>
            </w:r>
          </w:p>
        </w:tc>
        <w:tc>
          <w:tcPr>
            <w:tcW w:w="480" w:type="dxa"/>
            <w:vAlign w:val="bottom"/>
            <w:shd w:val="clear" w:color="auto" w:fill="1D2758"/>
          </w:tcPr>
          <w:p>
            <w:pPr>
              <w:spacing w:after="0"/>
              <w:rPr>
                <w:sz w:val="17"/>
                <w:szCs w:val="17"/>
                <w:color w:val="auto"/>
              </w:rPr>
            </w:pPr>
          </w:p>
        </w:tc>
        <w:tc>
          <w:tcPr>
            <w:tcW w:w="192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6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Foreign currency contract</w:t>
            </w:r>
          </w:p>
        </w:tc>
        <w:tc>
          <w:tcPr>
            <w:tcW w:w="2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liabilities</w:t>
            </w:r>
          </w:p>
        </w:tc>
        <w:tc>
          <w:tcPr>
            <w:tcW w:w="4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w:t>
            </w:r>
          </w:p>
        </w:tc>
      </w:tr>
    </w:tbl>
    <w:p>
      <w:pPr>
        <w:spacing w:after="0" w:line="13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fair value of the foreign currency contract was based on dealer quotes of market forward rates, a Level 2 input on the fair value hierarchy, and reflected the amount that the Company would receive or pay for contracts involving the same attributes and maturity dates.</w:t>
      </w:r>
    </w:p>
    <w:p>
      <w:pPr>
        <w:spacing w:after="0" w:line="1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location and the impact of the foreign currency contract, excluding the impact of income taxes, on the Company’s statement of operations for the nine months ended September 30, 2023 was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0" w:type="dxa"/>
            <w:vAlign w:val="bottom"/>
            <w:vMerge w:val="restart"/>
            <w:shd w:val="clear" w:color="auto" w:fill="1D2758"/>
          </w:tcPr>
          <w:p>
            <w:pPr>
              <w:ind w:left="2580"/>
              <w:spacing w:after="0"/>
              <w:rPr>
                <w:sz w:val="20"/>
                <w:szCs w:val="20"/>
                <w:color w:val="auto"/>
              </w:rPr>
            </w:pPr>
            <w:r>
              <w:rPr>
                <w:rFonts w:ascii="Arial" w:cs="Arial" w:eastAsia="Arial" w:hAnsi="Arial"/>
                <w:sz w:val="15"/>
                <w:szCs w:val="15"/>
                <w:b w:val="1"/>
                <w:bCs w:val="1"/>
                <w:color w:val="FFFFFF"/>
              </w:rPr>
              <w:t>Income Statement Location</w:t>
            </w:r>
          </w:p>
        </w:tc>
        <w:tc>
          <w:tcPr>
            <w:tcW w:w="400" w:type="dxa"/>
            <w:vAlign w:val="bottom"/>
            <w:shd w:val="clear" w:color="auto" w:fill="1D2758"/>
          </w:tcPr>
          <w:p>
            <w:pPr>
              <w:spacing w:after="0"/>
              <w:rPr>
                <w:sz w:val="14"/>
                <w:szCs w:val="14"/>
                <w:color w:val="auto"/>
              </w:rPr>
            </w:pPr>
          </w:p>
        </w:tc>
        <w:tc>
          <w:tcPr>
            <w:tcW w:w="1920" w:type="dxa"/>
            <w:vAlign w:val="bottom"/>
            <w:shd w:val="clear" w:color="auto" w:fill="1D2758"/>
          </w:tcPr>
          <w:p>
            <w:pPr>
              <w:ind w:left="120"/>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4120" w:type="dxa"/>
            <w:vAlign w:val="bottom"/>
            <w:vMerge w:val="continue"/>
            <w:shd w:val="clear" w:color="auto" w:fill="1D2758"/>
          </w:tcPr>
          <w:p>
            <w:pPr>
              <w:spacing w:after="0"/>
              <w:rPr>
                <w:sz w:val="17"/>
                <w:szCs w:val="17"/>
                <w:color w:val="auto"/>
              </w:rPr>
            </w:pPr>
          </w:p>
        </w:tc>
        <w:tc>
          <w:tcPr>
            <w:tcW w:w="4800" w:type="dxa"/>
            <w:vAlign w:val="bottom"/>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920" w:type="dxa"/>
            <w:vAlign w:val="bottom"/>
            <w:shd w:val="clear" w:color="auto" w:fill="1D2758"/>
          </w:tcPr>
          <w:p>
            <w:pPr>
              <w:ind w:left="120"/>
              <w:spacing w:after="0"/>
              <w:rPr>
                <w:sz w:val="20"/>
                <w:szCs w:val="20"/>
                <w:color w:val="auto"/>
              </w:rPr>
            </w:pPr>
            <w:r>
              <w:rPr>
                <w:rFonts w:ascii="Arial" w:cs="Arial" w:eastAsia="Arial" w:hAnsi="Arial"/>
                <w:sz w:val="15"/>
                <w:szCs w:val="15"/>
                <w:b w:val="1"/>
                <w:bCs w:val="1"/>
                <w:color w:val="FFFFFF"/>
              </w:rPr>
              <w:t>September 30, 2023</w:t>
            </w:r>
          </w:p>
        </w:tc>
        <w:tc>
          <w:tcPr>
            <w:tcW w:w="0" w:type="dxa"/>
            <w:vAlign w:val="bottom"/>
          </w:tcPr>
          <w:p>
            <w:pPr>
              <w:spacing w:after="0"/>
              <w:rPr>
                <w:sz w:val="1"/>
                <w:szCs w:val="1"/>
                <w:color w:val="auto"/>
              </w:rPr>
            </w:pPr>
          </w:p>
        </w:tc>
      </w:tr>
      <w:tr>
        <w:trPr>
          <w:trHeight w:val="206"/>
        </w:trPr>
        <w:tc>
          <w:tcPr>
            <w:tcW w:w="4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recognized in income</w:t>
            </w:r>
          </w:p>
        </w:tc>
        <w:tc>
          <w:tcPr>
            <w:tcW w:w="4800" w:type="dxa"/>
            <w:vAlign w:val="bottom"/>
            <w:shd w:val="clear" w:color="auto" w:fill="DBDBDB"/>
          </w:tcPr>
          <w:p>
            <w:pPr>
              <w:ind w:left="2260"/>
              <w:spacing w:after="0"/>
              <w:rPr>
                <w:sz w:val="20"/>
                <w:szCs w:val="20"/>
                <w:color w:val="auto"/>
              </w:rPr>
            </w:pPr>
            <w:r>
              <w:rPr>
                <w:rFonts w:ascii="Arial" w:cs="Arial" w:eastAsia="Arial" w:hAnsi="Arial"/>
                <w:sz w:val="15"/>
                <w:szCs w:val="15"/>
                <w:color w:val="auto"/>
              </w:rPr>
              <w:t>Currency losses, net</w:t>
            </w:r>
          </w:p>
        </w:tc>
        <w:tc>
          <w:tcPr>
            <w:tcW w:w="40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1D2758"/>
        </w:rPr>
        <w:t>NOTE 13 - Fair Value Measures</w:t>
      </w:r>
    </w:p>
    <w:p>
      <w:pPr>
        <w:spacing w:after="0" w:line="12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98"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6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September 30, 2023 approximate their respective book values.</w:t>
      </w:r>
    </w:p>
    <w:p>
      <w:pPr>
        <w:spacing w:after="0" w:line="1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following table shows the carrying amounts and fair values of financial liabilities which are disclosed, but not measured, at fair value, including their levels in the fair value hierarchy: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September 30, 2023</w:t>
            </w:r>
          </w:p>
        </w:tc>
        <w:tc>
          <w:tcPr>
            <w:tcW w:w="2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2022</w:t>
            </w:r>
          </w:p>
        </w:tc>
        <w:tc>
          <w:tcPr>
            <w:tcW w:w="24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7"/>
                <w:szCs w:val="7"/>
                <w:color w:val="auto"/>
              </w:rPr>
            </w:pP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112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8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96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216"/>
        </w:trPr>
        <w:tc>
          <w:tcPr>
            <w:tcW w:w="192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92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2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1,865,116</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1,893,728</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1,988,176</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2,020,000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5"/>
                <w:szCs w:val="15"/>
                <w:color w:val="auto"/>
              </w:rPr>
              <w:t>2025 Secured Notes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522,124</w:t>
            </w:r>
          </w:p>
        </w:tc>
        <w:tc>
          <w:tcPr>
            <w:tcW w:w="240" w:type="dxa"/>
            <w:vAlign w:val="bottom"/>
          </w:tcPr>
          <w:p>
            <w:pPr>
              <w:spacing w:after="0"/>
              <w:rPr>
                <w:sz w:val="17"/>
                <w:szCs w:val="17"/>
                <w:color w:val="auto"/>
              </w:rPr>
            </w:pPr>
          </w:p>
        </w:tc>
        <w:tc>
          <w:tcPr>
            <w:tcW w:w="110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521,725</w:t>
            </w:r>
          </w:p>
        </w:tc>
        <w:tc>
          <w:tcPr>
            <w:tcW w:w="24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520,350</w:t>
            </w:r>
          </w:p>
        </w:tc>
        <w:tc>
          <w:tcPr>
            <w:tcW w:w="240" w:type="dxa"/>
            <w:vAlign w:val="bottom"/>
          </w:tcPr>
          <w:p>
            <w:pPr>
              <w:spacing w:after="0"/>
              <w:rPr>
                <w:sz w:val="17"/>
                <w:szCs w:val="17"/>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526,800</w:t>
            </w:r>
          </w:p>
        </w:tc>
        <w:tc>
          <w:tcPr>
            <w:tcW w:w="24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494,238</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448,625</w:t>
            </w:r>
          </w:p>
        </w:tc>
        <w:tc>
          <w:tcPr>
            <w:tcW w:w="240" w:type="dxa"/>
            <w:vAlign w:val="bottom"/>
            <w:shd w:val="clear" w:color="auto" w:fill="DBDBDB"/>
          </w:tcPr>
          <w:p>
            <w:pPr>
              <w:spacing w:after="0"/>
              <w:rPr>
                <w:sz w:val="18"/>
                <w:szCs w:val="18"/>
                <w:color w:val="auto"/>
              </w:rPr>
            </w:pPr>
          </w:p>
        </w:tc>
        <w:tc>
          <w:tcPr>
            <w:tcW w:w="1120" w:type="dxa"/>
            <w:vAlign w:val="bottom"/>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493,470</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450,135</w:t>
            </w:r>
          </w:p>
        </w:tc>
        <w:tc>
          <w:tcPr>
            <w:tcW w:w="240" w:type="dxa"/>
            <w:vAlign w:val="bottom"/>
            <w:shd w:val="clear" w:color="auto" w:fill="DBDBDB"/>
          </w:tcPr>
          <w:p>
            <w:pPr>
              <w:spacing w:after="0"/>
              <w:rPr>
                <w:sz w:val="18"/>
                <w:szCs w:val="18"/>
                <w:color w:val="auto"/>
              </w:rPr>
            </w:pPr>
          </w:p>
        </w:tc>
        <w:tc>
          <w:tcPr>
            <w:tcW w:w="960" w:type="dxa"/>
            <w:vAlign w:val="bottom"/>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2031 Secured Notes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493,633</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497,800</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19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3,375,111</w:t>
            </w: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3,361,878</w:t>
            </w:r>
          </w:p>
        </w:tc>
        <w:tc>
          <w:tcPr>
            <w:tcW w:w="24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3,001,996</w:t>
            </w: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2,996,935</w:t>
            </w: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As of September 30, 2023, the carrying values of the ABL Facility, the 2025 Secured Notes, the 2028 Secured Notes, and the 2031 Secured Notes included $28.6 million, $4.4 million, $5.8 million, and $6.4 million, respectively, of unamortized debt issuance costs, which were presented as a direct reduction of the corresponding liability. As of December 31, 2022, the carrying value of the ABL Facility, the 2025 Secured Notes, and the 2028 Secured Notes included $31.8 million, $6.2 million, and $6.5 million, respectively, of unamortized debt issuance costs, which were presented as a direct reduction of the corresponding liability.</w:t>
      </w:r>
    </w:p>
    <w:p>
      <w:pPr>
        <w:spacing w:after="0" w:line="1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carrying value of the ABL Facility, excluding debt issuance costs, approximates fair value as the interest rates are variable and reflective of current market rates. The fair value of the 2025 Secured Notes, the 2028 Secured Notes, and the 2031 Secured Notes is based on their last trading price at the end of each period obtained from a third party. The classification and the fair value of derivative assets and liabilities are disclosed in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1D2758"/>
        </w:rPr>
        <w:t>NOTE 14 - Stock-Based Compensation</w:t>
      </w:r>
    </w:p>
    <w:p>
      <w:pPr>
        <w:spacing w:after="0" w:line="12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includes grants of restricted stock awards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 for the nine months ended September 30,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6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40" w:type="dxa"/>
            <w:vAlign w:val="bottom"/>
            <w:gridSpan w:val="2"/>
            <w:vMerge w:val="continue"/>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35,244</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100" w:type="dxa"/>
            <w:vAlign w:val="bottom"/>
            <w:shd w:val="clear" w:color="auto" w:fill="DBDBDB"/>
          </w:tcPr>
          <w:p>
            <w:pPr>
              <w:spacing w:after="0"/>
              <w:rPr>
                <w:sz w:val="17"/>
                <w:szCs w:val="17"/>
                <w:color w:val="auto"/>
              </w:rPr>
            </w:pP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36,176</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28,946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44.44</w:t>
            </w:r>
          </w:p>
        </w:tc>
        <w:tc>
          <w:tcPr>
            <w:tcW w:w="100" w:type="dxa"/>
            <w:vAlign w:val="bottom"/>
          </w:tcPr>
          <w:p>
            <w:pPr>
              <w:spacing w:after="0"/>
              <w:rPr>
                <w:sz w:val="17"/>
                <w:szCs w:val="17"/>
                <w:color w:val="auto"/>
              </w:rPr>
            </w:pP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35,244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9"/>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(35,244)</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100" w:type="dxa"/>
            <w:vAlign w:val="bottom"/>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(36,176)</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28,946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44.44</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35,244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Compensation expense for RSAs recognized in SG&amp;A on the condensed consolidated statements of operations was $0.3 million for both the three months ended September 30, 2023 and 2022. Compensation expense for RSAs recognized in SG&amp;A on the condensed consolidated statements of operations was $1.0 million and $0.9 million for the nine months ended September 30, 2023 and 2022, respectively. At September 30, 2023, there was $0.9 million of unrecognized compensation cost related to RSAs that is expected to be recognized over the remaining weighted average vesting period of 0.7 years.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for the nine months ended September 30, 2023 and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6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40" w:type="dxa"/>
            <w:vAlign w:val="bottom"/>
            <w:gridSpan w:val="2"/>
            <w:vMerge w:val="continue"/>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789,779</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26.16</w:t>
            </w:r>
          </w:p>
        </w:tc>
        <w:tc>
          <w:tcPr>
            <w:tcW w:w="100" w:type="dxa"/>
            <w:vAlign w:val="bottom"/>
            <w:shd w:val="clear" w:color="auto" w:fill="DDDDDD"/>
          </w:tcPr>
          <w:p>
            <w:pPr>
              <w:spacing w:after="0"/>
              <w:rPr>
                <w:sz w:val="17"/>
                <w:szCs w:val="17"/>
                <w:color w:val="auto"/>
              </w:rPr>
            </w:pP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997,451</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18.54</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213,388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50.74</w:t>
            </w:r>
          </w:p>
        </w:tc>
        <w:tc>
          <w:tcPr>
            <w:tcW w:w="1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377,804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20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(52,435)</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36.29</w:t>
            </w:r>
          </w:p>
        </w:tc>
        <w:tc>
          <w:tcPr>
            <w:tcW w:w="100" w:type="dxa"/>
            <w:vAlign w:val="bottom"/>
            <w:shd w:val="clear" w:color="auto" w:fill="DDDDDD"/>
          </w:tcPr>
          <w:p>
            <w:pPr>
              <w:spacing w:after="0"/>
              <w:rPr>
                <w:sz w:val="18"/>
                <w:szCs w:val="18"/>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(94,841)</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31.08</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(322,482)</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21.38</w:t>
            </w:r>
          </w:p>
        </w:tc>
        <w:tc>
          <w:tcPr>
            <w:tcW w:w="10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(478,906)</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16.42</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628,250</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36.12</w:t>
            </w:r>
          </w:p>
        </w:tc>
        <w:tc>
          <w:tcPr>
            <w:tcW w:w="100" w:type="dxa"/>
            <w:vAlign w:val="bottom"/>
            <w:tcBorders>
              <w:bottom w:val="single" w:sz="8" w:color="DDDDDD"/>
            </w:tcBorders>
            <w:shd w:val="clear" w:color="auto" w:fill="DDDDDD"/>
          </w:tcPr>
          <w:p>
            <w:pPr>
              <w:spacing w:after="0"/>
              <w:rPr>
                <w:sz w:val="19"/>
                <w:szCs w:val="19"/>
                <w:color w:val="auto"/>
              </w:rPr>
            </w:pP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801,508</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26.27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Compensation expense for Time-Based RSUs recognized in SG&amp;A on the condensed consolidated statements of operations was $2.2 million and $1.7 million for the three months ended September 30, 2023 and 2022, respectively. Compensation expense for RSUs recognized in SG&amp;A on the condensed consolidated statements of operations was $6.1 million and $6.4 million for the nine months ended September 30, 2023 and 2022, respectively. At September 30,</w:t>
      </w:r>
    </w:p>
    <w:p>
      <w:pPr>
        <w:spacing w:after="0" w:line="1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2023, unrecognized compensation cost related to Time-Based RSUs totaled $16.4 million and is expected to be recognized over the remaining weighted average vesting period of 2.3 years.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Performance-Based RSUs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following table summarizes the Company's Performance-Based RSU award activity for the nine months ended September 30,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62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20" w:type="dxa"/>
            <w:vAlign w:val="bottom"/>
            <w:gridSpan w:val="2"/>
            <w:vMerge w:val="continue"/>
            <w:shd w:val="clear" w:color="auto" w:fill="1D2758"/>
          </w:tcPr>
          <w:p>
            <w:pPr>
              <w:spacing w:after="0"/>
              <w:rPr>
                <w:sz w:val="13"/>
                <w:szCs w:val="13"/>
                <w:color w:val="auto"/>
              </w:rPr>
            </w:pPr>
          </w:p>
        </w:tc>
        <w:tc>
          <w:tcPr>
            <w:tcW w:w="178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780" w:type="dxa"/>
            <w:vAlign w:val="bottom"/>
            <w:gridSpan w:val="3"/>
            <w:shd w:val="clear" w:color="auto" w:fill="1D2758"/>
          </w:tcPr>
          <w:p>
            <w:pPr>
              <w:jc w:val="right"/>
              <w:ind w:right="140"/>
              <w:spacing w:after="0"/>
              <w:rPr>
                <w:sz w:val="20"/>
                <w:szCs w:val="20"/>
                <w:color w:val="auto"/>
              </w:rPr>
            </w:pPr>
            <w:r>
              <w:rPr>
                <w:rFonts w:ascii="Arial" w:cs="Arial" w:eastAsia="Arial" w:hAnsi="Arial"/>
                <w:sz w:val="15"/>
                <w:szCs w:val="15"/>
                <w:b w:val="1"/>
                <w:bCs w:val="1"/>
                <w:color w:val="FFFFFF"/>
              </w:rPr>
              <w:t>Grant Date Fair Value</w:t>
            </w:r>
          </w:p>
        </w:tc>
        <w:tc>
          <w:tcPr>
            <w:tcW w:w="178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1,894,250</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33.67</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1,536,394</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26.34</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376,826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69.52</w:t>
            </w:r>
          </w:p>
        </w:tc>
        <w:tc>
          <w:tcPr>
            <w:tcW w:w="8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745,079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42.34</w:t>
            </w:r>
          </w:p>
        </w:tc>
        <w:tc>
          <w:tcPr>
            <w:tcW w:w="0" w:type="dxa"/>
            <w:vAlign w:val="bottom"/>
          </w:tcPr>
          <w:p>
            <w:pPr>
              <w:spacing w:after="0"/>
              <w:rPr>
                <w:sz w:val="1"/>
                <w:szCs w:val="1"/>
                <w:color w:val="auto"/>
              </w:rPr>
            </w:pPr>
          </w:p>
        </w:tc>
      </w:tr>
      <w:tr>
        <w:trPr>
          <w:trHeight w:val="20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(27,500)</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48.38</w:t>
            </w:r>
          </w:p>
        </w:tc>
        <w:tc>
          <w:tcPr>
            <w:tcW w:w="80" w:type="dxa"/>
            <w:vAlign w:val="bottom"/>
            <w:shd w:val="clear" w:color="auto" w:fill="DDDDDD"/>
          </w:tcPr>
          <w:p>
            <w:pPr>
              <w:spacing w:after="0"/>
              <w:rPr>
                <w:sz w:val="18"/>
                <w:szCs w:val="18"/>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(61,678)</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41.62</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(293,934)</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16.34</w:t>
            </w: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(313,152)</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1,949,642</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42.96</w:t>
            </w:r>
          </w:p>
        </w:tc>
        <w:tc>
          <w:tcPr>
            <w:tcW w:w="8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1,906,643</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33.72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Compensation expense for Performance-Based RSUs recognized in SG&amp;A on the condensed consolidated statements of operations was $6.2 million and $4.9 million for the three months ended September 30, 2023 and 2022, respectively. Compensation expense for Performance-Based RSUs recognized in SG&amp;A on the condensed consolidated statements of operations was $18.8 million and $15.2 million for the nine months ended September 30, 2023 and 2022, respectively. At September 30, 2023, unrecognized compensation cost related to Performance-Based RSUs totaled $41.8 million and is expected to be recognized over the remaining weighted average vesting period of 1.8 years.</w:t>
      </w:r>
    </w:p>
    <w:p>
      <w:pPr>
        <w:spacing w:after="0" w:line="1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an index at the grant date over the performance period of three years. For 2023 grants, the TSR of the Company's Common Stock is compared to the TSR of the constituents in the S&amp;P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nine months ended September 30,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w:t>
            </w:r>
          </w:p>
        </w:tc>
        <w:tc>
          <w:tcPr>
            <w:tcW w:w="14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Mobile Mini Options</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864,276</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(32,623)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13.87</w:t>
            </w:r>
          </w:p>
        </w:tc>
        <w:tc>
          <w:tcPr>
            <w:tcW w:w="0" w:type="dxa"/>
            <w:vAlign w:val="bottom"/>
          </w:tcPr>
          <w:p>
            <w:pPr>
              <w:spacing w:after="0"/>
              <w:rPr>
                <w:sz w:val="1"/>
                <w:szCs w:val="1"/>
                <w:color w:val="auto"/>
              </w:rPr>
            </w:pPr>
          </w:p>
        </w:tc>
      </w:tr>
      <w:tr>
        <w:trPr>
          <w:trHeight w:val="224"/>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831,653</w:t>
            </w: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September 30, 2023</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831,653</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nine months ended September 30,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right"/>
              <w:ind w:right="100"/>
              <w:spacing w:after="0"/>
              <w:rPr>
                <w:sz w:val="20"/>
                <w:szCs w:val="20"/>
                <w:color w:val="auto"/>
              </w:rPr>
            </w:pPr>
            <w:r>
              <w:rPr>
                <w:rFonts w:ascii="Arial" w:cs="Arial" w:eastAsia="Arial" w:hAnsi="Arial"/>
                <w:sz w:val="15"/>
                <w:szCs w:val="15"/>
                <w:b w:val="1"/>
                <w:bCs w:val="1"/>
                <w:color w:val="FFFFFF"/>
              </w:rPr>
              <w:t>Converted Mobile Mini</w:t>
            </w: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Options</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1,527,643</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(635,318)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17.02</w:t>
            </w:r>
          </w:p>
        </w:tc>
        <w:tc>
          <w:tcPr>
            <w:tcW w:w="0" w:type="dxa"/>
            <w:vAlign w:val="bottom"/>
          </w:tcPr>
          <w:p>
            <w:pPr>
              <w:spacing w:after="0"/>
              <w:rPr>
                <w:sz w:val="1"/>
                <w:szCs w:val="1"/>
                <w:color w:val="auto"/>
              </w:rPr>
            </w:pPr>
          </w:p>
        </w:tc>
      </w:tr>
      <w:tr>
        <w:trPr>
          <w:trHeight w:val="224"/>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892,325</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12.97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20" w:type="dxa"/>
            <w:vAlign w:val="bottom"/>
            <w:tcBorders>
              <w:bottom w:val="single" w:sz="8" w:color="DDDDDD"/>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September 30,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892,325</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12.97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WillScot Options</w:t>
      </w:r>
    </w:p>
    <w:p>
      <w:pPr>
        <w:spacing w:after="0" w:line="68"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Compensation expense for stock option awards, recognized in SG&amp;A on the condensed consolidated statements of operations, was $0.2 million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1D2758"/>
        </w:rPr>
        <w:t>NOTE 15 - Commitments and Contingencies</w:t>
      </w:r>
    </w:p>
    <w:p>
      <w:pPr>
        <w:spacing w:after="0" w:line="12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2023,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1D2758"/>
        </w:rPr>
        <w:t>NOTE 16 - Segment Reporting</w:t>
      </w:r>
    </w:p>
    <w:p>
      <w:pPr>
        <w:spacing w:after="0" w:line="12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The Company operates in two reportable segments as follows: Modular Solutions ("Modular") and Storage Solutions ("Storage"). Total assets for each reportable segment are not available because the Company utilizes a centralized approach to working capital management. Transactions between reportable segments are not significant. 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change within the Modular and Storage segments. For the three months ended September 30, 2022, this resulted in approximately $13.3 million of revenue and $7.3 million of gross profit being transferred from the Modular segment to the Storage segment. For the nine months ended September 30, 2022, $36.8 million of revenue and $20.9 million of gross profit were transferred from the Modular segment to the Storage segment.</w:t>
      </w:r>
    </w:p>
    <w:p>
      <w:pPr>
        <w:spacing w:after="0" w:line="2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 The Company also regularly evaluates gross profit by segment to assist in the assessment of its operational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Reportable Segments</w:t>
      </w:r>
    </w:p>
    <w:p>
      <w:pPr>
        <w:spacing w:after="0" w:line="75"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three and nine months ended September 30, 2023 and 2022, respectively.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060" w:type="dxa"/>
            <w:vAlign w:val="bottom"/>
            <w:shd w:val="clear" w:color="auto" w:fill="1D2758"/>
          </w:tcPr>
          <w:p>
            <w:pPr>
              <w:spacing w:after="0"/>
              <w:rPr>
                <w:sz w:val="17"/>
                <w:szCs w:val="17"/>
                <w:color w:val="auto"/>
              </w:rPr>
            </w:pPr>
          </w:p>
        </w:tc>
        <w:tc>
          <w:tcPr>
            <w:tcW w:w="3320" w:type="dxa"/>
            <w:vAlign w:val="bottom"/>
            <w:gridSpan w:val="7"/>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Three Months Ended September 30, 2023</w:t>
            </w:r>
          </w:p>
        </w:tc>
        <w:tc>
          <w:tcPr>
            <w:tcW w:w="10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3"/>
                <w:szCs w:val="13"/>
                <w:color w:val="auto"/>
              </w:rPr>
            </w:pPr>
          </w:p>
        </w:tc>
        <w:tc>
          <w:tcPr>
            <w:tcW w:w="10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Modular</w:t>
            </w:r>
          </w:p>
        </w:tc>
        <w:tc>
          <w:tcPr>
            <w:tcW w:w="4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24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shd w:val="clear" w:color="auto" w:fill="1D2758"/>
          </w:tcPr>
          <w:p>
            <w:pPr>
              <w:spacing w:after="0"/>
              <w:rPr>
                <w:sz w:val="13"/>
                <w:szCs w:val="13"/>
                <w:color w:val="auto"/>
              </w:rPr>
            </w:pPr>
          </w:p>
        </w:tc>
        <w:tc>
          <w:tcPr>
            <w:tcW w:w="1280" w:type="dxa"/>
            <w:vAlign w:val="bottom"/>
            <w:shd w:val="clear" w:color="auto" w:fill="1D2758"/>
          </w:tcPr>
          <w:p>
            <w:pPr>
              <w:jc w:val="right"/>
              <w:ind w:right="263"/>
              <w:spacing w:after="0" w:line="155" w:lineRule="exact"/>
              <w:rPr>
                <w:sz w:val="20"/>
                <w:szCs w:val="20"/>
                <w:color w:val="auto"/>
              </w:rPr>
            </w:pPr>
            <w:r>
              <w:rPr>
                <w:rFonts w:ascii="Arial" w:cs="Arial" w:eastAsia="Arial" w:hAnsi="Arial"/>
                <w:sz w:val="15"/>
                <w:szCs w:val="15"/>
                <w:b w:val="1"/>
                <w:bCs w:val="1"/>
                <w:color w:val="FFFFFF"/>
              </w:rPr>
              <w:t>Unallocated</w:t>
            </w:r>
          </w:p>
        </w:tc>
        <w:tc>
          <w:tcPr>
            <w:tcW w:w="30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060" w:type="dxa"/>
            <w:vAlign w:val="bottom"/>
            <w:vMerge w:val="continue"/>
            <w:shd w:val="clear" w:color="auto" w:fill="1D2758"/>
          </w:tcPr>
          <w:p>
            <w:pPr>
              <w:spacing w:after="0"/>
              <w:rPr>
                <w:sz w:val="17"/>
                <w:szCs w:val="17"/>
                <w:color w:val="auto"/>
              </w:rPr>
            </w:pPr>
          </w:p>
        </w:tc>
        <w:tc>
          <w:tcPr>
            <w:tcW w:w="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293,694</w:t>
            </w:r>
          </w:p>
        </w:tc>
        <w:tc>
          <w:tcPr>
            <w:tcW w:w="380" w:type="dxa"/>
            <w:vAlign w:val="bottom"/>
            <w:gridSpan w:val="3"/>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173,075</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466,769</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77,126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38,472</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115,598</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8,664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1,491</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10,155</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8,322</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3,990</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12,312</w:t>
            </w:r>
          </w:p>
        </w:tc>
        <w:tc>
          <w:tcPr>
            <w:tcW w:w="0" w:type="dxa"/>
            <w:vAlign w:val="bottom"/>
          </w:tcPr>
          <w:p>
            <w:pPr>
              <w:spacing w:after="0"/>
              <w:rPr>
                <w:sz w:val="1"/>
                <w:szCs w:val="1"/>
                <w:color w:val="auto"/>
              </w:rPr>
            </w:pPr>
          </w:p>
        </w:tc>
      </w:tr>
      <w:tr>
        <w:trPr>
          <w:trHeight w:val="196"/>
        </w:trPr>
        <w:tc>
          <w:tcPr>
            <w:tcW w:w="558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387,806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217,028</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604,834</w:t>
            </w:r>
          </w:p>
        </w:tc>
        <w:tc>
          <w:tcPr>
            <w:tcW w:w="0" w:type="dxa"/>
            <w:vAlign w:val="bottom"/>
          </w:tcPr>
          <w:p>
            <w:pPr>
              <w:spacing w:after="0"/>
              <w:rPr>
                <w:sz w:val="1"/>
                <w:szCs w:val="1"/>
                <w:color w:val="auto"/>
              </w:rPr>
            </w:pPr>
          </w:p>
        </w:tc>
      </w:tr>
      <w:tr>
        <w:trPr>
          <w:trHeight w:val="248"/>
        </w:trPr>
        <w:tc>
          <w:tcPr>
            <w:tcW w:w="55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Costs: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83,626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20,705</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104,331</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58,968</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23,113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82,081</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4,490</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606</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5,096</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4,365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2,317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6,682</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24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55,178</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11,772</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66,950</w:t>
            </w:r>
          </w:p>
        </w:tc>
        <w:tc>
          <w:tcPr>
            <w:tcW w:w="0" w:type="dxa"/>
            <w:vAlign w:val="bottom"/>
          </w:tcPr>
          <w:p>
            <w:pPr>
              <w:spacing w:after="0"/>
              <w:rPr>
                <w:sz w:val="1"/>
                <w:szCs w:val="1"/>
                <w:color w:val="auto"/>
              </w:rPr>
            </w:pPr>
          </w:p>
        </w:tc>
      </w:tr>
      <w:tr>
        <w:trPr>
          <w:trHeight w:val="196"/>
        </w:trPr>
        <w:tc>
          <w:tcPr>
            <w:tcW w:w="55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181,179</w:t>
            </w:r>
          </w:p>
        </w:tc>
        <w:tc>
          <w:tcPr>
            <w:tcW w:w="3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158,515</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339,694</w:t>
            </w:r>
          </w:p>
        </w:tc>
        <w:tc>
          <w:tcPr>
            <w:tcW w:w="0" w:type="dxa"/>
            <w:vAlign w:val="bottom"/>
          </w:tcPr>
          <w:p>
            <w:pPr>
              <w:spacing w:after="0"/>
              <w:rPr>
                <w:sz w:val="1"/>
                <w:szCs w:val="1"/>
                <w:color w:val="auto"/>
              </w:rPr>
            </w:pP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148,386</w:t>
            </w:r>
          </w:p>
        </w:tc>
        <w:tc>
          <w:tcPr>
            <w:tcW w:w="3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117,094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265,480</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87,836</w:t>
            </w:r>
          </w:p>
        </w:tc>
        <w:tc>
          <w:tcPr>
            <w:tcW w:w="380" w:type="dxa"/>
            <w:vAlign w:val="bottom"/>
            <w:gridSpan w:val="3"/>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53,192</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10,955</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151,983</w:t>
            </w:r>
          </w:p>
        </w:tc>
        <w:tc>
          <w:tcPr>
            <w:tcW w:w="0" w:type="dxa"/>
            <w:vAlign w:val="bottom"/>
          </w:tcPr>
          <w:p>
            <w:pPr>
              <w:spacing w:after="0"/>
              <w:rPr>
                <w:sz w:val="1"/>
                <w:szCs w:val="1"/>
                <w:color w:val="auto"/>
              </w:rPr>
            </w:pPr>
          </w:p>
        </w:tc>
      </w:tr>
      <w:tr>
        <w:trPr>
          <w:trHeight w:val="201"/>
        </w:trPr>
        <w:tc>
          <w:tcPr>
            <w:tcW w:w="55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51,400</w:t>
            </w:r>
          </w:p>
        </w:tc>
        <w:tc>
          <w:tcPr>
            <w:tcW w:w="3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11,988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63,388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8" w:name="page29"/>
    <w:bookmarkEnd w:id="28"/>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694690</wp:posOffset>
            </wp:positionV>
            <wp:extent cx="7138670" cy="130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67"/>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tcPr>
          <w:p>
            <w:pPr>
              <w:spacing w:after="0"/>
              <w:rPr>
                <w:sz w:val="24"/>
                <w:szCs w:val="24"/>
                <w:color w:val="auto"/>
              </w:rPr>
            </w:pPr>
          </w:p>
        </w:tc>
      </w:tr>
      <w:tr>
        <w:trPr>
          <w:trHeight w:val="201"/>
        </w:trPr>
        <w:tc>
          <w:tcPr>
            <w:tcW w:w="5580" w:type="dxa"/>
            <w:vAlign w:val="bottom"/>
          </w:tcPr>
          <w:p>
            <w:pPr>
              <w:ind w:left="20"/>
              <w:spacing w:after="0"/>
              <w:rPr>
                <w:sz w:val="20"/>
                <w:szCs w:val="20"/>
                <w:color w:val="auto"/>
              </w:rPr>
            </w:pPr>
            <w:r>
              <w:rPr>
                <w:rFonts w:ascii="Arial" w:cs="Arial" w:eastAsia="Arial" w:hAnsi="Arial"/>
                <w:sz w:val="15"/>
                <w:szCs w:val="15"/>
                <w:color w:val="auto"/>
              </w:rPr>
              <w:t>Revenues:</w:t>
            </w:r>
          </w:p>
        </w:tc>
        <w:tc>
          <w:tcPr>
            <w:tcW w:w="100" w:type="dxa"/>
            <w:vAlign w:val="bottom"/>
          </w:tcPr>
          <w:p>
            <w:pPr>
              <w:spacing w:after="0"/>
              <w:rPr>
                <w:sz w:val="17"/>
                <w:szCs w:val="17"/>
                <w:color w:val="auto"/>
              </w:rPr>
            </w:pPr>
          </w:p>
        </w:tc>
      </w:tr>
      <w:tr>
        <w:trPr>
          <w:trHeight w:val="206"/>
        </w:trPr>
        <w:tc>
          <w:tcPr>
            <w:tcW w:w="55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r>
      <w:tr>
        <w:trPr>
          <w:trHeight w:val="206"/>
        </w:trPr>
        <w:tc>
          <w:tcPr>
            <w:tcW w:w="5580" w:type="dxa"/>
            <w:vAlign w:val="bottom"/>
          </w:tcPr>
          <w:p>
            <w:pPr>
              <w:ind w:left="20"/>
              <w:spacing w:after="0"/>
              <w:rPr>
                <w:sz w:val="20"/>
                <w:szCs w:val="20"/>
                <w:color w:val="auto"/>
              </w:rPr>
            </w:pPr>
            <w:r>
              <w:rPr>
                <w:rFonts w:ascii="Arial" w:cs="Arial" w:eastAsia="Arial" w:hAnsi="Arial"/>
                <w:sz w:val="15"/>
                <w:szCs w:val="15"/>
                <w:color w:val="auto"/>
              </w:rPr>
              <w:t>Sales revenue:</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00" w:type="dxa"/>
            <w:vAlign w:val="bottom"/>
          </w:tcPr>
          <w:p>
            <w:pPr>
              <w:spacing w:after="0"/>
              <w:rPr>
                <w:sz w:val="17"/>
                <w:szCs w:val="17"/>
                <w:color w:val="auto"/>
              </w:rPr>
            </w:pPr>
          </w:p>
        </w:tc>
      </w:tr>
      <w:tr>
        <w:trPr>
          <w:trHeight w:val="206"/>
        </w:trPr>
        <w:tc>
          <w:tcPr>
            <w:tcW w:w="55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00" w:type="dxa"/>
            <w:vAlign w:val="bottom"/>
          </w:tcPr>
          <w:p>
            <w:pPr>
              <w:spacing w:after="0"/>
              <w:rPr>
                <w:sz w:val="17"/>
                <w:szCs w:val="17"/>
                <w:color w:val="auto"/>
              </w:rPr>
            </w:pPr>
          </w:p>
        </w:tc>
      </w:tr>
      <w:tr>
        <w:trPr>
          <w:trHeight w:val="477"/>
        </w:trPr>
        <w:tc>
          <w:tcPr>
            <w:tcW w:w="5580" w:type="dxa"/>
            <w:vAlign w:val="bottom"/>
          </w:tcPr>
          <w:p>
            <w:pPr>
              <w:ind w:left="20"/>
              <w:spacing w:after="0"/>
              <w:rPr>
                <w:sz w:val="20"/>
                <w:szCs w:val="20"/>
                <w:color w:val="auto"/>
              </w:rPr>
            </w:pPr>
            <w:r>
              <w:rPr>
                <w:rFonts w:ascii="Arial" w:cs="Arial" w:eastAsia="Arial" w:hAnsi="Arial"/>
                <w:sz w:val="15"/>
                <w:szCs w:val="15"/>
                <w:color w:val="auto"/>
              </w:rPr>
              <w:t>Costs:</w:t>
            </w:r>
          </w:p>
        </w:tc>
        <w:tc>
          <w:tcPr>
            <w:tcW w:w="100" w:type="dxa"/>
            <w:vAlign w:val="bottom"/>
          </w:tcPr>
          <w:p>
            <w:pPr>
              <w:spacing w:after="0"/>
              <w:rPr>
                <w:sz w:val="24"/>
                <w:szCs w:val="24"/>
                <w:color w:val="auto"/>
              </w:rPr>
            </w:pPr>
          </w:p>
        </w:tc>
      </w:tr>
      <w:tr>
        <w:trPr>
          <w:trHeight w:val="206"/>
        </w:trPr>
        <w:tc>
          <w:tcPr>
            <w:tcW w:w="5580" w:type="dxa"/>
            <w:vAlign w:val="bottom"/>
          </w:tcPr>
          <w:p>
            <w:pPr>
              <w:ind w:left="20"/>
              <w:spacing w:after="0"/>
              <w:rPr>
                <w:sz w:val="20"/>
                <w:szCs w:val="20"/>
                <w:color w:val="auto"/>
              </w:rPr>
            </w:pPr>
            <w:r>
              <w:rPr>
                <w:rFonts w:ascii="Arial" w:cs="Arial" w:eastAsia="Arial" w:hAnsi="Arial"/>
                <w:sz w:val="15"/>
                <w:szCs w:val="15"/>
                <w:color w:val="auto"/>
              </w:rPr>
              <w:t>Cost of leasing and services:</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r>
      <w:tr>
        <w:trPr>
          <w:trHeight w:val="206"/>
        </w:trPr>
        <w:tc>
          <w:tcPr>
            <w:tcW w:w="55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00" w:type="dxa"/>
            <w:vAlign w:val="bottom"/>
          </w:tcPr>
          <w:p>
            <w:pPr>
              <w:spacing w:after="0"/>
              <w:rPr>
                <w:sz w:val="17"/>
                <w:szCs w:val="17"/>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Depreciation of rental equipment</w:t>
            </w:r>
          </w:p>
        </w:tc>
        <w:tc>
          <w:tcPr>
            <w:tcW w:w="100" w:type="dxa"/>
            <w:vAlign w:val="bottom"/>
          </w:tcPr>
          <w:p>
            <w:pPr>
              <w:spacing w:after="0"/>
              <w:rPr>
                <w:sz w:val="17"/>
                <w:szCs w:val="17"/>
                <w:color w:val="auto"/>
              </w:rPr>
            </w:pPr>
          </w:p>
        </w:tc>
      </w:tr>
      <w:tr>
        <w:trPr>
          <w:trHeight w:val="219"/>
        </w:trPr>
        <w:tc>
          <w:tcPr>
            <w:tcW w:w="55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32"/>
        </w:trPr>
        <w:tc>
          <w:tcPr>
            <w:tcW w:w="5580" w:type="dxa"/>
            <w:vAlign w:val="bottom"/>
          </w:tcPr>
          <w:p>
            <w:pPr>
              <w:ind w:left="20"/>
              <w:spacing w:after="0"/>
              <w:rPr>
                <w:sz w:val="20"/>
                <w:szCs w:val="20"/>
                <w:color w:val="auto"/>
              </w:rPr>
            </w:pPr>
            <w:r>
              <w:rPr>
                <w:rFonts w:ascii="Arial" w:cs="Arial" w:eastAsia="Arial" w:hAnsi="Arial"/>
                <w:sz w:val="15"/>
                <w:szCs w:val="15"/>
                <w:color w:val="auto"/>
              </w:rPr>
              <w:t>Other selected data:</w:t>
            </w:r>
          </w:p>
        </w:tc>
        <w:tc>
          <w:tcPr>
            <w:tcW w:w="100" w:type="dxa"/>
            <w:vAlign w:val="bottom"/>
          </w:tcPr>
          <w:p>
            <w:pPr>
              <w:spacing w:after="0"/>
              <w:rPr>
                <w:sz w:val="20"/>
                <w:szCs w:val="20"/>
                <w:color w:val="auto"/>
              </w:rPr>
            </w:pP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5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-2943225</wp:posOffset>
            </wp:positionV>
            <wp:extent cx="7138670" cy="130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-2680970</wp:posOffset>
            </wp:positionV>
            <wp:extent cx="7138670" cy="130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-2418715</wp:posOffset>
            </wp:positionV>
            <wp:extent cx="7138670" cy="130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-2157095</wp:posOffset>
            </wp:positionV>
            <wp:extent cx="7138670" cy="130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-1886585</wp:posOffset>
            </wp:positionV>
            <wp:extent cx="7138670" cy="163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-1591945</wp:posOffset>
            </wp:positionV>
            <wp:extent cx="7138670" cy="130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-1330325</wp:posOffset>
            </wp:positionV>
            <wp:extent cx="7138670" cy="130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-1068070</wp:posOffset>
            </wp:positionV>
            <wp:extent cx="713867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-806450</wp:posOffset>
            </wp:positionV>
            <wp:extent cx="7138670" cy="130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7138670" cy="130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-520065</wp:posOffset>
            </wp:positionV>
            <wp:extent cx="7138670" cy="130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5"/>
          <w:szCs w:val="15"/>
          <w:b w:val="1"/>
          <w:bCs w:val="1"/>
          <w:color w:val="FFFFFF"/>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23495</wp:posOffset>
            </wp:positionV>
            <wp:extent cx="3594100" cy="229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94100" cy="2292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060" w:type="dxa"/>
            <w:vAlign w:val="bottom"/>
            <w:vMerge w:val="restart"/>
          </w:tcPr>
          <w:p>
            <w:pPr>
              <w:jc w:val="right"/>
              <w:ind w:right="383"/>
              <w:spacing w:after="0"/>
              <w:rPr>
                <w:sz w:val="20"/>
                <w:szCs w:val="20"/>
                <w:color w:val="auto"/>
              </w:rPr>
            </w:pPr>
            <w:r>
              <w:rPr>
                <w:rFonts w:ascii="Arial" w:cs="Arial" w:eastAsia="Arial" w:hAnsi="Arial"/>
                <w:sz w:val="15"/>
                <w:szCs w:val="15"/>
                <w:b w:val="1"/>
                <w:bCs w:val="1"/>
                <w:color w:val="FFFFFF"/>
                <w:w w:val="99"/>
              </w:rPr>
              <w:t>Modular</w:t>
            </w:r>
          </w:p>
        </w:tc>
        <w:tc>
          <w:tcPr>
            <w:tcW w:w="240" w:type="dxa"/>
            <w:vAlign w:val="bottom"/>
          </w:tcPr>
          <w:p>
            <w:pPr>
              <w:spacing w:after="0"/>
              <w:rPr>
                <w:sz w:val="14"/>
                <w:szCs w:val="14"/>
                <w:color w:val="auto"/>
              </w:rPr>
            </w:pPr>
          </w:p>
        </w:tc>
        <w:tc>
          <w:tcPr>
            <w:tcW w:w="1100" w:type="dxa"/>
            <w:vAlign w:val="bottom"/>
            <w:vMerge w:val="restart"/>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tcPr>
          <w:p>
            <w:pPr>
              <w:spacing w:after="0"/>
              <w:rPr>
                <w:sz w:val="14"/>
                <w:szCs w:val="14"/>
                <w:color w:val="auto"/>
              </w:rPr>
            </w:pPr>
          </w:p>
        </w:tc>
        <w:tc>
          <w:tcPr>
            <w:tcW w:w="1280" w:type="dxa"/>
            <w:vAlign w:val="bottom"/>
          </w:tcPr>
          <w:p>
            <w:pPr>
              <w:jc w:val="right"/>
              <w:ind w:right="263"/>
              <w:spacing w:after="0"/>
              <w:rPr>
                <w:sz w:val="20"/>
                <w:szCs w:val="20"/>
                <w:color w:val="auto"/>
              </w:rPr>
            </w:pPr>
            <w:r>
              <w:rPr>
                <w:rFonts w:ascii="Arial" w:cs="Arial" w:eastAsia="Arial" w:hAnsi="Arial"/>
                <w:sz w:val="15"/>
                <w:szCs w:val="15"/>
                <w:b w:val="1"/>
                <w:bCs w:val="1"/>
                <w:color w:val="FFFFFF"/>
              </w:rPr>
              <w:t>Unallocated</w:t>
            </w:r>
          </w:p>
        </w:tc>
        <w:tc>
          <w:tcPr>
            <w:tcW w:w="300" w:type="dxa"/>
            <w:vAlign w:val="bottom"/>
          </w:tcPr>
          <w:p>
            <w:pPr>
              <w:spacing w:after="0"/>
              <w:rPr>
                <w:sz w:val="14"/>
                <w:szCs w:val="14"/>
                <w:color w:val="auto"/>
              </w:rPr>
            </w:pPr>
          </w:p>
        </w:tc>
        <w:tc>
          <w:tcPr>
            <w:tcW w:w="1040" w:type="dxa"/>
            <w:vAlign w:val="bottom"/>
            <w:vMerge w:val="restart"/>
          </w:tcPr>
          <w:p>
            <w:pPr>
              <w:jc w:val="right"/>
              <w:ind w:right="4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260,239</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167,603</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427,842</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82,227</w:t>
            </w: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44,789</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127,016</w:t>
            </w:r>
          </w:p>
        </w:tc>
        <w:tc>
          <w:tcPr>
            <w:tcW w:w="0" w:type="dxa"/>
            <w:vAlign w:val="bottom"/>
          </w:tcPr>
          <w:p>
            <w:pPr>
              <w:spacing w:after="0"/>
              <w:rPr>
                <w:sz w:val="1"/>
                <w:szCs w:val="1"/>
                <w:color w:val="auto"/>
              </w:rPr>
            </w:pPr>
          </w:p>
        </w:tc>
      </w:tr>
      <w:tr>
        <w:trPr>
          <w:trHeight w:val="413"/>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7,892</w:t>
            </w:r>
          </w:p>
        </w:tc>
        <w:tc>
          <w:tcPr>
            <w:tcW w:w="2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1,716</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9,608</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11,714</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1,828</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13,542</w:t>
            </w:r>
          </w:p>
        </w:tc>
        <w:tc>
          <w:tcPr>
            <w:tcW w:w="0" w:type="dxa"/>
            <w:vAlign w:val="bottom"/>
          </w:tcPr>
          <w:p>
            <w:pPr>
              <w:spacing w:after="0"/>
              <w:rPr>
                <w:sz w:val="1"/>
                <w:szCs w:val="1"/>
                <w:color w:val="auto"/>
              </w:rPr>
            </w:pPr>
          </w:p>
        </w:tc>
      </w:tr>
      <w:tr>
        <w:trPr>
          <w:trHeight w:val="199"/>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362,072</w:t>
            </w: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215,936</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578,008</w:t>
            </w:r>
          </w:p>
        </w:tc>
        <w:tc>
          <w:tcPr>
            <w:tcW w:w="0" w:type="dxa"/>
            <w:vAlign w:val="bottom"/>
          </w:tcPr>
          <w:p>
            <w:pPr>
              <w:spacing w:after="0"/>
              <w:rPr>
                <w:sz w:val="1"/>
                <w:szCs w:val="1"/>
                <w:color w:val="auto"/>
              </w:rPr>
            </w:pPr>
          </w:p>
        </w:tc>
      </w:tr>
      <w:tr>
        <w:trPr>
          <w:trHeight w:val="877"/>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78,075</w:t>
            </w:r>
          </w:p>
        </w:tc>
        <w:tc>
          <w:tcPr>
            <w:tcW w:w="2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29,645</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107,720</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64,773</w:t>
            </w: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26,971</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91,744</w:t>
            </w:r>
          </w:p>
        </w:tc>
        <w:tc>
          <w:tcPr>
            <w:tcW w:w="0" w:type="dxa"/>
            <w:vAlign w:val="bottom"/>
          </w:tcPr>
          <w:p>
            <w:pPr>
              <w:spacing w:after="0"/>
              <w:rPr>
                <w:sz w:val="1"/>
                <w:szCs w:val="1"/>
                <w:color w:val="auto"/>
              </w:rPr>
            </w:pPr>
          </w:p>
        </w:tc>
      </w:tr>
      <w:tr>
        <w:trPr>
          <w:trHeight w:val="413"/>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4,795</w:t>
            </w:r>
          </w:p>
        </w:tc>
        <w:tc>
          <w:tcPr>
            <w:tcW w:w="2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1,003</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5,798</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5,585</w:t>
            </w: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1,261</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6,846</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59,322</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8,693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68,015</w:t>
            </w:r>
          </w:p>
        </w:tc>
        <w:tc>
          <w:tcPr>
            <w:tcW w:w="0" w:type="dxa"/>
            <w:vAlign w:val="bottom"/>
          </w:tcPr>
          <w:p>
            <w:pPr>
              <w:spacing w:after="0"/>
              <w:rPr>
                <w:sz w:val="1"/>
                <w:szCs w:val="1"/>
                <w:color w:val="auto"/>
              </w:rPr>
            </w:pPr>
          </w:p>
        </w:tc>
      </w:tr>
      <w:tr>
        <w:trPr>
          <w:trHeight w:val="202"/>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149,522</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148,363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297,885</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135,246</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104,122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239,368</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76,535</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52,903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10,678</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140,116</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81,052</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41,246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122,298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-535940</wp:posOffset>
            </wp:positionV>
            <wp:extent cx="851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-675005</wp:posOffset>
            </wp:positionV>
            <wp:extent cx="8515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-2026285</wp:posOffset>
            </wp:positionV>
            <wp:extent cx="8515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ectPr>
          <w:pgSz w:w="11900" w:h="16838" w:orient="portrait"/>
          <w:cols w:equalWidth="0" w:num="2">
            <w:col w:w="5700" w:space="260"/>
            <w:col w:w="5280"/>
          </w:cols>
          <w:pgMar w:left="320" w:top="109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 September 30, 2023</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Modular</w:t>
            </w:r>
          </w:p>
        </w:tc>
        <w:tc>
          <w:tcPr>
            <w:tcW w:w="100" w:type="dxa"/>
            <w:vAlign w:val="bottom"/>
            <w:shd w:val="clear" w:color="auto" w:fill="1D2758"/>
          </w:tcPr>
          <w:p>
            <w:pPr>
              <w:spacing w:after="0"/>
              <w:rPr>
                <w:sz w:val="13"/>
                <w:szCs w:val="13"/>
                <w:color w:val="auto"/>
              </w:rPr>
            </w:pPr>
          </w:p>
        </w:tc>
        <w:tc>
          <w:tcPr>
            <w:tcW w:w="24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shd w:val="clear" w:color="auto" w:fill="1D2758"/>
          </w:tcPr>
          <w:p>
            <w:pPr>
              <w:spacing w:after="0"/>
              <w:rPr>
                <w:sz w:val="13"/>
                <w:szCs w:val="13"/>
                <w:color w:val="auto"/>
              </w:rPr>
            </w:pPr>
          </w:p>
        </w:tc>
        <w:tc>
          <w:tcPr>
            <w:tcW w:w="1280" w:type="dxa"/>
            <w:vAlign w:val="bottom"/>
            <w:shd w:val="clear" w:color="auto" w:fill="1D2758"/>
          </w:tcPr>
          <w:p>
            <w:pPr>
              <w:jc w:val="right"/>
              <w:ind w:right="263"/>
              <w:spacing w:after="0" w:line="155" w:lineRule="exact"/>
              <w:rPr>
                <w:sz w:val="20"/>
                <w:szCs w:val="20"/>
                <w:color w:val="auto"/>
              </w:rPr>
            </w:pPr>
            <w:r>
              <w:rPr>
                <w:rFonts w:ascii="Arial" w:cs="Arial" w:eastAsia="Arial" w:hAnsi="Arial"/>
                <w:sz w:val="15"/>
                <w:szCs w:val="15"/>
                <w:b w:val="1"/>
                <w:bCs w:val="1"/>
                <w:color w:val="FFFFFF"/>
              </w:rPr>
              <w:t>Unallocated</w:t>
            </w:r>
          </w:p>
        </w:tc>
        <w:tc>
          <w:tcPr>
            <w:tcW w:w="30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844,060</w:t>
            </w: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511,980</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1,356,040</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217,115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117,867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334,982</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24,756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5,060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29,816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22,220</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9,333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31,553</w:t>
            </w:r>
          </w:p>
        </w:tc>
        <w:tc>
          <w:tcPr>
            <w:tcW w:w="0" w:type="dxa"/>
            <w:vAlign w:val="bottom"/>
          </w:tcPr>
          <w:p>
            <w:pPr>
              <w:spacing w:after="0"/>
              <w:rPr>
                <w:sz w:val="1"/>
                <w:szCs w:val="1"/>
                <w:color w:val="auto"/>
              </w:rPr>
            </w:pPr>
          </w:p>
        </w:tc>
      </w:tr>
      <w:tr>
        <w:trPr>
          <w:trHeight w:val="196"/>
        </w:trPr>
        <w:tc>
          <w:tcPr>
            <w:tcW w:w="558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1,108,151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644,240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1,752,391</w:t>
            </w:r>
          </w:p>
        </w:tc>
        <w:tc>
          <w:tcPr>
            <w:tcW w:w="0" w:type="dxa"/>
            <w:vAlign w:val="bottom"/>
          </w:tcPr>
          <w:p>
            <w:pPr>
              <w:spacing w:after="0"/>
              <w:rPr>
                <w:sz w:val="1"/>
                <w:szCs w:val="1"/>
                <w:color w:val="auto"/>
              </w:rPr>
            </w:pPr>
          </w:p>
        </w:tc>
      </w:tr>
      <w:tr>
        <w:trPr>
          <w:trHeight w:val="248"/>
        </w:trPr>
        <w:tc>
          <w:tcPr>
            <w:tcW w:w="55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Costs: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234,550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65,852</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300,402</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169,014</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69,423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238,437</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14,010</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2,089</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16,099</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10,926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5,277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16,203</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160,397</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30,159</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190,556</w:t>
            </w:r>
          </w:p>
        </w:tc>
        <w:tc>
          <w:tcPr>
            <w:tcW w:w="0" w:type="dxa"/>
            <w:vAlign w:val="bottom"/>
          </w:tcPr>
          <w:p>
            <w:pPr>
              <w:spacing w:after="0"/>
              <w:rPr>
                <w:sz w:val="1"/>
                <w:szCs w:val="1"/>
                <w:color w:val="auto"/>
              </w:rPr>
            </w:pPr>
          </w:p>
        </w:tc>
      </w:tr>
      <w:tr>
        <w:trPr>
          <w:trHeight w:val="196"/>
        </w:trPr>
        <w:tc>
          <w:tcPr>
            <w:tcW w:w="55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519,254</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471,440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990,694</w:t>
            </w:r>
          </w:p>
        </w:tc>
        <w:tc>
          <w:tcPr>
            <w:tcW w:w="0" w:type="dxa"/>
            <w:vAlign w:val="bottom"/>
          </w:tcPr>
          <w:p>
            <w:pPr>
              <w:spacing w:after="0"/>
              <w:rPr>
                <w:sz w:val="1"/>
                <w:szCs w:val="1"/>
                <w:color w:val="auto"/>
              </w:rPr>
            </w:pP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436,793</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336,870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773,663</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249,049</w:t>
            </w: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165,577</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35,059</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449,685</w:t>
            </w:r>
          </w:p>
        </w:tc>
        <w:tc>
          <w:tcPr>
            <w:tcW w:w="0" w:type="dxa"/>
            <w:vAlign w:val="bottom"/>
          </w:tcPr>
          <w:p>
            <w:pPr>
              <w:spacing w:after="0"/>
              <w:rPr>
                <w:sz w:val="1"/>
                <w:szCs w:val="1"/>
                <w:color w:val="auto"/>
              </w:rPr>
            </w:pPr>
          </w:p>
        </w:tc>
      </w:tr>
      <w:tr>
        <w:trPr>
          <w:trHeight w:val="201"/>
        </w:trPr>
        <w:tc>
          <w:tcPr>
            <w:tcW w:w="55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141,183</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24,543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165,726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 September 30, 2022</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Modular</w:t>
            </w:r>
          </w:p>
        </w:tc>
        <w:tc>
          <w:tcPr>
            <w:tcW w:w="100" w:type="dxa"/>
            <w:vAlign w:val="bottom"/>
            <w:shd w:val="clear" w:color="auto" w:fill="1D2758"/>
          </w:tcPr>
          <w:p>
            <w:pPr>
              <w:spacing w:after="0"/>
              <w:rPr>
                <w:sz w:val="13"/>
                <w:szCs w:val="13"/>
                <w:color w:val="auto"/>
              </w:rPr>
            </w:pPr>
          </w:p>
        </w:tc>
        <w:tc>
          <w:tcPr>
            <w:tcW w:w="24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shd w:val="clear" w:color="auto" w:fill="1D2758"/>
          </w:tcPr>
          <w:p>
            <w:pPr>
              <w:spacing w:after="0"/>
              <w:rPr>
                <w:sz w:val="13"/>
                <w:szCs w:val="13"/>
                <w:color w:val="auto"/>
              </w:rPr>
            </w:pPr>
          </w:p>
        </w:tc>
        <w:tc>
          <w:tcPr>
            <w:tcW w:w="1280" w:type="dxa"/>
            <w:vAlign w:val="bottom"/>
            <w:shd w:val="clear" w:color="auto" w:fill="1D2758"/>
          </w:tcPr>
          <w:p>
            <w:pPr>
              <w:jc w:val="right"/>
              <w:ind w:right="263"/>
              <w:spacing w:after="0" w:line="155" w:lineRule="exact"/>
              <w:rPr>
                <w:sz w:val="20"/>
                <w:szCs w:val="20"/>
                <w:color w:val="auto"/>
              </w:rPr>
            </w:pPr>
            <w:r>
              <w:rPr>
                <w:rFonts w:ascii="Arial" w:cs="Arial" w:eastAsia="Arial" w:hAnsi="Arial"/>
                <w:sz w:val="15"/>
                <w:szCs w:val="15"/>
                <w:b w:val="1"/>
                <w:bCs w:val="1"/>
                <w:color w:val="FFFFFF"/>
              </w:rPr>
              <w:t>Unallocated</w:t>
            </w:r>
          </w:p>
        </w:tc>
        <w:tc>
          <w:tcPr>
            <w:tcW w:w="30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725,062</w:t>
            </w: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440,725</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1,165,787</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208,547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114,849</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323,396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21,186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4,136</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25,322</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31,078</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6,486</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37,564</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985,873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566,196</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1,552,069</w:t>
            </w:r>
          </w:p>
        </w:tc>
        <w:tc>
          <w:tcPr>
            <w:tcW w:w="0" w:type="dxa"/>
            <w:vAlign w:val="bottom"/>
          </w:tcPr>
          <w:p>
            <w:pPr>
              <w:spacing w:after="0"/>
              <w:rPr>
                <w:sz w:val="1"/>
                <w:szCs w:val="1"/>
                <w:color w:val="auto"/>
              </w:rPr>
            </w:pPr>
          </w:p>
        </w:tc>
      </w:tr>
      <w:tr>
        <w:trPr>
          <w:trHeight w:val="248"/>
        </w:trPr>
        <w:tc>
          <w:tcPr>
            <w:tcW w:w="55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Costs: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204,852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71,313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276,165</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170,294</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74,567</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244,861</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12,261</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2,614</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14,875</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15,912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4,304</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20,216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163,825</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24,968</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188,793</w:t>
            </w:r>
          </w:p>
        </w:tc>
        <w:tc>
          <w:tcPr>
            <w:tcW w:w="0" w:type="dxa"/>
            <w:vAlign w:val="bottom"/>
          </w:tcPr>
          <w:p>
            <w:pPr>
              <w:spacing w:after="0"/>
              <w:rPr>
                <w:sz w:val="1"/>
                <w:szCs w:val="1"/>
                <w:color w:val="auto"/>
              </w:rPr>
            </w:pPr>
          </w:p>
        </w:tc>
      </w:tr>
      <w:tr>
        <w:trPr>
          <w:trHeight w:val="196"/>
        </w:trPr>
        <w:tc>
          <w:tcPr>
            <w:tcW w:w="55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418,729</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388,430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807,159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357,656</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258,128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615,784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233,539</w:t>
            </w: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157,257</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37,593</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428,389</w:t>
            </w:r>
          </w:p>
        </w:tc>
        <w:tc>
          <w:tcPr>
            <w:tcW w:w="0" w:type="dxa"/>
            <w:vAlign w:val="bottom"/>
          </w:tcPr>
          <w:p>
            <w:pPr>
              <w:spacing w:after="0"/>
              <w:rPr>
                <w:sz w:val="1"/>
                <w:szCs w:val="1"/>
                <w:color w:val="auto"/>
              </w:rPr>
            </w:pPr>
          </w:p>
        </w:tc>
      </w:tr>
      <w:tr>
        <w:trPr>
          <w:trHeight w:val="201"/>
        </w:trPr>
        <w:tc>
          <w:tcPr>
            <w:tcW w:w="55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221,111</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95,699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316,810</w:t>
            </w: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reconciliations of the Company’s income from continuing operations to Adjusted EBITDA for the three and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2023 and 2022,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3000" w:type="dxa"/>
            <w:vAlign w:val="bottom"/>
            <w:gridSpan w:val="5"/>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180" w:type="dxa"/>
            <w:vAlign w:val="bottom"/>
            <w:shd w:val="clear" w:color="auto" w:fill="1D2758"/>
          </w:tcPr>
          <w:p>
            <w:pPr>
              <w:spacing w:after="0"/>
              <w:rPr>
                <w:sz w:val="17"/>
                <w:szCs w:val="17"/>
                <w:color w:val="auto"/>
              </w:rPr>
            </w:pPr>
          </w:p>
        </w:tc>
        <w:tc>
          <w:tcPr>
            <w:tcW w:w="290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06"/>
        </w:trPr>
        <w:tc>
          <w:tcPr>
            <w:tcW w:w="5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78,176</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255,516</w:t>
            </w: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177,323</w:t>
            </w: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32,780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28,288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94,855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61,219</w:t>
            </w:r>
          </w:p>
        </w:tc>
        <w:tc>
          <w:tcPr>
            <w:tcW w:w="0" w:type="dxa"/>
            <w:vAlign w:val="bottom"/>
          </w:tcPr>
          <w:p>
            <w:pPr>
              <w:spacing w:after="0"/>
              <w:rPr>
                <w:sz w:val="1"/>
                <w:szCs w:val="1"/>
                <w:color w:val="auto"/>
              </w:rPr>
            </w:pPr>
          </w:p>
        </w:tc>
      </w:tr>
      <w:tr>
        <w:trPr>
          <w:trHeight w:val="209"/>
        </w:trPr>
        <w:tc>
          <w:tcPr>
            <w:tcW w:w="5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53,803</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38,009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145,915</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101,732</w:t>
            </w: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84,802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83,671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242,927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234,762</w:t>
            </w:r>
          </w:p>
        </w:tc>
        <w:tc>
          <w:tcPr>
            <w:tcW w:w="0" w:type="dxa"/>
            <w:vAlign w:val="bottom"/>
          </w:tcPr>
          <w:p>
            <w:pPr>
              <w:spacing w:after="0"/>
              <w:rPr>
                <w:sz w:val="1"/>
                <w:szCs w:val="1"/>
                <w:color w:val="auto"/>
              </w:rPr>
            </w:pPr>
          </w:p>
        </w:tc>
      </w:tr>
      <w:tr>
        <w:trPr>
          <w:trHeight w:val="209"/>
        </w:trPr>
        <w:tc>
          <w:tcPr>
            <w:tcW w:w="5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6,885</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59"/>
        </w:trPr>
        <w:tc>
          <w:tcPr>
            <w:tcW w:w="5000" w:type="dxa"/>
            <w:vAlign w:val="bottom"/>
          </w:tcPr>
          <w:p>
            <w:pPr>
              <w:ind w:left="220"/>
              <w:spacing w:after="0" w:line="159" w:lineRule="exact"/>
              <w:rPr>
                <w:sz w:val="20"/>
                <w:szCs w:val="20"/>
                <w:color w:val="auto"/>
              </w:rPr>
            </w:pPr>
            <w:r>
              <w:rPr>
                <w:rFonts w:ascii="Arial" w:cs="Arial" w:eastAsia="Arial" w:hAnsi="Arial"/>
                <w:sz w:val="15"/>
                <w:szCs w:val="15"/>
                <w:color w:val="auto"/>
              </w:rPr>
              <w:t>Restructuring costs, lease impairment expense and other related</w:t>
            </w:r>
          </w:p>
        </w:tc>
        <w:tc>
          <w:tcPr>
            <w:tcW w:w="16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99"/>
        </w:trPr>
        <w:tc>
          <w:tcPr>
            <w:tcW w:w="5000" w:type="dxa"/>
            <w:vAlign w:val="bottom"/>
          </w:tcPr>
          <w:p>
            <w:pPr>
              <w:ind w:left="220"/>
              <w:spacing w:after="0"/>
              <w:rPr>
                <w:sz w:val="20"/>
                <w:szCs w:val="20"/>
                <w:color w:val="auto"/>
              </w:rPr>
            </w:pPr>
            <w:r>
              <w:rPr>
                <w:rFonts w:ascii="Arial" w:cs="Arial" w:eastAsia="Arial" w:hAnsi="Arial"/>
                <w:sz w:val="15"/>
                <w:szCs w:val="15"/>
                <w:color w:val="auto"/>
              </w:rPr>
              <w:t>charges</w:t>
            </w:r>
          </w:p>
        </w:tc>
        <w:tc>
          <w:tcPr>
            <w:tcW w:w="1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787</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6,900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13,182</w:t>
            </w:r>
          </w:p>
        </w:tc>
        <w:tc>
          <w:tcPr>
            <w:tcW w:w="0" w:type="dxa"/>
            <w:vAlign w:val="bottom"/>
          </w:tcPr>
          <w:p>
            <w:pPr>
              <w:spacing w:after="0"/>
              <w:rPr>
                <w:sz w:val="1"/>
                <w:szCs w:val="1"/>
                <w:color w:val="auto"/>
              </w:rPr>
            </w:pPr>
          </w:p>
        </w:tc>
      </w:tr>
      <w:tr>
        <w:trPr>
          <w:trHeight w:val="209"/>
        </w:trPr>
        <w:tc>
          <w:tcPr>
            <w:tcW w:w="5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8,636</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7,111</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26,134</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22,512</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(7,720)</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c>
          <w:tcPr>
            <w:tcW w:w="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4,727</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265,480</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239,368</w:t>
            </w: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773,663</w:t>
            </w:r>
          </w:p>
        </w:tc>
        <w:tc>
          <w:tcPr>
            <w:tcW w:w="8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615,784</w:t>
            </w:r>
          </w:p>
        </w:tc>
        <w:tc>
          <w:tcPr>
            <w:tcW w:w="0" w:type="dxa"/>
            <w:vAlign w:val="bottom"/>
          </w:tcPr>
          <w:p>
            <w:pPr>
              <w:spacing w:after="0"/>
              <w:rPr>
                <w:sz w:val="1"/>
                <w:szCs w:val="1"/>
                <w:color w:val="auto"/>
              </w:rPr>
            </w:pPr>
          </w:p>
        </w:tc>
      </w:tr>
      <w:tr>
        <w:trPr>
          <w:trHeight w:val="20"/>
        </w:trPr>
        <w:tc>
          <w:tcPr>
            <w:tcW w:w="50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1D2758"/>
        </w:rPr>
        <w:t>NOTE 17 - Earnings Per Share</w:t>
      </w:r>
    </w:p>
    <w:p>
      <w:pPr>
        <w:spacing w:after="0" w:line="125"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The following table reconciles the weighted average shares outstanding for the basic calculation to the weighted average shares outstanding for the diluted calculation: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80" w:type="dxa"/>
            <w:vAlign w:val="bottom"/>
            <w:shd w:val="clear" w:color="auto" w:fill="1D2758"/>
          </w:tcPr>
          <w:p>
            <w:pPr>
              <w:spacing w:after="0"/>
              <w:rPr>
                <w:sz w:val="17"/>
                <w:szCs w:val="17"/>
                <w:color w:val="auto"/>
              </w:rPr>
            </w:pPr>
          </w:p>
        </w:tc>
        <w:tc>
          <w:tcPr>
            <w:tcW w:w="2780" w:type="dxa"/>
            <w:vAlign w:val="bottom"/>
            <w:gridSpan w:val="6"/>
            <w:shd w:val="clear" w:color="auto" w:fill="1D2758"/>
          </w:tcPr>
          <w:p>
            <w:pPr>
              <w:ind w:left="20"/>
              <w:spacing w:after="0"/>
              <w:rPr>
                <w:sz w:val="20"/>
                <w:szCs w:val="20"/>
                <w:color w:val="auto"/>
              </w:rPr>
            </w:pPr>
            <w:r>
              <w:rPr>
                <w:rFonts w:ascii="Arial" w:cs="Arial" w:eastAsia="Arial" w:hAnsi="Arial"/>
                <w:sz w:val="15"/>
                <w:szCs w:val="15"/>
                <w:b w:val="1"/>
                <w:bCs w:val="1"/>
                <w:color w:val="FFFFFF"/>
              </w:rPr>
              <w:t>Three Months Ended September 30,</w:t>
            </w:r>
          </w:p>
        </w:tc>
        <w:tc>
          <w:tcPr>
            <w:tcW w:w="2680" w:type="dxa"/>
            <w:vAlign w:val="bottom"/>
            <w:gridSpan w:val="5"/>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5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280" w:type="dxa"/>
            <w:vAlign w:val="bottom"/>
          </w:tcPr>
          <w:p>
            <w:pPr>
              <w:ind w:left="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91,516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78,176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255,516</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177,323</w:t>
            </w:r>
          </w:p>
        </w:tc>
      </w:tr>
      <w:tr>
        <w:trPr>
          <w:trHeight w:val="206"/>
        </w:trPr>
        <w:tc>
          <w:tcPr>
            <w:tcW w:w="5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28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50,417</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134,613</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75,817</w:t>
            </w:r>
          </w:p>
        </w:tc>
      </w:tr>
      <w:tr>
        <w:trPr>
          <w:trHeight w:val="202"/>
        </w:trPr>
        <w:tc>
          <w:tcPr>
            <w:tcW w:w="57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91,516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128,593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390,129</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253,140</w:t>
            </w:r>
          </w:p>
        </w:tc>
      </w:tr>
      <w:tr>
        <w:trPr>
          <w:trHeight w:val="20"/>
        </w:trPr>
        <w:tc>
          <w:tcPr>
            <w:tcW w:w="57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57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196,199</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213,637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201,043</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219,312</w:t>
            </w:r>
          </w:p>
        </w:tc>
      </w:tr>
      <w:tr>
        <w:trPr>
          <w:trHeight w:val="203"/>
        </w:trPr>
        <w:tc>
          <w:tcPr>
            <w:tcW w:w="578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7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28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1,812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1,816</w:t>
            </w:r>
          </w:p>
        </w:tc>
      </w:tr>
      <w:tr>
        <w:trPr>
          <w:trHeight w:val="203"/>
        </w:trPr>
        <w:tc>
          <w:tcPr>
            <w:tcW w:w="5780" w:type="dxa"/>
            <w:vAlign w:val="bottom"/>
          </w:tcPr>
          <w:p>
            <w:pPr>
              <w:ind w:left="320"/>
              <w:spacing w:after="0"/>
              <w:rPr>
                <w:sz w:val="20"/>
                <w:szCs w:val="20"/>
                <w:color w:val="auto"/>
              </w:rPr>
            </w:pPr>
            <w:r>
              <w:rPr>
                <w:rFonts w:ascii="Arial" w:cs="Arial" w:eastAsia="Arial" w:hAnsi="Arial"/>
                <w:sz w:val="15"/>
                <w:szCs w:val="15"/>
                <w:color w:val="auto"/>
              </w:rPr>
              <w:t>RSAs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9"/>
        </w:trPr>
        <w:tc>
          <w:tcPr>
            <w:tcW w:w="57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283</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382</w:t>
            </w:r>
          </w:p>
        </w:tc>
      </w:tr>
      <w:tr>
        <w:trPr>
          <w:trHeight w:val="203"/>
        </w:trPr>
        <w:tc>
          <w:tcPr>
            <w:tcW w:w="5780" w:type="dxa"/>
            <w:vAlign w:val="bottom"/>
          </w:tcPr>
          <w:p>
            <w:pPr>
              <w:ind w:left="320"/>
              <w:spacing w:after="0"/>
              <w:rPr>
                <w:sz w:val="20"/>
                <w:szCs w:val="20"/>
                <w:color w:val="auto"/>
              </w:rPr>
            </w:pPr>
            <w:r>
              <w:rPr>
                <w:rFonts w:ascii="Arial" w:cs="Arial" w:eastAsia="Arial" w:hAnsi="Arial"/>
                <w:sz w:val="15"/>
                <w:szCs w:val="15"/>
                <w:color w:val="auto"/>
              </w:rPr>
              <w:t>Performance-based RSUs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2,138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1,279</w:t>
            </w:r>
          </w:p>
        </w:tc>
      </w:tr>
      <w:tr>
        <w:trPr>
          <w:trHeight w:val="206"/>
        </w:trPr>
        <w:tc>
          <w:tcPr>
            <w:tcW w:w="57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2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958</w:t>
            </w:r>
          </w:p>
        </w:tc>
        <w:tc>
          <w:tcPr>
            <w:tcW w:w="1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1,049</w:t>
            </w:r>
          </w:p>
        </w:tc>
        <w:tc>
          <w:tcPr>
            <w:tcW w:w="10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981</w:t>
            </w:r>
          </w:p>
        </w:tc>
        <w:tc>
          <w:tcPr>
            <w:tcW w:w="8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1,127</w:t>
            </w:r>
          </w:p>
        </w:tc>
      </w:tr>
      <w:tr>
        <w:trPr>
          <w:trHeight w:val="202"/>
        </w:trPr>
        <w:tc>
          <w:tcPr>
            <w:tcW w:w="578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199,258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217,928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204,461</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223,933</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 following amounts of common shares that the Company may be obligated to issue were excluded from the computation of dilutive EPS because their effect would have been anti-dilutive: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shd w:val="clear" w:color="auto" w:fill="1D2758"/>
          </w:tcPr>
          <w:p>
            <w:pPr>
              <w:spacing w:after="0"/>
              <w:rPr>
                <w:sz w:val="17"/>
                <w:szCs w:val="17"/>
                <w:color w:val="auto"/>
              </w:rPr>
            </w:pPr>
          </w:p>
        </w:tc>
        <w:tc>
          <w:tcPr>
            <w:tcW w:w="2760" w:type="dxa"/>
            <w:vAlign w:val="bottom"/>
            <w:gridSpan w:val="4"/>
            <w:shd w:val="clear" w:color="auto" w:fill="1D2758"/>
          </w:tcPr>
          <w:p>
            <w:pPr>
              <w:ind w:left="20"/>
              <w:spacing w:after="0"/>
              <w:rPr>
                <w:sz w:val="20"/>
                <w:szCs w:val="20"/>
                <w:color w:val="auto"/>
              </w:rPr>
            </w:pPr>
            <w:r>
              <w:rPr>
                <w:rFonts w:ascii="Arial" w:cs="Arial" w:eastAsia="Arial" w:hAnsi="Arial"/>
                <w:sz w:val="15"/>
                <w:szCs w:val="15"/>
                <w:b w:val="1"/>
                <w:bCs w:val="1"/>
                <w:color w:val="FFFFFF"/>
              </w:rPr>
              <w:t>Three Months Ended September 30,</w:t>
            </w:r>
          </w:p>
        </w:tc>
        <w:tc>
          <w:tcPr>
            <w:tcW w:w="266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58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8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Time-based RSUs</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Performance-based RSUs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788</w:t>
            </w:r>
          </w:p>
        </w:tc>
      </w:tr>
      <w:tr>
        <w:trPr>
          <w:trHeight w:val="227"/>
        </w:trPr>
        <w:tc>
          <w:tcPr>
            <w:tcW w:w="58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anti-dilutive shares</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368</w:t>
            </w: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556</w:t>
            </w: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388</w:t>
            </w: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788</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2" w:name="page33"/>
    <w:bookmarkEnd w:id="32"/>
    <w:p>
      <w:pPr>
        <w:ind w:left="1740" w:right="120" w:hanging="1855"/>
        <w:spacing w:after="0" w:line="281" w:lineRule="auto"/>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8"/>
          <w:szCs w:val="38"/>
          <w:b w:val="1"/>
          <w:bCs w:val="1"/>
          <w:color w:val="auto"/>
        </w:rPr>
        <w:t>Management’s Discussion and Analysis of Financial Condition and Results of Operations</w:t>
      </w:r>
    </w:p>
    <w:p>
      <w:pPr>
        <w:spacing w:after="0" w:line="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nine months ended September 30, 2023 or prior periods.</w:t>
      </w:r>
    </w:p>
    <w:p>
      <w:pPr>
        <w:spacing w:after="0" w:line="12"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On September 30, 2022, the Company completed the sale of its former Tank and Pump Solutions ("Tank and Pump") segment. On January 31, 2023, the Company completed the sale of its former United Kingdom ("UK") Storage Solutions segment. This MD&amp;A presents the historical financial results of the former Tank and Pump segment and the former UK Storage Solutions segment as discontinued operations for all periods presented.</w:t>
      </w:r>
    </w:p>
    <w:p>
      <w:pPr>
        <w:spacing w:after="0" w:line="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 and Outlook</w:t>
      </w:r>
    </w:p>
    <w:p>
      <w:pPr>
        <w:spacing w:after="0" w:line="11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and Mexico. As of September 30, 2023, our branch network included approximately 240 branch locations and additional drop lots to service our over 85,000 customers. We offer our customers an extensive selection of “Ready to Work” modular space and portable storage solutions with over 156,000 modular space units and over 212,000 portable storage units in our fleet.</w:t>
      </w:r>
    </w:p>
    <w:p>
      <w:pPr>
        <w:spacing w:after="0" w:line="1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reoccurring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reoccurring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units, is</w:t>
      </w:r>
    </w:p>
    <w:p>
      <w:pPr>
        <w:spacing w:after="0" w:line="1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approximately 35 months. We complement our core leasing business by selling both new and used units, allowing us to leverage scale, achieve purchasing benefits and redeploy capital employed in our lease fleet.</w:t>
      </w:r>
    </w:p>
    <w:p>
      <w:pPr>
        <w:spacing w:after="0" w:line="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We track several market leading indicators to predict demand, including those related to our two largest end markets, the commercial and industrial sector and the construction sector, which collectively accounted for approximately 86% of our revenues in the nine months ended September 30, 2023.</w:t>
      </w:r>
    </w:p>
    <w:p>
      <w:pPr>
        <w:spacing w:after="0" w:line="16"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acquisition strategy, delivering “Ready to Work” solutions to our customers with value added products and services ("VAPS"), and on continually improving the overall customer experience.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Customer Relationship Management ("CRM") System</w:t>
      </w:r>
    </w:p>
    <w:p>
      <w:pPr>
        <w:spacing w:after="0" w:line="8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February 6, 2023, we successfully completed the harmonization of our separate Modular and Storage CRM systems onto a single unified system. With this enhanced platform, we have a combined view of our customers and projects across the entire sales team. Going forward, we will focus on productivity management and building a more targeted and predictive approach to anticipate and service customer demand, with continued improvement in engagement and outreach underpinned by our data warehouse.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Divestiture</w:t>
      </w:r>
    </w:p>
    <w:p>
      <w:pPr>
        <w:spacing w:after="0" w:line="8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On January 31, 2023, we completed the sale of our former UK Storage Solutions segment for total cash consideration of $418.1 million. Proceeds from the sale were used to support ongoing reinvestment in our Modular and Storage operating segments in North America and other capital allocation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i w:val="1"/>
          <w:iCs w:val="1"/>
          <w:color w:val="1D2758"/>
        </w:rPr>
        <w:t>Reportable Segments</w:t>
      </w:r>
    </w:p>
    <w:p>
      <w:pPr>
        <w:spacing w:after="0" w:line="6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Following the divestitures of the UK Storage Solutions and Tank and Pump segments, we operate in two reporting segments: Modular Solutions ("Modular") and Storage Solutions ("Storage"). The reporting segments are aligned with how we operate and analyze our business results. 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adjustment within the Modular and Storage segments. For the twelve months ended December 31, 2022, this resulted in approximately $49.8 million of revenue and $28.5 million of gross profit being transferred from the Modular segment to the Storage segment.</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Business Combinations</w:t>
      </w:r>
    </w:p>
    <w:p>
      <w:pPr>
        <w:spacing w:after="0" w:line="6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During the three months ended September 30, 2023, we acquired a national provider of cold storage solutions and a regional modular space manufacturing and leasing business, which consisted primarily of approximately 2,200 climate-controlled containers and refrigerated storage trailers and 1,300 modular leasing units, respectively, for $332.8 million in cash, net of cash acquired.</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Asset Acquisitions</w:t>
      </w:r>
    </w:p>
    <w:p>
      <w:pPr>
        <w:spacing w:after="0" w:line="8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During the nine months ended September 30, 2023, we also acquired certain assets and liabilities of five regional and local storage and modular companies, which consisted primarily of approximately 1,800 storage units and 700 modular units, for $149.4 million in cash, net of cash acquired. The accompanying consolidated financial statements include $147.9 million of rental equipment as a result of these acquisitions.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Financing Activities</w:t>
      </w:r>
    </w:p>
    <w:p>
      <w:pPr>
        <w:spacing w:after="0" w:line="6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On September 25, 2023, Williams Scotsman, Inc. (“WSI”), a subsidiary of the Company, completed a private offering of $500.0 million in aggregate principal amount of 7.375% senior secured notes due 2031 (the "2031 Secured Notes") to qualified institutional buyers pursuant to Rule 144A. Proceeds were used to repay approximately $494.0 million of outstanding indebtedness under the ABL Facility and certain fees and expenses.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Share Repurchases</w:t>
      </w:r>
    </w:p>
    <w:p>
      <w:pPr>
        <w:spacing w:after="0" w:line="8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During the nine months ended September 30, 2023, we repurchased 15,037,843 shares of Common Stock for $674.8 million. As of September 30, 2023, $634.2 million of the approved share repurchase pool remained available. Given the predictability of our free cash flow, we believe that repurchases will be a reoccurring capital allocation priority.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Inflation</w:t>
      </w:r>
    </w:p>
    <w:p>
      <w:pPr>
        <w:spacing w:after="0" w:line="68"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Similar to many other organizations, we have faced inflationary pressures over the past several years across most of our input costs such as building materials, labor, transportation and fuel. Inflation has contributed to increased capital costs both for new units as well as for refurbishment of our existing units. However, given our scale and our strong rate performance, we believe we have been able to navigate the inflationary environment well and have consistently driven margin improvements during this period of rising costs.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Highlights</w:t>
      </w:r>
    </w:p>
    <w:p>
      <w:pPr>
        <w:spacing w:after="0" w:line="12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For the three months ended September 30, 2023, as compared to the three months ended September 30, 2022, unless otherwise noted, key drivers of our financial performance included:</w:t>
      </w:r>
    </w:p>
    <w:p>
      <w:pPr>
        <w:spacing w:after="0" w:line="19" w:lineRule="exact"/>
        <w:rPr>
          <w:sz w:val="20"/>
          <w:szCs w:val="20"/>
          <w:color w:val="auto"/>
        </w:rPr>
      </w:pPr>
    </w:p>
    <w:p>
      <w:pPr>
        <w:jc w:val="both"/>
        <w:ind w:left="620" w:hanging="307"/>
        <w:spacing w:after="0" w:line="276" w:lineRule="auto"/>
        <w:tabs>
          <w:tab w:leader="none" w:pos="609"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color w:val="auto"/>
        </w:rPr>
        <w:t>Total revenues increased $26.8 million, or 4.6%. Leasing revenue increased $39.0 million, or 9.1%, and new unit sales revenue increased $0.5 million, or 5.7%. These increases were partially offset by a delivery and installation revenue decrease of $11.4 million, or 9.0%, and rental unit sales, which decreased $1.2 million, or 9.1%.</w:t>
      </w:r>
    </w:p>
    <w:p>
      <w:pPr>
        <w:spacing w:after="0" w:line="10" w:lineRule="exact"/>
        <w:rPr>
          <w:rFonts w:ascii="Arial" w:cs="Arial" w:eastAsia="Arial" w:hAnsi="Arial"/>
          <w:sz w:val="15"/>
          <w:szCs w:val="15"/>
          <w:b w:val="1"/>
          <w:bCs w:val="1"/>
          <w:i w:val="1"/>
          <w:iCs w:val="1"/>
          <w:color w:val="auto"/>
        </w:rPr>
      </w:pPr>
    </w:p>
    <w:p>
      <w:pPr>
        <w:ind w:left="6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Key leasing revenue drivers included:</w:t>
      </w:r>
    </w:p>
    <w:p>
      <w:pPr>
        <w:spacing w:after="0" w:line="59" w:lineRule="exact"/>
        <w:rPr>
          <w:rFonts w:ascii="Arial" w:cs="Arial" w:eastAsia="Arial" w:hAnsi="Arial"/>
          <w:sz w:val="15"/>
          <w:szCs w:val="15"/>
          <w:b w:val="1"/>
          <w:bCs w:val="1"/>
          <w:i w:val="1"/>
          <w:iCs w:val="1"/>
          <w:color w:val="auto"/>
        </w:rPr>
      </w:pPr>
    </w:p>
    <w:p>
      <w:pPr>
        <w:jc w:val="both"/>
        <w:ind w:left="1240" w:hanging="309"/>
        <w:spacing w:after="0" w:line="288" w:lineRule="auto"/>
        <w:tabs>
          <w:tab w:leader="none" w:pos="1229" w:val="left"/>
        </w:tabs>
        <w:numPr>
          <w:ilvl w:val="1"/>
          <w:numId w:val="4"/>
        </w:numPr>
        <w:rPr>
          <w:rFonts w:ascii="Arial" w:cs="Arial" w:eastAsia="Arial" w:hAnsi="Arial"/>
          <w:sz w:val="15"/>
          <w:szCs w:val="15"/>
          <w:color w:val="auto"/>
        </w:rPr>
      </w:pPr>
      <w:r>
        <w:rPr>
          <w:rFonts w:ascii="Arial" w:cs="Arial" w:eastAsia="Arial" w:hAnsi="Arial"/>
          <w:sz w:val="15"/>
          <w:szCs w:val="15"/>
          <w:color w:val="auto"/>
        </w:rPr>
        <w:t>Average modular space monthly rental rate increased $149, or 15.9%, to $1,089 driven by strong pricing performance across both segments. Average modular space monthly rental rates increased by $143, or 14.3%, in the Modular segment and by $135, or 18.8%, in the Storage segment.</w:t>
      </w:r>
    </w:p>
    <w:p>
      <w:pPr>
        <w:spacing w:after="0" w:line="191" w:lineRule="exact"/>
        <w:rPr>
          <w:rFonts w:ascii="Arial" w:cs="Arial" w:eastAsia="Arial" w:hAnsi="Arial"/>
          <w:sz w:val="15"/>
          <w:szCs w:val="15"/>
          <w:color w:val="auto"/>
        </w:rPr>
      </w:pPr>
    </w:p>
    <w:p>
      <w:pPr>
        <w:ind w:left="1240" w:hanging="309"/>
        <w:spacing w:after="0" w:line="295" w:lineRule="auto"/>
        <w:tabs>
          <w:tab w:leader="none" w:pos="1229" w:val="left"/>
        </w:tabs>
        <w:numPr>
          <w:ilvl w:val="1"/>
          <w:numId w:val="4"/>
        </w:numPr>
        <w:rPr>
          <w:rFonts w:ascii="Arial" w:cs="Arial" w:eastAsia="Arial" w:hAnsi="Arial"/>
          <w:sz w:val="15"/>
          <w:szCs w:val="15"/>
          <w:color w:val="auto"/>
        </w:rPr>
      </w:pPr>
      <w:r>
        <w:rPr>
          <w:rFonts w:ascii="Arial" w:cs="Arial" w:eastAsia="Arial" w:hAnsi="Arial"/>
          <w:sz w:val="15"/>
          <w:szCs w:val="15"/>
          <w:color w:val="auto"/>
        </w:rPr>
        <w:t>Average portable storage monthly rental rate increased $49, or 24.9%, to $246 driven by increased pricing as a result of our price management tools and processes as well as due to higher rates on the acquired climate-controlled containers and refrigerated storage units.</w:t>
      </w:r>
    </w:p>
    <w:p>
      <w:pPr>
        <w:spacing w:after="0" w:line="1" w:lineRule="exact"/>
        <w:rPr>
          <w:rFonts w:ascii="Arial" w:cs="Arial" w:eastAsia="Arial" w:hAnsi="Arial"/>
          <w:sz w:val="15"/>
          <w:szCs w:val="15"/>
          <w:color w:val="auto"/>
        </w:rPr>
      </w:pPr>
    </w:p>
    <w:p>
      <w:pPr>
        <w:ind w:left="1240" w:hanging="309"/>
        <w:spacing w:after="0" w:line="270" w:lineRule="auto"/>
        <w:tabs>
          <w:tab w:leader="none" w:pos="1229" w:val="left"/>
        </w:tabs>
        <w:numPr>
          <w:ilvl w:val="1"/>
          <w:numId w:val="4"/>
        </w:numPr>
        <w:rPr>
          <w:rFonts w:ascii="Arial" w:cs="Arial" w:eastAsia="Arial" w:hAnsi="Arial"/>
          <w:sz w:val="15"/>
          <w:szCs w:val="15"/>
          <w:color w:val="auto"/>
        </w:rPr>
      </w:pPr>
      <w:r>
        <w:rPr>
          <w:rFonts w:ascii="Arial" w:cs="Arial" w:eastAsia="Arial" w:hAnsi="Arial"/>
          <w:sz w:val="15"/>
          <w:szCs w:val="15"/>
          <w:color w:val="auto"/>
        </w:rPr>
        <w:t>Average portable storage units on rent decreased 28,328 units, or 16.0%, and average modular space units on rent decreased 5,140 units, or 4.9%.</w:t>
      </w:r>
    </w:p>
    <w:p>
      <w:pPr>
        <w:spacing w:after="0" w:line="231" w:lineRule="exact"/>
        <w:rPr>
          <w:rFonts w:ascii="Arial" w:cs="Arial" w:eastAsia="Arial" w:hAnsi="Arial"/>
          <w:sz w:val="15"/>
          <w:szCs w:val="15"/>
          <w:color w:val="auto"/>
        </w:rPr>
      </w:pPr>
    </w:p>
    <w:p>
      <w:pPr>
        <w:ind w:left="1240" w:hanging="309"/>
        <w:spacing w:after="0" w:line="283" w:lineRule="auto"/>
        <w:tabs>
          <w:tab w:leader="none" w:pos="1229" w:val="left"/>
        </w:tabs>
        <w:numPr>
          <w:ilvl w:val="1"/>
          <w:numId w:val="4"/>
        </w:numPr>
        <w:rPr>
          <w:rFonts w:ascii="Arial" w:cs="Arial" w:eastAsia="Arial" w:hAnsi="Arial"/>
          <w:sz w:val="15"/>
          <w:szCs w:val="15"/>
          <w:color w:val="auto"/>
        </w:rPr>
      </w:pPr>
      <w:r>
        <w:rPr>
          <w:rFonts w:ascii="Arial" w:cs="Arial" w:eastAsia="Arial" w:hAnsi="Arial"/>
          <w:sz w:val="15"/>
          <w:szCs w:val="15"/>
          <w:color w:val="auto"/>
        </w:rPr>
        <w:t>Average utilization for portable storage units decreased to 70.0% from 88.7% for the same period in 2022 driven by decreased demand in 2023 as compared to the same period in 2022. Average utilization for modular space units decreased 450 basis points ("bps") to 64.2%.</w:t>
      </w:r>
    </w:p>
    <w:p>
      <w:pPr>
        <w:spacing w:after="0" w:line="18" w:lineRule="exact"/>
        <w:rPr>
          <w:rFonts w:ascii="Arial" w:cs="Arial" w:eastAsia="Arial" w:hAnsi="Arial"/>
          <w:sz w:val="15"/>
          <w:szCs w:val="15"/>
          <w:color w:val="auto"/>
        </w:rPr>
      </w:pPr>
    </w:p>
    <w:p>
      <w:pPr>
        <w:jc w:val="both"/>
        <w:ind w:left="620" w:hanging="307"/>
        <w:spacing w:after="0" w:line="276" w:lineRule="auto"/>
        <w:tabs>
          <w:tab w:leader="none" w:pos="609" w:val="left"/>
        </w:tabs>
        <w:numPr>
          <w:ilvl w:val="0"/>
          <w:numId w:val="4"/>
        </w:numPr>
        <w:rPr>
          <w:rFonts w:ascii="Arial" w:cs="Arial" w:eastAsia="Arial" w:hAnsi="Arial"/>
          <w:sz w:val="15"/>
          <w:szCs w:val="15"/>
          <w:b w:val="1"/>
          <w:bCs w:val="1"/>
          <w:i w:val="1"/>
          <w:iCs w:val="1"/>
          <w:color w:val="1D2758"/>
        </w:rPr>
      </w:pPr>
      <w:r>
        <w:rPr>
          <w:rFonts w:ascii="Arial" w:cs="Arial" w:eastAsia="Arial" w:hAnsi="Arial"/>
          <w:sz w:val="15"/>
          <w:szCs w:val="15"/>
          <w:color w:val="auto"/>
        </w:rPr>
        <w:t>Modular segment revenue, which represented 64.1% of consolidated revenue for the three months ended September 30, 2023, increased $25.7 million, or 7.1%, to $387.8 million. The increase was driven by our core leasing revenue, which increased $33.5 million, or 12.9%, due to continued growth of pricing and VAPS, partially offset by decreased delivery and installation revenues, which decreased $5.1 million, or 6.2%, driven by decreased activity. Rental unit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4" w:name="page35"/>
    <w:bookmarkEnd w:id="34"/>
    <w:p>
      <w:pPr>
        <w:ind w:left="307"/>
        <w:spacing w:after="0"/>
        <w:rPr>
          <w:sz w:val="20"/>
          <w:szCs w:val="20"/>
          <w:color w:val="auto"/>
        </w:rPr>
      </w:pPr>
      <w:r>
        <w:rPr>
          <w:rFonts w:ascii="Arial" w:cs="Arial" w:eastAsia="Arial" w:hAnsi="Arial"/>
          <w:sz w:val="15"/>
          <w:szCs w:val="15"/>
          <w:color w:val="auto"/>
        </w:rPr>
        <w:t>sales decreased $3.5 million, or 29.7%, and new unit sales increased $0.8 million, or 10.1%. Modular revenue drivers for the three months ended</w:t>
      </w:r>
    </w:p>
    <w:p>
      <w:pPr>
        <w:spacing w:after="0" w:line="18" w:lineRule="exact"/>
        <w:rPr>
          <w:sz w:val="20"/>
          <w:szCs w:val="20"/>
          <w:color w:val="auto"/>
        </w:rPr>
      </w:pPr>
    </w:p>
    <w:p>
      <w:pPr>
        <w:ind w:left="307"/>
        <w:spacing w:after="0"/>
        <w:rPr>
          <w:sz w:val="20"/>
          <w:szCs w:val="20"/>
          <w:color w:val="auto"/>
        </w:rPr>
      </w:pPr>
      <w:r>
        <w:rPr>
          <w:rFonts w:ascii="Arial" w:cs="Arial" w:eastAsia="Arial" w:hAnsi="Arial"/>
          <w:sz w:val="15"/>
          <w:szCs w:val="15"/>
          <w:color w:val="auto"/>
        </w:rPr>
        <w:t>September 30, 2023 included:</w:t>
      </w:r>
    </w:p>
    <w:p>
      <w:pPr>
        <w:spacing w:after="0" w:line="62" w:lineRule="exact"/>
        <w:rPr>
          <w:sz w:val="20"/>
          <w:szCs w:val="20"/>
          <w:color w:val="auto"/>
        </w:rPr>
      </w:pPr>
    </w:p>
    <w:p>
      <w:pPr>
        <w:ind w:left="927" w:hanging="309"/>
        <w:spacing w:after="0" w:line="283" w:lineRule="auto"/>
        <w:tabs>
          <w:tab w:leader="none" w:pos="917" w:val="left"/>
        </w:tabs>
        <w:numPr>
          <w:ilvl w:val="1"/>
          <w:numId w:val="5"/>
        </w:numPr>
        <w:rPr>
          <w:rFonts w:ascii="Arial" w:cs="Arial" w:eastAsia="Arial" w:hAnsi="Arial"/>
          <w:sz w:val="15"/>
          <w:szCs w:val="15"/>
          <w:color w:val="auto"/>
        </w:rPr>
      </w:pPr>
      <w:r>
        <w:rPr>
          <w:rFonts w:ascii="Arial" w:cs="Arial" w:eastAsia="Arial" w:hAnsi="Arial"/>
          <w:sz w:val="15"/>
          <w:szCs w:val="15"/>
          <w:color w:val="auto"/>
        </w:rPr>
        <w:t>Modular space average monthly rental rate of $1,142 increased 14.3% year over year representing a continuation of the long-term price optimization and VAPS penetration opportunities across our portfolio.</w:t>
      </w:r>
    </w:p>
    <w:p>
      <w:pPr>
        <w:spacing w:after="0" w:line="18" w:lineRule="exact"/>
        <w:rPr>
          <w:rFonts w:ascii="Arial" w:cs="Arial" w:eastAsia="Arial" w:hAnsi="Arial"/>
          <w:sz w:val="15"/>
          <w:szCs w:val="15"/>
          <w:color w:val="auto"/>
        </w:rPr>
      </w:pPr>
    </w:p>
    <w:p>
      <w:pPr>
        <w:ind w:left="927" w:hanging="309"/>
        <w:spacing w:after="0"/>
        <w:tabs>
          <w:tab w:leader="none" w:pos="927"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modular space units on rent decreased 1,434, or 1.7%, year over year.</w:t>
      </w:r>
    </w:p>
    <w:p>
      <w:pPr>
        <w:spacing w:after="0" w:line="59" w:lineRule="exact"/>
        <w:rPr>
          <w:rFonts w:ascii="Arial" w:cs="Arial" w:eastAsia="Arial" w:hAnsi="Arial"/>
          <w:sz w:val="15"/>
          <w:szCs w:val="15"/>
          <w:color w:val="auto"/>
        </w:rPr>
      </w:pPr>
    </w:p>
    <w:p>
      <w:pPr>
        <w:ind w:left="927" w:hanging="309"/>
        <w:spacing w:after="0" w:line="283" w:lineRule="auto"/>
        <w:tabs>
          <w:tab w:leader="none" w:pos="917"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modular space monthly utilization decreased 250 bps to 65.4% for the three months ended September 30, 2023, as compared to the three months ended September 30, 2022.</w:t>
      </w:r>
    </w:p>
    <w:p>
      <w:pPr>
        <w:spacing w:after="0" w:line="18" w:lineRule="exact"/>
        <w:rPr>
          <w:rFonts w:ascii="Arial" w:cs="Arial" w:eastAsia="Arial" w:hAnsi="Arial"/>
          <w:sz w:val="15"/>
          <w:szCs w:val="15"/>
          <w:color w:val="auto"/>
        </w:rPr>
      </w:pPr>
    </w:p>
    <w:p>
      <w:pPr>
        <w:jc w:val="both"/>
        <w:ind w:left="307" w:hanging="307"/>
        <w:spacing w:after="0" w:line="263" w:lineRule="auto"/>
        <w:tabs>
          <w:tab w:leader="none" w:pos="297" w:val="left"/>
        </w:tabs>
        <w:numPr>
          <w:ilvl w:val="0"/>
          <w:numId w:val="5"/>
        </w:numPr>
        <w:rPr>
          <w:rFonts w:ascii="Arial" w:cs="Arial" w:eastAsia="Arial" w:hAnsi="Arial"/>
          <w:sz w:val="15"/>
          <w:szCs w:val="15"/>
          <w:b w:val="1"/>
          <w:bCs w:val="1"/>
          <w:i w:val="1"/>
          <w:iCs w:val="1"/>
          <w:color w:val="1D2758"/>
        </w:rPr>
      </w:pPr>
      <w:r>
        <w:rPr>
          <w:rFonts w:ascii="Arial" w:cs="Arial" w:eastAsia="Arial" w:hAnsi="Arial"/>
          <w:sz w:val="15"/>
          <w:szCs w:val="15"/>
          <w:color w:val="auto"/>
        </w:rPr>
        <w:t>Storage segment revenue, which represented 35.9% of consolidated revenue for the three months ended September 30, 2023, increased $1.2 million, or 0.6%, to $217.1 million. The increase was driven by our core leasing revenue, which grew $5.5 million, or 3.3%, due to increased pricing and contributions from the recently acquired climate-controlled containers and refrigerated storage units, offset by lower overall units on rent. Delivery and installation revenues decreased $6.3 million, or 14.1%, driven by decreased activity. Rental unit sales increased $2.2 million, or 118.3%, and new unit sales decreased $0.2 million, or 11.8%. Storage revenue drivers for the three months ended September 30, 2023 included:</w:t>
      </w:r>
    </w:p>
    <w:p>
      <w:pPr>
        <w:spacing w:after="0" w:line="34" w:lineRule="exact"/>
        <w:rPr>
          <w:rFonts w:ascii="Arial" w:cs="Arial" w:eastAsia="Arial" w:hAnsi="Arial"/>
          <w:sz w:val="15"/>
          <w:szCs w:val="15"/>
          <w:b w:val="1"/>
          <w:bCs w:val="1"/>
          <w:i w:val="1"/>
          <w:iCs w:val="1"/>
          <w:color w:val="1D2758"/>
        </w:rPr>
      </w:pPr>
    </w:p>
    <w:p>
      <w:pPr>
        <w:jc w:val="both"/>
        <w:ind w:left="927" w:hanging="309"/>
        <w:spacing w:after="0" w:line="265" w:lineRule="auto"/>
        <w:tabs>
          <w:tab w:leader="none" w:pos="917" w:val="left"/>
        </w:tabs>
        <w:numPr>
          <w:ilvl w:val="1"/>
          <w:numId w:val="5"/>
        </w:numPr>
        <w:rPr>
          <w:rFonts w:ascii="Arial" w:cs="Arial" w:eastAsia="Arial" w:hAnsi="Arial"/>
          <w:sz w:val="15"/>
          <w:szCs w:val="15"/>
          <w:color w:val="auto"/>
        </w:rPr>
      </w:pPr>
      <w:r>
        <w:rPr>
          <w:rFonts w:ascii="Arial" w:cs="Arial" w:eastAsia="Arial" w:hAnsi="Arial"/>
          <w:sz w:val="15"/>
          <w:szCs w:val="15"/>
          <w:color w:val="auto"/>
        </w:rPr>
        <w:t>Portable storage average monthly rental rate of $246 increased 24.9% year over year as a result of our price management tools, processes and early benefits from increased VAPS penetration opportunities, as well as due to higher rates on the acquired climate-controlled containers and refrigerated storage units. Approximately 5% of the 24.9% increase was driven by acquired climate-controlled containers and refrigerated storage units. Modular space average monthly rental rate of $854 increased 18.8% year over year as a result of price optimization and increased VAPS penetration.</w:t>
      </w:r>
    </w:p>
    <w:p>
      <w:pPr>
        <w:spacing w:after="0" w:line="217" w:lineRule="exact"/>
        <w:rPr>
          <w:rFonts w:ascii="Arial" w:cs="Arial" w:eastAsia="Arial" w:hAnsi="Arial"/>
          <w:sz w:val="15"/>
          <w:szCs w:val="15"/>
          <w:color w:val="auto"/>
        </w:rPr>
      </w:pPr>
    </w:p>
    <w:p>
      <w:pPr>
        <w:jc w:val="both"/>
        <w:ind w:left="927" w:hanging="309"/>
        <w:spacing w:after="0" w:line="267" w:lineRule="auto"/>
        <w:tabs>
          <w:tab w:leader="none" w:pos="917" w:val="left"/>
        </w:tabs>
        <w:numPr>
          <w:ilvl w:val="1"/>
          <w:numId w:val="5"/>
        </w:numPr>
        <w:rPr>
          <w:rFonts w:ascii="Arial" w:cs="Arial" w:eastAsia="Arial" w:hAnsi="Arial"/>
          <w:sz w:val="15"/>
          <w:szCs w:val="15"/>
          <w:b w:val="1"/>
          <w:bCs w:val="1"/>
          <w:i w:val="1"/>
          <w:iCs w:val="1"/>
          <w:color w:val="1D2758"/>
        </w:rPr>
      </w:pPr>
      <w:r>
        <w:rPr>
          <w:rFonts w:ascii="Arial" w:cs="Arial" w:eastAsia="Arial" w:hAnsi="Arial"/>
          <w:sz w:val="15"/>
          <w:szCs w:val="15"/>
          <w:color w:val="auto"/>
        </w:rPr>
        <w:t>Average portable storage units on rent decreased 28,252, or 16.1%, year over year driven by lower demand during 2023 versus the high growth achieved in 2022 including the impact of fewer retail remodels and timing of seasonal demand versus the prior year. Average modular space units on rent decreased 3,706, or 16.8%, year over year due to lower demand.</w:t>
      </w:r>
    </w:p>
    <w:p>
      <w:pPr>
        <w:spacing w:after="0" w:line="30" w:lineRule="exact"/>
        <w:rPr>
          <w:rFonts w:ascii="Arial" w:cs="Arial" w:eastAsia="Arial" w:hAnsi="Arial"/>
          <w:sz w:val="15"/>
          <w:szCs w:val="15"/>
          <w:b w:val="1"/>
          <w:bCs w:val="1"/>
          <w:i w:val="1"/>
          <w:iCs w:val="1"/>
          <w:color w:val="1D2758"/>
        </w:rPr>
      </w:pPr>
    </w:p>
    <w:p>
      <w:pPr>
        <w:jc w:val="both"/>
        <w:ind w:left="927" w:hanging="309"/>
        <w:spacing w:after="0" w:line="276" w:lineRule="auto"/>
        <w:tabs>
          <w:tab w:leader="none" w:pos="917"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portable storage monthly utilization decreased 18.7% to 70.1% for the three months ended September 30, 2023, as compared to the three months ended September 30, 2022. Average modular space monthly utilization decreased 12.6% to 59.4% for the three months ended September 30, 2023, as compared to the three months ended September 30, 2022.</w:t>
      </w:r>
    </w:p>
    <w:p>
      <w:pPr>
        <w:spacing w:after="0" w:line="10" w:lineRule="exact"/>
        <w:rPr>
          <w:rFonts w:ascii="Arial" w:cs="Arial" w:eastAsia="Arial" w:hAnsi="Arial"/>
          <w:sz w:val="15"/>
          <w:szCs w:val="15"/>
          <w:color w:val="auto"/>
        </w:rPr>
      </w:pPr>
    </w:p>
    <w:p>
      <w:pPr>
        <w:ind w:left="307" w:hanging="307"/>
        <w:spacing w:after="0" w:line="283" w:lineRule="auto"/>
        <w:tabs>
          <w:tab w:leader="none" w:pos="297" w:val="left"/>
        </w:tabs>
        <w:numPr>
          <w:ilvl w:val="0"/>
          <w:numId w:val="5"/>
        </w:numPr>
        <w:rPr>
          <w:rFonts w:ascii="Arial" w:cs="Arial" w:eastAsia="Arial" w:hAnsi="Arial"/>
          <w:sz w:val="15"/>
          <w:szCs w:val="15"/>
          <w:color w:val="auto"/>
        </w:rPr>
      </w:pPr>
      <w:r>
        <w:rPr>
          <w:rFonts w:ascii="Arial" w:cs="Arial" w:eastAsia="Arial" w:hAnsi="Arial"/>
          <w:sz w:val="15"/>
          <w:szCs w:val="15"/>
          <w:color w:val="auto"/>
        </w:rPr>
        <w:t>Generated income from continuing operations of $91.5 million for the three months ended September 30, 2023. Discrete costs in the period included $1.6 million of integration and transaction costs.</w:t>
      </w:r>
    </w:p>
    <w:p>
      <w:pPr>
        <w:spacing w:after="0" w:line="18" w:lineRule="exact"/>
        <w:rPr>
          <w:rFonts w:ascii="Arial" w:cs="Arial" w:eastAsia="Arial" w:hAnsi="Arial"/>
          <w:sz w:val="15"/>
          <w:szCs w:val="15"/>
          <w:color w:val="auto"/>
        </w:rPr>
      </w:pPr>
    </w:p>
    <w:p>
      <w:pPr>
        <w:ind w:left="307" w:hanging="307"/>
        <w:spacing w:after="0" w:line="283" w:lineRule="auto"/>
        <w:tabs>
          <w:tab w:leader="none" w:pos="297"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color w:val="auto"/>
        </w:rPr>
        <w:t>Generated Adjusted EBITDA from continuing operations of $265.5 million for the three months ended September 30, 2023, representing an increase of $26.2 million, or 10.9%, as compared to the same period in 2022. This increase was driven primarily by increased leasing revenue.</w:t>
      </w:r>
    </w:p>
    <w:p>
      <w:pPr>
        <w:spacing w:after="0" w:line="18" w:lineRule="exact"/>
        <w:rPr>
          <w:rFonts w:ascii="Arial" w:cs="Arial" w:eastAsia="Arial" w:hAnsi="Arial"/>
          <w:sz w:val="15"/>
          <w:szCs w:val="15"/>
          <w:b w:val="1"/>
          <w:bCs w:val="1"/>
          <w:i w:val="1"/>
          <w:iCs w:val="1"/>
          <w:color w:val="auto"/>
        </w:rPr>
      </w:pPr>
    </w:p>
    <w:p>
      <w:pPr>
        <w:jc w:val="both"/>
        <w:ind w:left="927" w:hanging="309"/>
        <w:spacing w:after="0" w:line="263" w:lineRule="auto"/>
        <w:tabs>
          <w:tab w:leader="none" w:pos="917" w:val="left"/>
        </w:tabs>
        <w:numPr>
          <w:ilvl w:val="1"/>
          <w:numId w:val="5"/>
        </w:numPr>
        <w:rPr>
          <w:rFonts w:ascii="Arial" w:cs="Arial" w:eastAsia="Arial" w:hAnsi="Arial"/>
          <w:sz w:val="15"/>
          <w:szCs w:val="15"/>
          <w:b w:val="1"/>
          <w:bCs w:val="1"/>
          <w:i w:val="1"/>
          <w:iCs w:val="1"/>
          <w:color w:val="auto"/>
        </w:rPr>
      </w:pPr>
      <w:r>
        <w:rPr>
          <w:rFonts w:ascii="Arial" w:cs="Arial" w:eastAsia="Arial" w:hAnsi="Arial"/>
          <w:sz w:val="15"/>
          <w:szCs w:val="15"/>
          <w:color w:val="auto"/>
        </w:rPr>
        <w:t>Adjusted EBITDA margin from continuing operations was 43.9% in the third quarter of 2023 and increased 250 bps versus prior year driven by continued expansion of most margin lines. Most significantly, leasing margins increased 280 bps versus prior year and delivery and installation margins increased 120 bps versus prior year, both driven primarily by increased pricing. Selling, general, and administrative expenses included in Adjusted EBITDA increased as a percentage of revenue by 110 bps versus 2022, partially offsetting the increased leasing and delivery and installation margins.</w:t>
      </w:r>
    </w:p>
    <w:p>
      <w:pPr>
        <w:spacing w:after="0" w:line="47" w:lineRule="exact"/>
        <w:rPr>
          <w:rFonts w:ascii="Arial" w:cs="Arial" w:eastAsia="Arial" w:hAnsi="Arial"/>
          <w:sz w:val="15"/>
          <w:szCs w:val="15"/>
          <w:b w:val="1"/>
          <w:bCs w:val="1"/>
          <w:i w:val="1"/>
          <w:iCs w:val="1"/>
          <w:color w:val="auto"/>
        </w:rPr>
      </w:pPr>
    </w:p>
    <w:p>
      <w:pPr>
        <w:jc w:val="both"/>
        <w:ind w:left="307" w:hanging="307"/>
        <w:spacing w:after="0" w:line="259" w:lineRule="auto"/>
        <w:tabs>
          <w:tab w:leader="none" w:pos="303" w:val="left"/>
        </w:tabs>
        <w:numPr>
          <w:ilvl w:val="0"/>
          <w:numId w:val="5"/>
        </w:numPr>
        <w:rPr>
          <w:rFonts w:ascii="Arial" w:cs="Arial" w:eastAsia="Arial" w:hAnsi="Arial"/>
          <w:sz w:val="17"/>
          <w:szCs w:val="17"/>
          <w:b w:val="1"/>
          <w:bCs w:val="1"/>
          <w:i w:val="1"/>
          <w:iCs w:val="1"/>
          <w:color w:val="1D2758"/>
        </w:rPr>
      </w:pPr>
      <w:r>
        <w:rPr>
          <w:rFonts w:ascii="Arial" w:cs="Arial" w:eastAsia="Arial" w:hAnsi="Arial"/>
          <w:sz w:val="15"/>
          <w:szCs w:val="15"/>
          <w:color w:val="auto"/>
        </w:rPr>
        <w:t>Net cash provided by operating activities decreased $19.4 million to $191.0 million for the three months ended September 30, 2023 in part due to the divestitures of the Tank and Pump and UK Storage Segments. Net cash used in investing activities, excluding cash used as part of acquisitions, decreased by $83.8 million as a result of reduced refurbishment spending and decreased purchases of new fleet as a result of lower utilization.</w:t>
      </w:r>
    </w:p>
    <w:p>
      <w:pPr>
        <w:spacing w:after="0" w:line="22" w:lineRule="exact"/>
        <w:rPr>
          <w:rFonts w:ascii="Arial" w:cs="Arial" w:eastAsia="Arial" w:hAnsi="Arial"/>
          <w:sz w:val="17"/>
          <w:szCs w:val="17"/>
          <w:b w:val="1"/>
          <w:bCs w:val="1"/>
          <w:i w:val="1"/>
          <w:iCs w:val="1"/>
          <w:color w:val="1D2758"/>
        </w:rPr>
      </w:pPr>
    </w:p>
    <w:p>
      <w:pPr>
        <w:jc w:val="both"/>
        <w:ind w:left="307" w:hanging="307"/>
        <w:spacing w:after="0" w:line="276" w:lineRule="auto"/>
        <w:tabs>
          <w:tab w:leader="none" w:pos="297" w:val="left"/>
        </w:tabs>
        <w:numPr>
          <w:ilvl w:val="0"/>
          <w:numId w:val="5"/>
        </w:numPr>
        <w:rPr>
          <w:rFonts w:ascii="Arial" w:cs="Arial" w:eastAsia="Arial" w:hAnsi="Arial"/>
          <w:sz w:val="15"/>
          <w:szCs w:val="15"/>
          <w:color w:val="1D2758"/>
        </w:rPr>
      </w:pPr>
      <w:r>
        <w:rPr>
          <w:rFonts w:ascii="Arial" w:cs="Arial" w:eastAsia="Arial" w:hAnsi="Arial"/>
          <w:sz w:val="15"/>
          <w:szCs w:val="15"/>
          <w:color w:val="auto"/>
        </w:rPr>
        <w:t>Generated Free Cash Flow of $147.8 million for the three months ended September 30, 2023 representing an increase of $64.4 million as compared to the same period in 2022. This Free Cash Flow along with additional net borrowings under the ABL Facility (defined as receipts from borrowings, less repayment of borrowings from the condensed consolidated statement of cash flows), were deployed to:</w:t>
      </w:r>
    </w:p>
    <w:p>
      <w:pPr>
        <w:spacing w:after="0" w:line="10" w:lineRule="exact"/>
        <w:rPr>
          <w:rFonts w:ascii="Arial" w:cs="Arial" w:eastAsia="Arial" w:hAnsi="Arial"/>
          <w:sz w:val="15"/>
          <w:szCs w:val="15"/>
          <w:color w:val="1D2758"/>
        </w:rPr>
      </w:pPr>
    </w:p>
    <w:p>
      <w:pPr>
        <w:jc w:val="both"/>
        <w:ind w:left="927" w:hanging="309"/>
        <w:spacing w:after="0" w:line="288" w:lineRule="auto"/>
        <w:tabs>
          <w:tab w:leader="none" w:pos="917" w:val="left"/>
        </w:tabs>
        <w:numPr>
          <w:ilvl w:val="1"/>
          <w:numId w:val="5"/>
        </w:numPr>
        <w:rPr>
          <w:rFonts w:ascii="Arial" w:cs="Arial" w:eastAsia="Arial" w:hAnsi="Arial"/>
          <w:sz w:val="15"/>
          <w:szCs w:val="15"/>
          <w:b w:val="1"/>
          <w:bCs w:val="1"/>
          <w:i w:val="1"/>
          <w:iCs w:val="1"/>
          <w:color w:val="auto"/>
        </w:rPr>
      </w:pPr>
      <w:r>
        <w:rPr>
          <w:rFonts w:ascii="Arial" w:cs="Arial" w:eastAsia="Arial" w:hAnsi="Arial"/>
          <w:sz w:val="15"/>
          <w:szCs w:val="15"/>
          <w:color w:val="auto"/>
        </w:rPr>
        <w:t>Acquired national provider of cold storage solutions and a regional modular space manufacturing and leasing business, with portfolios of approximately 2,200 climate-controlled containers and refrigerated storage trailers and 1,300 modular leasing units for $332.8 million, net of cash acquired; and</w:t>
      </w:r>
    </w:p>
    <w:p>
      <w:pPr>
        <w:spacing w:after="0" w:line="204" w:lineRule="exact"/>
        <w:rPr>
          <w:rFonts w:ascii="Arial" w:cs="Arial" w:eastAsia="Arial" w:hAnsi="Arial"/>
          <w:sz w:val="15"/>
          <w:szCs w:val="15"/>
          <w:b w:val="1"/>
          <w:bCs w:val="1"/>
          <w:i w:val="1"/>
          <w:iCs w:val="1"/>
          <w:color w:val="auto"/>
        </w:rPr>
      </w:pPr>
    </w:p>
    <w:p>
      <w:pPr>
        <w:ind w:left="927" w:hanging="309"/>
        <w:spacing w:after="0"/>
        <w:tabs>
          <w:tab w:leader="none" w:pos="927" w:val="left"/>
        </w:tabs>
        <w:numPr>
          <w:ilvl w:val="1"/>
          <w:numId w:val="5"/>
        </w:numPr>
        <w:rPr>
          <w:rFonts w:ascii="Arial" w:cs="Arial" w:eastAsia="Arial" w:hAnsi="Arial"/>
          <w:sz w:val="15"/>
          <w:szCs w:val="15"/>
          <w:color w:val="auto"/>
        </w:rPr>
      </w:pPr>
      <w:r>
        <w:rPr>
          <w:rFonts w:ascii="Arial" w:cs="Arial" w:eastAsia="Arial" w:hAnsi="Arial"/>
          <w:sz w:val="15"/>
          <w:szCs w:val="15"/>
          <w:color w:val="auto"/>
        </w:rPr>
        <w:t>Returned $219.9 million to shareholders through stock repurchases, reducing outstanding Common Stock by 5,042,524 shares.</w:t>
      </w:r>
    </w:p>
    <w:p>
      <w:pPr>
        <w:spacing w:after="0" w:line="59" w:lineRule="exact"/>
        <w:rPr>
          <w:rFonts w:ascii="Arial" w:cs="Arial" w:eastAsia="Arial" w:hAnsi="Arial"/>
          <w:sz w:val="15"/>
          <w:szCs w:val="15"/>
          <w:color w:val="auto"/>
        </w:rPr>
      </w:pPr>
    </w:p>
    <w:p>
      <w:pPr>
        <w:jc w:val="both"/>
        <w:ind w:left="307" w:hanging="307"/>
        <w:spacing w:after="0" w:line="276" w:lineRule="auto"/>
        <w:tabs>
          <w:tab w:leader="none" w:pos="297"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color w:val="auto"/>
        </w:rPr>
        <w:t>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60325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60"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1D2758"/>
        </w:rPr>
        <w:t>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2023 Compared to the Three Months Ended September 30, 2022</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three months ended September 30, 2023 and 2022 are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40" w:type="dxa"/>
            <w:vAlign w:val="bottom"/>
            <w:gridSpan w:val="6"/>
            <w:shd w:val="clear" w:color="auto" w:fill="1D2758"/>
          </w:tcPr>
          <w:p>
            <w:pPr>
              <w:ind w:left="600"/>
              <w:spacing w:after="0"/>
              <w:rPr>
                <w:sz w:val="20"/>
                <w:szCs w:val="20"/>
                <w:color w:val="auto"/>
              </w:rPr>
            </w:pPr>
            <w:r>
              <w:rPr>
                <w:rFonts w:ascii="Arial" w:cs="Arial" w:eastAsia="Arial" w:hAnsi="Arial"/>
                <w:sz w:val="15"/>
                <w:szCs w:val="15"/>
                <w:b w:val="1"/>
                <w:bCs w:val="1"/>
                <w:color w:val="FFFFFF"/>
              </w:rPr>
              <w:t>Three Months Ended September 30,</w:t>
            </w:r>
          </w:p>
        </w:tc>
        <w:tc>
          <w:tcPr>
            <w:tcW w:w="260" w:type="dxa"/>
            <w:vAlign w:val="bottom"/>
            <w:shd w:val="clear" w:color="auto" w:fill="1D2758"/>
          </w:tcPr>
          <w:p>
            <w:pPr>
              <w:spacing w:after="0"/>
              <w:rPr>
                <w:sz w:val="21"/>
                <w:szCs w:val="21"/>
                <w:color w:val="auto"/>
              </w:rPr>
            </w:pPr>
          </w:p>
        </w:tc>
        <w:tc>
          <w:tcPr>
            <w:tcW w:w="1560" w:type="dxa"/>
            <w:vAlign w:val="bottom"/>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2023 vs. 2022</w:t>
            </w:r>
          </w:p>
        </w:tc>
        <w:tc>
          <w:tcPr>
            <w:tcW w:w="0" w:type="dxa"/>
            <w:vAlign w:val="bottom"/>
          </w:tcPr>
          <w:p>
            <w:pPr>
              <w:spacing w:after="0"/>
              <w:rPr>
                <w:sz w:val="1"/>
                <w:szCs w:val="1"/>
                <w:color w:val="auto"/>
              </w:rPr>
            </w:pPr>
          </w:p>
        </w:tc>
      </w:tr>
      <w:tr>
        <w:trPr>
          <w:trHeight w:val="226"/>
        </w:trPr>
        <w:tc>
          <w:tcPr>
            <w:tcW w:w="5580" w:type="dxa"/>
            <w:vAlign w:val="bottom"/>
            <w:vMerge w:val="continue"/>
            <w:shd w:val="clear" w:color="auto" w:fill="1D2758"/>
          </w:tcPr>
          <w:p>
            <w:pPr>
              <w:spacing w:after="0"/>
              <w:rPr>
                <w:sz w:val="19"/>
                <w:szCs w:val="19"/>
                <w:color w:val="auto"/>
              </w:rPr>
            </w:pP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68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420" w:type="dxa"/>
            <w:vAlign w:val="bottom"/>
            <w:shd w:val="clear" w:color="auto" w:fill="1D2758"/>
          </w:tcPr>
          <w:p>
            <w:pPr>
              <w:spacing w:after="0"/>
              <w:rPr>
                <w:sz w:val="19"/>
                <w:szCs w:val="19"/>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9"/>
                <w:szCs w:val="19"/>
                <w:color w:val="auto"/>
              </w:rPr>
            </w:pPr>
          </w:p>
        </w:tc>
        <w:tc>
          <w:tcPr>
            <w:tcW w:w="260" w:type="dxa"/>
            <w:vAlign w:val="bottom"/>
            <w:shd w:val="clear" w:color="auto" w:fill="1D2758"/>
          </w:tcPr>
          <w:p>
            <w:pPr>
              <w:spacing w:after="0"/>
              <w:rPr>
                <w:sz w:val="19"/>
                <w:szCs w:val="19"/>
                <w:color w:val="auto"/>
              </w:rPr>
            </w:pPr>
          </w:p>
        </w:tc>
        <w:tc>
          <w:tcPr>
            <w:tcW w:w="156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71"/>
        </w:trPr>
        <w:tc>
          <w:tcPr>
            <w:tcW w:w="5580" w:type="dxa"/>
            <w:vAlign w:val="bottom"/>
            <w:shd w:val="clear" w:color="auto" w:fill="1D2758"/>
          </w:tcPr>
          <w:p>
            <w:pPr>
              <w:spacing w:after="0"/>
              <w:rPr>
                <w:sz w:val="6"/>
                <w:szCs w:val="6"/>
                <w:color w:val="auto"/>
              </w:rPr>
            </w:pPr>
          </w:p>
        </w:tc>
        <w:tc>
          <w:tcPr>
            <w:tcW w:w="1140" w:type="dxa"/>
            <w:vAlign w:val="bottom"/>
            <w:vMerge w:val="continue"/>
            <w:shd w:val="clear" w:color="auto" w:fill="1D2758"/>
          </w:tcPr>
          <w:p>
            <w:pPr>
              <w:spacing w:after="0"/>
              <w:rPr>
                <w:sz w:val="6"/>
                <w:szCs w:val="6"/>
                <w:color w:val="auto"/>
              </w:rPr>
            </w:pPr>
          </w:p>
        </w:tc>
        <w:tc>
          <w:tcPr>
            <w:tcW w:w="68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420" w:type="dxa"/>
            <w:vAlign w:val="bottom"/>
            <w:shd w:val="clear" w:color="auto" w:fill="1D2758"/>
          </w:tcPr>
          <w:p>
            <w:pPr>
              <w:spacing w:after="0"/>
              <w:rPr>
                <w:sz w:val="6"/>
                <w:szCs w:val="6"/>
                <w:color w:val="auto"/>
              </w:rPr>
            </w:pPr>
          </w:p>
        </w:tc>
        <w:tc>
          <w:tcPr>
            <w:tcW w:w="1400" w:type="dxa"/>
            <w:vAlign w:val="bottom"/>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56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466,769</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427,842</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38,927</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115,598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127,016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(11,418)</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10,155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9,608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547</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12,312</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13,542</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(1,230)</w:t>
            </w:r>
          </w:p>
        </w:tc>
        <w:tc>
          <w:tcPr>
            <w:tcW w:w="0" w:type="dxa"/>
            <w:vAlign w:val="bottom"/>
          </w:tcPr>
          <w:p>
            <w:pPr>
              <w:spacing w:after="0"/>
              <w:rPr>
                <w:sz w:val="1"/>
                <w:szCs w:val="1"/>
                <w:color w:val="auto"/>
              </w:rPr>
            </w:pPr>
          </w:p>
        </w:tc>
      </w:tr>
      <w:tr>
        <w:trPr>
          <w:trHeight w:val="196"/>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604,834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578,008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26,826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104,331</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107,720</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(3,389)</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82,081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91,744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(9,663)</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6,846</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66,950</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68,015</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339,694</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297,885</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41,809</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151,983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140,116</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11,867</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17,852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15,656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2,196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160</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(8,336)</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(2,520)</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(5,816)</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178,099</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144,473</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33,626</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53,803</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38,009</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15,794</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124,296</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106,464</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17,832</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32,780</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28,288</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4,492</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1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78,176</w:t>
            </w:r>
          </w:p>
        </w:tc>
        <w:tc>
          <w:tcPr>
            <w:tcW w:w="10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13,340</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1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20,285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(20,285)</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1140" w:type="dxa"/>
            <w:vAlign w:val="bottom"/>
            <w:shd w:val="clear" w:color="auto" w:fill="DBDBDB"/>
          </w:tcPr>
          <w:p>
            <w:pPr>
              <w:spacing w:after="0"/>
              <w:rPr>
                <w:sz w:val="18"/>
                <w:szCs w:val="18"/>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34,049</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(34,049)</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3,917</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(3,917)</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14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50,417</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(50,417)</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DBDBDB"/>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91,516</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128,593</w:t>
            </w: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(37,077)</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September 30, 2023 and 2022</w:t>
      </w:r>
    </w:p>
    <w:p>
      <w:pPr>
        <w:spacing w:after="0" w:line="11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$26.8 million, or 4.6%, to $604.8 million for the three months ended September 30, 2023 from $578.0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2022. Leasing revenue increased $39.0 million, or 9.1%, as compared to the same period in 2022 driven by improved pricing and value added products penetration, partially offset by a decrease of 33,468 average total units on rent. Delivery and installation revenues decreased $11.4 million, or 9.0%, due to decreased deliveries and returns across both of our segments. Rental unit sales decreased $1.2 million, or 9.1%, and new unit sales increased $0.5 million, or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6" w:name="page37"/>
    <w:bookmarkEnd w:id="36"/>
    <w:p>
      <w:pPr>
        <w:jc w:val="both"/>
        <w:ind w:firstLine="619"/>
        <w:spacing w:after="0" w:line="262" w:lineRule="auto"/>
        <w:rPr>
          <w:sz w:val="20"/>
          <w:szCs w:val="20"/>
          <w:color w:val="auto"/>
        </w:rPr>
      </w:pPr>
      <w:r>
        <w:rPr>
          <w:rFonts w:ascii="Arial" w:cs="Arial" w:eastAsia="Arial" w:hAnsi="Arial"/>
          <w:sz w:val="15"/>
          <w:szCs w:val="15"/>
          <w:color w:val="auto"/>
        </w:rPr>
        <w:t>Total average units on rent for the three months ended September 30, 2023 and 2022 were 248,450 and 281,918, respectively, representing a decrease of 33,468, or 11.9%. Portable storage average units on rent decreased by 28,328 units, or 16.0%, for the three months ended September 30, 2023 driven by lower demand in 2023 including the impact of fewer retail remodels and timing of seasonal demand as compared to strong delivery and unit on rent growth in 2022. The average portable storage unit utilization rate during the three months ended September 30, 2023 was 70.0% as compared to 88.7% during the same period in 2022. Modular space average units on rent decreased 5,140 units, or 4.9%, for the three months ended September 30, 2023 as compared to the three months ended September 30, 2022. The average modular space unit utilization rate during the three months ended September 30, 2023 was 64.2% as compared to 68.7% during the same period in 2022.</w:t>
      </w:r>
    </w:p>
    <w:p>
      <w:pPr>
        <w:spacing w:after="0" w:line="3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Modular space average monthly rental rates increased 15.9% to $1,089 for the three months ended September 30, 2023. Average modular space monthly rental rates increased by $143, or 14.3%, to $1,142 in the Modular segment and by $135, or 18.8%, in the Storage segment. Increases were driven by a continuation of the long-term price optimization and VAPS penetration opportunities across our Modular segment as well as by application of these same price management tools and processes across the Storage segment.</w:t>
      </w:r>
    </w:p>
    <w:p>
      <w:pPr>
        <w:spacing w:after="0" w:line="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Average portable storage monthly rental rates increased 24.9% to $246 for the three months ended September 30, 2023 as a result of our price management tools, processes and early benefits from increased VAPS penetration opportunities, as well as due to higher rates on the acquired climate-controlled containers and refrigerated storage units. Approximately 5% of the 24.9% increase was driven by acquired climate-controlled containers and refrigerated storage units.</w:t>
      </w:r>
    </w:p>
    <w:p>
      <w:pPr>
        <w:spacing w:after="0" w:line="25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$41.8 million, or 14.0%, to $339.7 million for the three months ended September 30, 2023 from $297.9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2022. The increase in gross profit was a result of a $42.4 million increase in leasing gross profit and was partially offset by decreased delivery and installation gross profit of $1.8 million. Increases in leasing gross profits were primarily a result of increased revenues due to favorable average monthly rental rates including VAPS across both portable storage and modular space units, which more than offset lower unit on rent volumes. Cost of leasing and services decreased by $13.1 million, or 6.6%, for the three months ended September 30, 2023 versus the three months ended September 30, 2022, driven by a decrease in subcontractors costs of $14.0 million, or 17.4%, and materials of $4.1 million, or 12.6%. These decreased costs were partially offset by a $4.8 million, or 7.9%, increase in labor costs.</w:t>
      </w:r>
    </w:p>
    <w:p>
      <w:pPr>
        <w:spacing w:after="0" w:line="3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Cost of sales decreased by $0.9 million, or 6.9%, which is in line with decreased sales revenues of 3.0% for the three months ended September 30, 2023, resulting in improved sales gross profit margins. The year over year changes in each of these cost components was consistent with historical trends and management's expectations given the respective changes in sales volume and inflationary pressures impacting our business.</w:t>
      </w:r>
    </w:p>
    <w:p>
      <w:pPr>
        <w:spacing w:after="0" w:line="3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Increases in gross profit were also driven by decreased depreciation of $1.1 million, or 1.6%, as a result of lower capital investments made in refurbishments over the past twelve months in rental equipment, partially offset by increases driven by acquired fleet.</w:t>
      </w:r>
    </w:p>
    <w:p>
      <w:pPr>
        <w:spacing w:after="0" w:line="1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resulting gross profit percentage was 56.2% and 51.5% for the three months ended September 30, 2023 and 2022, respectively. Our gross profit percentage, excluding the effects of depreciation, was 67.2% and 63.3% for the three months ended September 30, 2023 and 2022, respectively. These increases were driven primarily by continued price optimization within leasing and execution of VAPS penetration opportunities that have outpaced increases in cost of leasing and services.</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expense ("SG&amp;A") increased $11.9 million, or 8.5%, to $152.0 million for the three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2023, compared to $140.1 million for the three months ended September 30, 2022. Service agreements and professional fees increased $6.2 million, or 37.3%, driven by increased professional fees and licensing subscription costs, as well as due to higher legal costs. Real estate and occupancy costs increased $3.0 million, or 16.2%. Stock based compensation increased $1.7 million, or 24.4%. Our provision for credit losses increased $7.2 million, or 222.9%. Employee SG&amp;A excluding stock compensation decreased $5.7 million, or 8.3%, primarily as a result of reduced variable compensation, and integration expenses declined $3.1 million, or 80.0%, during the period, partially offsetting these increases.</w:t>
      </w:r>
    </w:p>
    <w:p>
      <w:pPr>
        <w:spacing w:after="0" w:line="6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$2.2 million to $17.9 million for the three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2023 compared to $15.7 million for the three months ended September 30, 2022. The increase was driven by increased depreciation as a result of our recent investments in our CRM system and other infrastructure improvements across our branch network.</w:t>
      </w:r>
    </w:p>
    <w:p>
      <w:pPr>
        <w:spacing w:after="0" w:line="6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decreased by $0.1 million for the three months ended September 30, 2023 as compared to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2022.</w:t>
      </w:r>
    </w:p>
    <w:p>
      <w:pPr>
        <w:spacing w:after="0" w:line="4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$8.3 million for the three months ended September 30, 2023 compared to $2.5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2022. The increase in other income, net was related to an increase in the gain on sale of fixed assets related to a real estate sale transaction during the three months ended September 30, 2023.</w:t>
      </w:r>
    </w:p>
    <w:p>
      <w:pPr>
        <w:spacing w:after="0" w:line="6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$15.8 million, or 41.6%, to $53.8 million for the three months ended September 30, 2023 from $38.0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September 30, 2022. The increase in interest expense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7" w:name="page38"/>
    <w:bookmarkEnd w:id="37"/>
    <w:p>
      <w:pPr>
        <w:jc w:val="both"/>
        <w:spacing w:after="0" w:line="283" w:lineRule="auto"/>
        <w:rPr>
          <w:sz w:val="20"/>
          <w:szCs w:val="20"/>
          <w:color w:val="auto"/>
        </w:rPr>
      </w:pPr>
      <w:r>
        <w:rPr>
          <w:rFonts w:ascii="Arial" w:cs="Arial" w:eastAsia="Arial" w:hAnsi="Arial"/>
          <w:sz w:val="15"/>
          <w:szCs w:val="15"/>
          <w:color w:val="auto"/>
        </w:rPr>
        <w:t>a result of higher overall weighted average interest rates as a result of increased benchmark rates and higher outstanding debt balances. See Note 9 to the condensed consolidated financial statements for further discussion of our debt.</w:t>
      </w:r>
    </w:p>
    <w:p>
      <w:pPr>
        <w:spacing w:after="0" w:line="6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$4.5 million to $32.8 million for the three months ended September 30, 2023 compared to $28.3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2022. The increase in expense was driven by an increase in income from continuing operations before income tax for the three months ended September 30, 2023 as compared to the three months ended September 30, 2022.</w:t>
      </w:r>
    </w:p>
    <w:p>
      <w:pPr>
        <w:spacing w:after="0" w:line="4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Income from Discontinued Operations: </w:t>
      </w:r>
      <w:r>
        <w:rPr>
          <w:rFonts w:ascii="Arial" w:cs="Arial" w:eastAsia="Arial" w:hAnsi="Arial"/>
          <w:sz w:val="15"/>
          <w:szCs w:val="15"/>
          <w:color w:val="auto"/>
        </w:rPr>
        <w:t>Income from discontinued operations was related to the former UK Storage Solutions and Tank and Pump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segments, which were sold in prior periods.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2023 Compared to the Nine Months Ended September 30, 2022</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nine months ended September 30, 2023 and 2022 are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21"/>
                <w:szCs w:val="21"/>
                <w:color w:val="auto"/>
              </w:rPr>
            </w:pPr>
          </w:p>
        </w:tc>
        <w:tc>
          <w:tcPr>
            <w:tcW w:w="3500" w:type="dxa"/>
            <w:vAlign w:val="bottom"/>
            <w:gridSpan w:val="5"/>
            <w:shd w:val="clear" w:color="auto" w:fill="1D2758"/>
          </w:tcPr>
          <w:p>
            <w:pPr>
              <w:ind w:left="260"/>
              <w:spacing w:after="0"/>
              <w:rPr>
                <w:sz w:val="20"/>
                <w:szCs w:val="20"/>
                <w:color w:val="auto"/>
              </w:rPr>
            </w:pPr>
            <w:r>
              <w:rPr>
                <w:rFonts w:ascii="Arial" w:cs="Arial" w:eastAsia="Arial" w:hAnsi="Arial"/>
                <w:sz w:val="15"/>
                <w:szCs w:val="15"/>
                <w:b w:val="1"/>
                <w:bCs w:val="1"/>
                <w:color w:val="FFFFFF"/>
              </w:rPr>
              <w:t>Nine Months Ended September 30,</w:t>
            </w:r>
          </w:p>
        </w:tc>
        <w:tc>
          <w:tcPr>
            <w:tcW w:w="10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2023 vs. 2022</w:t>
            </w:r>
          </w:p>
        </w:tc>
        <w:tc>
          <w:tcPr>
            <w:tcW w:w="7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213"/>
        </w:trPr>
        <w:tc>
          <w:tcPr>
            <w:tcW w:w="558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48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7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58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48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140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060" w:type="dxa"/>
            <w:vAlign w:val="bottom"/>
            <w:shd w:val="clear" w:color="auto" w:fill="1D2758"/>
          </w:tcPr>
          <w:p>
            <w:pPr>
              <w:spacing w:after="0"/>
              <w:rPr>
                <w:sz w:val="7"/>
                <w:szCs w:val="7"/>
                <w:color w:val="auto"/>
              </w:rPr>
            </w:pPr>
          </w:p>
        </w:tc>
        <w:tc>
          <w:tcPr>
            <w:tcW w:w="7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1,356,040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1,165,787</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190,253</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334,982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323,396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11,586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29,816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25,322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4,494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31,553</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37,564</w:t>
            </w:r>
          </w:p>
        </w:tc>
        <w:tc>
          <w:tcPr>
            <w:tcW w:w="100" w:type="dxa"/>
            <w:vAlign w:val="bottom"/>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(6,011)</w:t>
            </w:r>
          </w:p>
        </w:tc>
        <w:tc>
          <w:tcPr>
            <w:tcW w:w="0" w:type="dxa"/>
            <w:vAlign w:val="bottom"/>
          </w:tcPr>
          <w:p>
            <w:pPr>
              <w:spacing w:after="0"/>
              <w:rPr>
                <w:sz w:val="1"/>
                <w:szCs w:val="1"/>
                <w:color w:val="auto"/>
              </w:rPr>
            </w:pPr>
          </w:p>
        </w:tc>
      </w:tr>
      <w:tr>
        <w:trPr>
          <w:trHeight w:val="196"/>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1,752,391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1,552,069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200,322</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300,402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276,165</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24,237</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238,437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244,861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(6,424)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16,099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14,875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1,224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16,203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20,216</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(4,013)</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190,556</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188,793</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990,694</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807,159</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183,535</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449,685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428,389</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21,296</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52,371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45,969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6,402</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6,885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6,761</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(14,533)</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(7,597)</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(6,936)</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496,286</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340,274</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156,012</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145,915</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101,732</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44,183</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350,371</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238,542</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111,829</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94,855</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61,219</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33,636</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255,516</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177,323</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78,193</w:t>
            </w:r>
          </w:p>
        </w:tc>
        <w:tc>
          <w:tcPr>
            <w:tcW w:w="0" w:type="dxa"/>
            <w:vAlign w:val="bottom"/>
          </w:tcPr>
          <w:p>
            <w:pPr>
              <w:spacing w:after="0"/>
              <w:rPr>
                <w:sz w:val="1"/>
                <w:szCs w:val="1"/>
                <w:color w:val="auto"/>
              </w:rPr>
            </w:pPr>
          </w:p>
        </w:tc>
      </w:t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34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4,003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53,212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(49,209)</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34,049</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142,029</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11,444</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34,024</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34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134,613</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75,817</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58,796</w:t>
            </w:r>
          </w:p>
        </w:tc>
        <w:tc>
          <w:tcPr>
            <w:tcW w:w="0" w:type="dxa"/>
            <w:vAlign w:val="bottom"/>
          </w:tcPr>
          <w:p>
            <w:pPr>
              <w:spacing w:after="0"/>
              <w:rPr>
                <w:sz w:val="1"/>
                <w:szCs w:val="1"/>
                <w:color w:val="auto"/>
              </w:rPr>
            </w:pPr>
          </w:p>
        </w:tc>
      </w:tr>
      <w:tr>
        <w:trPr>
          <w:trHeight w:val="228"/>
        </w:trPr>
        <w:tc>
          <w:tcPr>
            <w:tcW w:w="558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390,129</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253,140</w:t>
            </w: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136,989</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Comparison of Nine Months Ended September 30, 2023 and 2022</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$200.3 million, or 12.9%, to $1,752.4 million for the nine months ended September 30, 2023 from $1,552.1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nine months ended September 30, 2022. Leasing revenue increased $190.3 million, or 16.3%, as compared to the same period in 2022 driven by improved pricing and value added products penetration, partially offset by a decrease of 12,141 average modular space and portable storage units on rent. Delivery and installation revenues increased $11.6 million, or 3.6%, due to increased pricing across both of our segments. Rental unit sales decreased $6.0 million, or 16.0%, and new unit sales increased $4.5 million, or 17.7%.</w:t>
      </w:r>
    </w:p>
    <w:p>
      <w:pPr>
        <w:spacing w:after="0" w:line="14"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5"/>
          <w:szCs w:val="15"/>
          <w:color w:val="auto"/>
        </w:rPr>
        <w:t>Total average units on rent for the nine months ended September 30, 2023 and 2022 were 256,745 and 268,886, respectively. Modular space average units on rent decreased 3,366 units, or 3.2%, and portable storage average units on rent decreased by 8,775 units, or 5.3%, for the nine months ended September 30, 2023. The average modular space unit utilization rate during the nine months ended September 30, 2023 was 65.1% as compared to 68.6% during the same period in 2022. The average portable storage unit utilization rate during the nine months ended September 30, 2023 was 73.9%, as compared to 86.0% during the same period in 2022.</w:t>
      </w:r>
    </w:p>
    <w:p>
      <w:pPr>
        <w:spacing w:after="0" w:line="204"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Modular space average monthly rental rates increased 18.1% to $1,043 for the nine months ended September 30, 2023. Average portable storage monthly rental rates increased 25.8% to $229 for the nine months ended September 30, 2023. Increases were driven by a continuation of the long-term price optimization and VAPS penetration opportunities across our Modular segment as well as by application of these same price management tools and processes across the Storage segment and from early benefits from increased VAPS penetration opportunities on our basic VAPS offerings in the Storage segment, which began in the second quarter of 2022.</w:t>
      </w:r>
    </w:p>
    <w:p>
      <w:pPr>
        <w:spacing w:after="0" w:line="7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$183.5 million, or 22.7%, to $990.7 million for the nine months ended September 30, 2023 from $807.2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2022. The increase in gross profit is a result of a $166.0 million increase in leasing gross profit, increased delivery and installation gross profit of $18.0 million, and increased new and rental unit sale margins of $1.3 million. Increases were primarily a result of increased revenues due to favorable average monthly rental rates and delivery and installation pricing across both portable storage and modular space units, which offset lower unit on rent volumes. Cost of leasing and services increased by $17.8 million, or 3.4%, for the nine months ended September 30, 2023 versus the nine months ended September 30, 2022, driven by a $19.8 million, or 11.6%, increase in labor costs, a $4.4 million, or 5.7%, increase in material costs, and a $3.6 million, or 5.1%, increase in vehicle, equipment and other costs partially offset by a $10.0 million, or 4.9%, decrease in subcontractor costs.</w:t>
      </w:r>
    </w:p>
    <w:p>
      <w:pPr>
        <w:spacing w:after="0" w:line="3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Cost of sales decreased by $2.8 million, or 7.9%, which is in line with decreased sales revenues of 2.4% for the nine months ended September 30, 2023, resulting in improved sales gross profit margins. The year over year changes in each of these cost components was consistent with historical trends and management's expectations given the change in sales volume and inflationary pressures impacting our business.</w:t>
      </w:r>
    </w:p>
    <w:p>
      <w:pPr>
        <w:spacing w:after="0" w:line="3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Increases in gross profit were offset partially by increased depreciation of $1.8 million, or 0.9%, as a result of capital investments made over the past twelve months in rental equipment including acquired fleet.</w:t>
      </w:r>
    </w:p>
    <w:p>
      <w:pPr>
        <w:spacing w:after="0" w:line="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gross profit percentage was 56.5% and 52.0% for the nine months ended September 30, 2023 and 2022, respectively. Our gross profit percentage, excluding the effects of depreciation, was 67.4% and 64.2% for the nine months ended September 30, 2023 and 2022, respectively. These increases were driven primarily by continued price optimization within leasing and execution of VAPS penetration opportunities that have outpaced increases in cost of leasing and services.</w:t>
      </w:r>
    </w:p>
    <w:p>
      <w:pPr>
        <w:spacing w:after="0" w:line="24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expense ("SG&amp;A") increased $21.3 million, or 5.0%, to $449.7 million for the nine months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2023, compared to $428.4 million for the nine months ended September 30, 2022. Real estate and occupancy costs increased $7.3 million, or 13.0%, travel expenses increased $4.2 million, or 29.9%, due to increased travel and training, service agreements and professional fees increased $3.5 million, or 6.3%, and non-income business taxes increased $3.0 million, or 50.5%. Our provision for credit losses increased $10.3 million, or 106.0%. Stock compensation expense increased $3.6 million to $26.1 million for the nine months ended September 30, 2023, compared to $22.5 million for the nine months ended September 30, 2022. Partially offsetting these increases, integration expenses declined $6.3 million, or 47.7%, during the period and.employee SG&amp;A excluding stock compensation decreased $8.6 million, or 4.2%, primarily as a result of reduced variable compensation.</w:t>
      </w:r>
    </w:p>
    <w:p>
      <w:pPr>
        <w:spacing w:after="0" w:line="7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$6.4 million to $52.4 million for the nine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2023 compared to $46.0 million for the nine months ended September 30, 2022. The increase was driven by increased depreciation as a result of our recent investments in our CRM system and other infrastructure improvements across our branch network.</w:t>
      </w:r>
    </w:p>
    <w:p>
      <w:pPr>
        <w:spacing w:after="0" w:line="4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increased by $6.8 million to $6.9 million for the nine months ended September 30, 2023. This change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attributable to a loss on the settlement of the contingent foreign currency forward contract relating to the sale of the former UK Storage Solutions segment.</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$14.5 million for the nine months ended September 30, 2023 compared to $7.6 million for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2022. The increase in other income, net was related to an increase in the gain on sale of fixed assets related to a real estate sale transaction during the nine months ended September 30, 2023 as compared to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9" w:name="page40"/>
    <w:bookmarkEnd w:id="39"/>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$44.2 million to $145.9 million for the nine months ended September 30, 2023 from $101.7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2022. The increase in interest expense was a result of higher overall weighted average interest rates as a result of increased benchmark rates and higher outstanding debt balances. See Note 9 to the condensed consolidated financial statements for further discussion of our debt.</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$33.6 million to $94.9 million for the nine months ended September 30, 2023 compared to $61.2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2022. The increase in expense was driven by an increase in income from continuing operations before income tax for the nine months ended September 30, 2023 as compared to the nine months ended September 30, 2022.</w:t>
      </w:r>
    </w:p>
    <w:p>
      <w:pPr>
        <w:spacing w:after="0" w:line="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Income from Discontinued Operations: </w:t>
      </w:r>
      <w:r>
        <w:rPr>
          <w:rFonts w:ascii="Arial" w:cs="Arial" w:eastAsia="Arial" w:hAnsi="Arial"/>
          <w:sz w:val="15"/>
          <w:szCs w:val="15"/>
          <w:color w:val="auto"/>
        </w:rPr>
        <w:t>Income from discontinued operations increased $58.8 million to $134.6 million for the nine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2023 compared to $75.8 million for the nine months ended September 30, 2022. The increase in income from discontinued operations was driven by the gain on sale of the former UK Storage Solutions segment of $176.1 million, partially offset by an increase in income tax expense from discontinued operations as well as having no contribution from the former Tank and Pump segment in 2023.</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1D2758"/>
        </w:rPr>
        <w:t>Business Segment Results</w:t>
      </w:r>
    </w:p>
    <w:p>
      <w:pPr>
        <w:spacing w:after="0" w:line="12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operates in two reportable segments as follows: Modular and Storage. Modular represents the activities of the North American modular business, excluding ground level offices, which were transferred to the Storage segment during the first quarter of 2023. Storage represents the activities of the North American portable storage and ground level office business. As part of the transfer of the ground level offices to Storage, we also adjusted the average modular space monthly rental rate in the Storage segment to only include VAPS specifically applicable to ground level offices, which has also been reflected in the total average modular space monthly rental rate.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and discussion summarize our reportable segment financial information for the three and nine months ended September 30, 2023 and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2022.</w:t>
      </w:r>
    </w:p>
    <w:p>
      <w:pPr>
        <w:sectPr>
          <w:pgSz w:w="11900" w:h="16838" w:orient="portrait"/>
          <w:cols w:equalWidth="0" w:num="1">
            <w:col w:w="11240"/>
          </w:cols>
          <w:pgMar w:left="320" w:top="1052"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September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5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140" w:type="dxa"/>
            <w:vAlign w:val="bottom"/>
            <w:shd w:val="clear" w:color="auto" w:fill="1D2758"/>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5140" w:type="dxa"/>
            <w:vAlign w:val="bottom"/>
          </w:tcPr>
          <w:p>
            <w:pPr>
              <w:ind w:left="20"/>
              <w:spacing w:after="0"/>
              <w:rPr>
                <w:sz w:val="20"/>
                <w:szCs w:val="20"/>
                <w:color w:val="auto"/>
              </w:rPr>
            </w:pPr>
            <w:r>
              <w:rPr>
                <w:rFonts w:ascii="Arial" w:cs="Arial" w:eastAsia="Arial" w:hAnsi="Arial"/>
                <w:sz w:val="15"/>
                <w:szCs w:val="15"/>
                <w:color w:val="auto"/>
              </w:rPr>
              <w:t>Revenue</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5140" w:type="dxa"/>
            <w:vAlign w:val="bottom"/>
          </w:tcPr>
          <w:p>
            <w:pPr>
              <w:ind w:left="20"/>
              <w:spacing w:after="0"/>
              <w:rPr>
                <w:sz w:val="20"/>
                <w:szCs w:val="20"/>
                <w:color w:val="auto"/>
              </w:rPr>
            </w:pPr>
            <w:r>
              <w:rPr>
                <w:rFonts w:ascii="Arial" w:cs="Arial" w:eastAsia="Arial" w:hAnsi="Arial"/>
                <w:sz w:val="15"/>
                <w:szCs w:val="15"/>
                <w:color w:val="auto"/>
              </w:rPr>
              <w:t>Revenue</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FFFFFF"/>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-106680</wp:posOffset>
            </wp:positionV>
            <wp:extent cx="7138670" cy="3194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31940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20" w:type="dxa"/>
            <w:vAlign w:val="bottom"/>
          </w:tcPr>
          <w:p>
            <w:pPr>
              <w:jc w:val="right"/>
              <w:ind w:right="643"/>
              <w:spacing w:after="0"/>
              <w:rPr>
                <w:sz w:val="20"/>
                <w:szCs w:val="20"/>
                <w:color w:val="auto"/>
              </w:rPr>
            </w:pPr>
            <w:r>
              <w:rPr>
                <w:rFonts w:ascii="Arial" w:cs="Arial" w:eastAsia="Arial" w:hAnsi="Arial"/>
                <w:sz w:val="15"/>
                <w:szCs w:val="15"/>
                <w:b w:val="1"/>
                <w:bCs w:val="1"/>
                <w:color w:val="FFFFFF"/>
                <w:w w:val="99"/>
              </w:rPr>
              <w:t>Modular</w:t>
            </w:r>
          </w:p>
        </w:tc>
        <w:tc>
          <w:tcPr>
            <w:tcW w:w="460" w:type="dxa"/>
            <w:vAlign w:val="bottom"/>
          </w:tcPr>
          <w:p>
            <w:pPr>
              <w:spacing w:after="0"/>
              <w:rPr>
                <w:sz w:val="18"/>
                <w:szCs w:val="18"/>
                <w:color w:val="auto"/>
              </w:rPr>
            </w:pPr>
          </w:p>
        </w:tc>
        <w:tc>
          <w:tcPr>
            <w:tcW w:w="1600" w:type="dxa"/>
            <w:vAlign w:val="bottom"/>
          </w:tcPr>
          <w:p>
            <w:pPr>
              <w:jc w:val="right"/>
              <w:ind w:right="663"/>
              <w:spacing w:after="0"/>
              <w:rPr>
                <w:sz w:val="20"/>
                <w:szCs w:val="20"/>
                <w:color w:val="auto"/>
              </w:rPr>
            </w:pPr>
            <w:r>
              <w:rPr>
                <w:rFonts w:ascii="Arial" w:cs="Arial" w:eastAsia="Arial" w:hAnsi="Arial"/>
                <w:sz w:val="15"/>
                <w:szCs w:val="15"/>
                <w:b w:val="1"/>
                <w:bCs w:val="1"/>
                <w:color w:val="FFFFFF"/>
              </w:rPr>
              <w:t>Storage</w:t>
            </w:r>
          </w:p>
        </w:tc>
        <w:tc>
          <w:tcPr>
            <w:tcW w:w="680" w:type="dxa"/>
            <w:vAlign w:val="bottom"/>
          </w:tcPr>
          <w:p>
            <w:pPr>
              <w:spacing w:after="0"/>
              <w:rPr>
                <w:sz w:val="18"/>
                <w:szCs w:val="18"/>
                <w:color w:val="auto"/>
              </w:rPr>
            </w:pPr>
          </w:p>
        </w:tc>
        <w:tc>
          <w:tcPr>
            <w:tcW w:w="1320" w:type="dxa"/>
            <w:vAlign w:val="bottom"/>
          </w:tcPr>
          <w:p>
            <w:pPr>
              <w:jc w:val="right"/>
              <w:ind w:right="703"/>
              <w:spacing w:after="0"/>
              <w:rPr>
                <w:sz w:val="20"/>
                <w:szCs w:val="20"/>
                <w:color w:val="auto"/>
              </w:rPr>
            </w:pPr>
            <w:r>
              <w:rPr>
                <w:rFonts w:ascii="Arial" w:cs="Arial" w:eastAsia="Arial" w:hAnsi="Arial"/>
                <w:sz w:val="15"/>
                <w:szCs w:val="15"/>
                <w:b w:val="1"/>
                <w:bCs w:val="1"/>
                <w:color w:val="FFFFFF"/>
              </w:rPr>
              <w:t>Total</w:t>
            </w:r>
          </w:p>
        </w:tc>
      </w:tr>
      <w:tr>
        <w:trPr>
          <w:trHeight w:val="19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387,806</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217,028</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604,834</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181,179</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158,515</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339,694</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148,386</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117,094</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265,480</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51,400</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11,988</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63,388</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81,866</w:t>
            </w:r>
          </w:p>
        </w:tc>
        <w:tc>
          <w:tcPr>
            <w:tcW w:w="460" w:type="dxa"/>
            <w:vAlign w:val="bottom"/>
          </w:tcPr>
          <w:p>
            <w:pPr>
              <w:spacing w:after="0"/>
              <w:rPr>
                <w:sz w:val="17"/>
                <w:szCs w:val="17"/>
                <w:color w:val="auto"/>
              </w:rPr>
            </w:pP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18,410</w:t>
            </w:r>
          </w:p>
        </w:tc>
        <w:tc>
          <w:tcPr>
            <w:tcW w:w="68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100,276</w:t>
            </w:r>
          </w:p>
        </w:tc>
      </w:tr>
      <w:tr>
        <w:trPr>
          <w:trHeight w:val="206"/>
        </w:trPr>
        <w:tc>
          <w:tcPr>
            <w:tcW w:w="1320" w:type="dxa"/>
            <w:vAlign w:val="bottom"/>
          </w:tcPr>
          <w:p>
            <w:pPr>
              <w:jc w:val="right"/>
              <w:spacing w:after="0"/>
              <w:rPr>
                <w:sz w:val="20"/>
                <w:szCs w:val="20"/>
                <w:color w:val="auto"/>
              </w:rPr>
            </w:pPr>
            <w:r>
              <w:rPr>
                <w:rFonts w:ascii="Arial" w:cs="Arial" w:eastAsia="Arial" w:hAnsi="Arial"/>
                <w:sz w:val="15"/>
                <w:szCs w:val="15"/>
                <w:color w:val="auto"/>
              </w:rPr>
              <w:t>65.4 %</w:t>
            </w:r>
          </w:p>
        </w:tc>
        <w:tc>
          <w:tcPr>
            <w:tcW w:w="4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59.4 %</w:t>
            </w:r>
          </w:p>
        </w:tc>
        <w:tc>
          <w:tcPr>
            <w:tcW w:w="6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64.2 %</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1,142</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854</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1,089</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480</w:t>
            </w:r>
          </w:p>
        </w:tc>
        <w:tc>
          <w:tcPr>
            <w:tcW w:w="460" w:type="dxa"/>
            <w:vAlign w:val="bottom"/>
          </w:tcPr>
          <w:p>
            <w:pPr>
              <w:spacing w:after="0"/>
              <w:rPr>
                <w:sz w:val="17"/>
                <w:szCs w:val="17"/>
                <w:color w:val="auto"/>
              </w:rPr>
            </w:pP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147,694</w:t>
            </w:r>
          </w:p>
        </w:tc>
        <w:tc>
          <w:tcPr>
            <w:tcW w:w="68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148,174</w:t>
            </w:r>
          </w:p>
        </w:tc>
      </w:tr>
      <w:tr>
        <w:trPr>
          <w:trHeight w:val="206"/>
        </w:trPr>
        <w:tc>
          <w:tcPr>
            <w:tcW w:w="1320" w:type="dxa"/>
            <w:vAlign w:val="bottom"/>
          </w:tcPr>
          <w:p>
            <w:pPr>
              <w:jc w:val="right"/>
              <w:spacing w:after="0"/>
              <w:rPr>
                <w:sz w:val="20"/>
                <w:szCs w:val="20"/>
                <w:color w:val="auto"/>
              </w:rPr>
            </w:pPr>
            <w:r>
              <w:rPr>
                <w:rFonts w:ascii="Arial" w:cs="Arial" w:eastAsia="Arial" w:hAnsi="Arial"/>
                <w:sz w:val="15"/>
                <w:szCs w:val="15"/>
                <w:color w:val="auto"/>
              </w:rPr>
              <w:t>61.1 %</w:t>
            </w:r>
          </w:p>
        </w:tc>
        <w:tc>
          <w:tcPr>
            <w:tcW w:w="4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70.1 %</w:t>
            </w:r>
          </w:p>
        </w:tc>
        <w:tc>
          <w:tcPr>
            <w:tcW w:w="6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70.0 %</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258</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246</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246</w:t>
            </w:r>
          </w:p>
        </w:tc>
      </w:tr>
      <w:tr>
        <w:trPr>
          <w:trHeight w:val="428"/>
        </w:trPr>
        <w:tc>
          <w:tcPr>
            <w:tcW w:w="4060" w:type="dxa"/>
            <w:vAlign w:val="bottom"/>
            <w:gridSpan w:val="4"/>
          </w:tcPr>
          <w:p>
            <w:pPr>
              <w:jc w:val="right"/>
              <w:ind w:right="123"/>
              <w:spacing w:after="0"/>
              <w:rPr>
                <w:sz w:val="20"/>
                <w:szCs w:val="20"/>
                <w:color w:val="auto"/>
              </w:rPr>
            </w:pPr>
            <w:r>
              <w:rPr>
                <w:rFonts w:ascii="Arial" w:cs="Arial" w:eastAsia="Arial" w:hAnsi="Arial"/>
                <w:sz w:val="15"/>
                <w:szCs w:val="15"/>
                <w:b w:val="1"/>
                <w:bCs w:val="1"/>
                <w:color w:val="FFFFFF"/>
              </w:rPr>
              <w:t>Three Months Ended September 30, 2022</w:t>
            </w:r>
          </w:p>
        </w:tc>
        <w:tc>
          <w:tcPr>
            <w:tcW w:w="1320" w:type="dxa"/>
            <w:vAlign w:val="bottom"/>
          </w:tcPr>
          <w:p>
            <w:pPr>
              <w:spacing w:after="0"/>
              <w:rPr>
                <w:sz w:val="24"/>
                <w:szCs w:val="24"/>
                <w:color w:val="auto"/>
              </w:rPr>
            </w:pPr>
          </w:p>
        </w:tc>
      </w:tr>
      <w:tr>
        <w:trPr>
          <w:trHeight w:val="214"/>
        </w:trPr>
        <w:tc>
          <w:tcPr>
            <w:tcW w:w="1320" w:type="dxa"/>
            <w:vAlign w:val="bottom"/>
          </w:tcPr>
          <w:p>
            <w:pPr>
              <w:jc w:val="right"/>
              <w:ind w:right="643"/>
              <w:spacing w:after="0"/>
              <w:rPr>
                <w:sz w:val="20"/>
                <w:szCs w:val="20"/>
                <w:color w:val="auto"/>
              </w:rPr>
            </w:pPr>
            <w:r>
              <w:rPr>
                <w:rFonts w:ascii="Arial" w:cs="Arial" w:eastAsia="Arial" w:hAnsi="Arial"/>
                <w:sz w:val="15"/>
                <w:szCs w:val="15"/>
                <w:b w:val="1"/>
                <w:bCs w:val="1"/>
                <w:color w:val="FFFFFF"/>
                <w:w w:val="99"/>
              </w:rPr>
              <w:t>Modular</w:t>
            </w:r>
          </w:p>
        </w:tc>
        <w:tc>
          <w:tcPr>
            <w:tcW w:w="460" w:type="dxa"/>
            <w:vAlign w:val="bottom"/>
          </w:tcPr>
          <w:p>
            <w:pPr>
              <w:spacing w:after="0"/>
              <w:rPr>
                <w:sz w:val="18"/>
                <w:szCs w:val="18"/>
                <w:color w:val="auto"/>
              </w:rPr>
            </w:pPr>
          </w:p>
        </w:tc>
        <w:tc>
          <w:tcPr>
            <w:tcW w:w="1600" w:type="dxa"/>
            <w:vAlign w:val="bottom"/>
          </w:tcPr>
          <w:p>
            <w:pPr>
              <w:jc w:val="right"/>
              <w:ind w:right="663"/>
              <w:spacing w:after="0"/>
              <w:rPr>
                <w:sz w:val="20"/>
                <w:szCs w:val="20"/>
                <w:color w:val="auto"/>
              </w:rPr>
            </w:pPr>
            <w:r>
              <w:rPr>
                <w:rFonts w:ascii="Arial" w:cs="Arial" w:eastAsia="Arial" w:hAnsi="Arial"/>
                <w:sz w:val="15"/>
                <w:szCs w:val="15"/>
                <w:b w:val="1"/>
                <w:bCs w:val="1"/>
                <w:color w:val="FFFFFF"/>
              </w:rPr>
              <w:t>Storage</w:t>
            </w:r>
          </w:p>
        </w:tc>
        <w:tc>
          <w:tcPr>
            <w:tcW w:w="680" w:type="dxa"/>
            <w:vAlign w:val="bottom"/>
          </w:tcPr>
          <w:p>
            <w:pPr>
              <w:spacing w:after="0"/>
              <w:rPr>
                <w:sz w:val="18"/>
                <w:szCs w:val="18"/>
                <w:color w:val="auto"/>
              </w:rPr>
            </w:pPr>
          </w:p>
        </w:tc>
        <w:tc>
          <w:tcPr>
            <w:tcW w:w="1320" w:type="dxa"/>
            <w:vAlign w:val="bottom"/>
          </w:tcPr>
          <w:p>
            <w:pPr>
              <w:jc w:val="right"/>
              <w:ind w:right="703"/>
              <w:spacing w:after="0"/>
              <w:rPr>
                <w:sz w:val="20"/>
                <w:szCs w:val="20"/>
                <w:color w:val="auto"/>
              </w:rPr>
            </w:pPr>
            <w:r>
              <w:rPr>
                <w:rFonts w:ascii="Arial" w:cs="Arial" w:eastAsia="Arial" w:hAnsi="Arial"/>
                <w:sz w:val="15"/>
                <w:szCs w:val="15"/>
                <w:b w:val="1"/>
                <w:bCs w:val="1"/>
                <w:color w:val="FFFFFF"/>
              </w:rPr>
              <w:t>Total</w:t>
            </w:r>
          </w:p>
        </w:tc>
      </w:tr>
      <w:tr>
        <w:trPr>
          <w:trHeight w:val="19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362,072</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215,936</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578,008</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149,521</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148,364</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297,885</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135,246</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104,122</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239,368</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81,052</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41,246</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122,298</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83,300</w:t>
            </w:r>
          </w:p>
        </w:tc>
        <w:tc>
          <w:tcPr>
            <w:tcW w:w="460" w:type="dxa"/>
            <w:vAlign w:val="bottom"/>
          </w:tcPr>
          <w:p>
            <w:pPr>
              <w:spacing w:after="0"/>
              <w:rPr>
                <w:sz w:val="17"/>
                <w:szCs w:val="17"/>
                <w:color w:val="auto"/>
              </w:rPr>
            </w:pP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22,116</w:t>
            </w:r>
          </w:p>
        </w:tc>
        <w:tc>
          <w:tcPr>
            <w:tcW w:w="68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105,416</w:t>
            </w:r>
          </w:p>
        </w:tc>
      </w:tr>
      <w:tr>
        <w:trPr>
          <w:trHeight w:val="206"/>
        </w:trPr>
        <w:tc>
          <w:tcPr>
            <w:tcW w:w="1320" w:type="dxa"/>
            <w:vAlign w:val="bottom"/>
          </w:tcPr>
          <w:p>
            <w:pPr>
              <w:jc w:val="right"/>
              <w:spacing w:after="0"/>
              <w:rPr>
                <w:sz w:val="20"/>
                <w:szCs w:val="20"/>
                <w:color w:val="auto"/>
              </w:rPr>
            </w:pPr>
            <w:r>
              <w:rPr>
                <w:rFonts w:ascii="Arial" w:cs="Arial" w:eastAsia="Arial" w:hAnsi="Arial"/>
                <w:sz w:val="15"/>
                <w:szCs w:val="15"/>
                <w:color w:val="auto"/>
              </w:rPr>
              <w:t>67.9 %</w:t>
            </w:r>
          </w:p>
        </w:tc>
        <w:tc>
          <w:tcPr>
            <w:tcW w:w="4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72.0 %</w:t>
            </w:r>
          </w:p>
        </w:tc>
        <w:tc>
          <w:tcPr>
            <w:tcW w:w="6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68.7 %</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999</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719</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940</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556</w:t>
            </w:r>
          </w:p>
        </w:tc>
        <w:tc>
          <w:tcPr>
            <w:tcW w:w="460" w:type="dxa"/>
            <w:vAlign w:val="bottom"/>
          </w:tcPr>
          <w:p>
            <w:pPr>
              <w:spacing w:after="0"/>
              <w:rPr>
                <w:sz w:val="17"/>
                <w:szCs w:val="17"/>
                <w:color w:val="auto"/>
              </w:rPr>
            </w:pP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175,946</w:t>
            </w:r>
          </w:p>
        </w:tc>
        <w:tc>
          <w:tcPr>
            <w:tcW w:w="68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176,502</w:t>
            </w:r>
          </w:p>
        </w:tc>
      </w:tr>
      <w:tr>
        <w:trPr>
          <w:trHeight w:val="206"/>
        </w:trPr>
        <w:tc>
          <w:tcPr>
            <w:tcW w:w="1320" w:type="dxa"/>
            <w:vAlign w:val="bottom"/>
          </w:tcPr>
          <w:p>
            <w:pPr>
              <w:jc w:val="right"/>
              <w:spacing w:after="0"/>
              <w:rPr>
                <w:sz w:val="20"/>
                <w:szCs w:val="20"/>
                <w:color w:val="auto"/>
              </w:rPr>
            </w:pPr>
            <w:r>
              <w:rPr>
                <w:rFonts w:ascii="Arial" w:cs="Arial" w:eastAsia="Arial" w:hAnsi="Arial"/>
                <w:sz w:val="15"/>
                <w:szCs w:val="15"/>
                <w:color w:val="auto"/>
              </w:rPr>
              <w:t>63.1 %</w:t>
            </w:r>
          </w:p>
        </w:tc>
        <w:tc>
          <w:tcPr>
            <w:tcW w:w="4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88.8 %</w:t>
            </w:r>
          </w:p>
        </w:tc>
        <w:tc>
          <w:tcPr>
            <w:tcW w:w="6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88.7 %</w:t>
            </w:r>
          </w:p>
        </w:tc>
      </w:tr>
      <w:tr>
        <w:trPr>
          <w:trHeight w:val="206"/>
        </w:trPr>
        <w:tc>
          <w:tcPr>
            <w:tcW w:w="1320" w:type="dxa"/>
            <w:vAlign w:val="bottom"/>
          </w:tcPr>
          <w:p>
            <w:pPr>
              <w:jc w:val="right"/>
              <w:ind w:right="163"/>
              <w:spacing w:after="0"/>
              <w:rPr>
                <w:sz w:val="20"/>
                <w:szCs w:val="20"/>
                <w:color w:val="auto"/>
              </w:rPr>
            </w:pPr>
            <w:r>
              <w:rPr>
                <w:rFonts w:ascii="Arial" w:cs="Arial" w:eastAsia="Arial" w:hAnsi="Arial"/>
                <w:sz w:val="15"/>
                <w:szCs w:val="15"/>
                <w:color w:val="auto"/>
              </w:rPr>
              <w:t>227</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197</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-3016885</wp:posOffset>
            </wp:positionV>
            <wp:extent cx="7138670" cy="1308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-2754630</wp:posOffset>
            </wp:positionV>
            <wp:extent cx="7138670" cy="1308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-2492375</wp:posOffset>
            </wp:positionV>
            <wp:extent cx="7138670" cy="130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-2230755</wp:posOffset>
            </wp:positionV>
            <wp:extent cx="7138670" cy="130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-1968500</wp:posOffset>
            </wp:positionV>
            <wp:extent cx="7138670" cy="130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-1567815</wp:posOffset>
            </wp:positionV>
            <wp:extent cx="7138670" cy="393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39306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-1043940</wp:posOffset>
            </wp:positionV>
            <wp:extent cx="7138670" cy="1308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-781685</wp:posOffset>
            </wp:positionV>
            <wp:extent cx="7138670" cy="1308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-520065</wp:posOffset>
            </wp:positionV>
            <wp:extent cx="7138670" cy="1308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-257810</wp:posOffset>
            </wp:positionV>
            <wp:extent cx="7138670" cy="130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40"/>
            <w:col w:w="5400"/>
          </w:cols>
          <w:pgMar w:left="320" w:top="10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1D2758"/>
        </w:rPr>
        <w:t>Modular</w:t>
      </w:r>
    </w:p>
    <w:p>
      <w:pPr>
        <w:spacing w:after="0" w:line="1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$25.7 million, or 7.1%, to $387.8 million for the three months ended September 30, 2023 from $362.1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2022. The increase was primarily the result of a $33.5 million, or 12.9%, increase in leasing revenue, a $0.8 million, or 10.1%, increase in new unit sales. These increases were partially offset by a $5.1 million, or 6.2%, decrease in delivery and installation revenue driven by reduced activity, and a decrease of $3.5 million, or 29.7%, in rental unit sales revenue.</w:t>
      </w:r>
    </w:p>
    <w:p>
      <w:pPr>
        <w:spacing w:after="0" w:line="11"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Average modular space monthly rental rates increased 14.3% for the three months ended September 30, 2023 to $1,142 driven by the continuation of the long-term price optimization and VAPS penetration opportunities across our portfolio. Average modular space units on rent decreased by 1,434 units, or 1.7%, year over year.</w:t>
      </w:r>
    </w:p>
    <w:p>
      <w:pPr>
        <w:spacing w:after="0" w:line="23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$31.7 million, or 21.2%, to $181.2 million for the three months ended September 30, 2023 from $149.5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2022. The increase in gross profit was driven by higher leasing gross profit, which increased $28.0 million, or 15.4%, driven by improved pricing including VAPS. The increase in gross profit from leasing for the three months ended September 30, 2023 was further complemented by a $0.7 million increase in delivery and installation gross profit driven by increased pricing, and a $1.1 million increase in new unit sales gross profit partially offset by a $2.2 million decrease in rental unit sales gross profit. In addition, cost of leasing and services decreased by $0.3 million, or 0.2%, for the three months ended September 30, 2023 versus the three months ended September 30, 2022, driven by a $3.5 million, or 5.7%, decrease in subcontractor costs, and a $0.6 million, or 2.7%, decrease in material costs, partially offset by a $3.4 million, or 7.8%, increase in labor costs, and a $0.6 million, or 4.1%, increase in vehicle, equipment and other costs.</w:t>
      </w:r>
    </w:p>
    <w:p>
      <w:pPr>
        <w:spacing w:after="0" w:line="20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Cost of sales decreased by $1.5 million, or 14.7%, which is in line with the decreased sales revenues of 13.7% for three months ended September 30, 2023. The year over year changes in each of these cost components was consistent with historical trends and management's expectations given the change in sales volume and inflationary pressures impacting our business.</w:t>
      </w:r>
    </w:p>
    <w:p>
      <w:pPr>
        <w:spacing w:after="0" w:line="11"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 increase in gross profit was also partially driven by decreased depreciation of $4.1 million, or 7.0%, as a result of lower capital investments made in refurbishments over the past twelve months in rental equipment, partially offset by increases driven by acquired fleet.</w:t>
      </w:r>
    </w:p>
    <w:p>
      <w:pPr>
        <w:spacing w:after="0" w:line="3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$13.2 million, or 9.8%, to $148.4 million for the three months ended September 30, 2023 from $135.2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2022. The increase was primarily driven by higher gross profit discussed above. SG&amp;A, excluding discrete items, increased $11.3 million, or 14.8%, for the three months ended September 30, 2023, as compared to the three months ended September 30, 2022.</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decreased $29.7 million, or 36.6%, to $51.4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September 30, 2023 from $81.1 million for the three months ended September 30, 2022 driven by successful efforts to reduce our refurbishment costs through better unit selection and work scope during 2023.</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Storage</w:t>
      </w:r>
    </w:p>
    <w:p>
      <w:pPr>
        <w:spacing w:after="0" w:line="11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$1.1 million, or 0.5%, to $217.0 million for the three months ended September 30, 2023 from $215.9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2022. The increase was primarily the result of a $5.5 million, or 3.3%, increase in leasing revenue. Sales revenues increased $1.9 million, or 57.1%. These increases were partially offset by a $6.3 million, or 14.1%, decrease in delivery and installation revenue driven by lower volumes during the period. Average portable storage monthly rental rates increased 24.9% for the three months ended September 30, 2023 to $246 as a result of our price management tools, processes and early benefits from increased VAPS penetration opportunities, as well as due to higher rates on the acquired climate-controlled containers and refrigerated storage units. Approximately 5% of the 24.9% increase was driven by acquired climate-controlled containers and refrigerated storage units. Average portable storage units on rent decreased by 28,252 units, or 16.1%, year over year driven by lower demand in 2023 including the impact of fewer retail remodels and timing of seasonal demand as compared to strong delivery and unit on rent growth in 2022. Average modular space monthly rental rates increased 18.8% year-over-year driven primarily by increased pricing on new deliveries; however, average units on rent decreased 16.8% driven by lower demand.</w:t>
      </w:r>
    </w:p>
    <w:p>
      <w:pPr>
        <w:spacing w:after="0" w:line="6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$10.2 million, or 6.8%, to $158.5 million for the three months ended September 30, 2023 compared to $148.4</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for the three months ended September 30, 2022. Gross profit on leasing activity increased by $14.4 million year over year driven by increased pricing as described above. Delivery and installation gross profit decreased $2.5 million, or 13.8%, due to lower activity levels. Sales gross profit increased by $1.3 million to $2.6 million. Cost of leasing and services decreased by $12.8 million, or 22.6%, for the three months ended September 30, 2023 versus the three months ended September 30, 2022, driven by a $10.5 million, or 56.1%, decrease in subcontractor costs, a $3.5 million, or 41.2%, decrease in material costs, and a $0.3 million, or 2.9%, decrease in vehicle, equipment and other costs, partially offset by a $1.5 million, or 8.0%, increase in labor costs. Net reductions were largely driven by lower volumes during the period.</w:t>
      </w:r>
    </w:p>
    <w:p>
      <w:pPr>
        <w:spacing w:after="0" w:line="206"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Cost of sales increased by $0.7 million, or 29.1%, driven by increased sales revenues of 57.1% for three months ended September 30, 2023. The year over year changes in each of these cost components was consistent with historical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color w:val="auto"/>
        </w:rPr>
        <w:t>trends and management's expectations given the respective changes in sales volume and inflationary pressures impacting our business.</w:t>
      </w:r>
    </w:p>
    <w:p>
      <w:pPr>
        <w:spacing w:after="0" w:line="60"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These increases were offset partially by increased depreciation of $3.1 million, or 35.5%, as a result of capital investments made over the past twelve months in rental equipment including acquired fleet.</w:t>
      </w:r>
    </w:p>
    <w:p>
      <w:pPr>
        <w:spacing w:after="0" w:line="3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$13.0 million, or 12.5%, to $117.1 million for the three months ended September 30, 2023 from $104.1</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for the three months ended September 30, 2022 and the margin expanded to 53.9% from 48.2% as a result of favorable pricing on units and increased VAPS penetration. The increase in Adjusted EBITDA was driven primarily by increased leasing gross profit as described above, partially offset by increased SG&amp;A. SG&amp;A, excluding discrete items, increased $0.3 million, or 0.5%, for the three months ended September 30, 2023, as compared to the three months ended September 30, 2022.</w:t>
      </w:r>
    </w:p>
    <w:p>
      <w:pPr>
        <w:spacing w:after="0" w:line="24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$12.0 million for the three months ended September</w:t>
      </w:r>
      <w:r>
        <w:rPr>
          <w:rFonts w:ascii="Arial" w:cs="Arial" w:eastAsia="Arial" w:hAnsi="Arial"/>
          <w:sz w:val="15"/>
          <w:szCs w:val="15"/>
          <w:b w:val="1"/>
          <w:bCs w:val="1"/>
          <w:color w:val="auto"/>
        </w:rPr>
        <w:t xml:space="preserve"> </w:t>
      </w:r>
      <w:r>
        <w:rPr>
          <w:rFonts w:ascii="Arial" w:cs="Arial" w:eastAsia="Arial" w:hAnsi="Arial"/>
          <w:sz w:val="15"/>
          <w:szCs w:val="15"/>
          <w:color w:val="auto"/>
        </w:rPr>
        <w:t>30, 2023 were $29.2 million lower than the prior-year quarter driven by a reduction in new container purchases during 2023 given current utilization and the significant investments made in 2022.</w:t>
      </w:r>
    </w:p>
    <w:p>
      <w:pPr>
        <w:sectPr>
          <w:pgSz w:w="11900" w:h="16838" w:orient="portrait"/>
          <w:cols w:equalWidth="0" w:num="1">
            <w:col w:w="11240"/>
          </w:cols>
          <w:pgMar w:left="320" w:top="1060" w:right="3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7138670" cy="1308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5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140" w:type="dxa"/>
            <w:vAlign w:val="bottom"/>
            <w:shd w:val="clear" w:color="auto" w:fill="1D2758"/>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5140" w:type="dxa"/>
            <w:vAlign w:val="bottom"/>
          </w:tcPr>
          <w:p>
            <w:pPr>
              <w:ind w:left="20"/>
              <w:spacing w:after="0"/>
              <w:rPr>
                <w:sz w:val="20"/>
                <w:szCs w:val="20"/>
                <w:color w:val="auto"/>
              </w:rPr>
            </w:pPr>
            <w:r>
              <w:rPr>
                <w:rFonts w:ascii="Arial" w:cs="Arial" w:eastAsia="Arial" w:hAnsi="Arial"/>
                <w:sz w:val="15"/>
                <w:szCs w:val="15"/>
                <w:color w:val="auto"/>
              </w:rPr>
              <w:t>Revenue</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1"/>
        </w:trPr>
        <w:tc>
          <w:tcPr>
            <w:tcW w:w="5140" w:type="dxa"/>
            <w:vAlign w:val="bottom"/>
          </w:tcPr>
          <w:p>
            <w:pPr>
              <w:ind w:left="20"/>
              <w:spacing w:after="0"/>
              <w:rPr>
                <w:sz w:val="20"/>
                <w:szCs w:val="20"/>
                <w:color w:val="auto"/>
              </w:rPr>
            </w:pPr>
            <w:r>
              <w:rPr>
                <w:rFonts w:ascii="Arial" w:cs="Arial" w:eastAsia="Arial" w:hAnsi="Arial"/>
                <w:sz w:val="15"/>
                <w:szCs w:val="15"/>
                <w:color w:val="auto"/>
              </w:rPr>
              <w:t>Revenue</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399"/>
        </w:trPr>
        <w:tc>
          <w:tcPr>
            <w:tcW w:w="5140" w:type="dxa"/>
            <w:vAlign w:val="bottom"/>
          </w:tcPr>
          <w:p>
            <w:pPr>
              <w:spacing w:after="0"/>
              <w:rPr>
                <w:sz w:val="20"/>
                <w:szCs w:val="20"/>
                <w:color w:val="auto"/>
              </w:rPr>
            </w:pPr>
            <w:r>
              <w:rPr>
                <w:rFonts w:ascii="Arial" w:cs="Arial" w:eastAsia="Arial" w:hAnsi="Arial"/>
                <w:sz w:val="15"/>
                <w:szCs w:val="15"/>
                <w:b w:val="1"/>
                <w:bCs w:val="1"/>
                <w:i w:val="1"/>
                <w:iCs w:val="1"/>
                <w:color w:val="1D2758"/>
              </w:rPr>
              <w:t>Modular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-3269615</wp:posOffset>
            </wp:positionV>
            <wp:extent cx="7138670" cy="130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-3007995</wp:posOffset>
            </wp:positionV>
            <wp:extent cx="7138670" cy="1308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-2745740</wp:posOffset>
            </wp:positionV>
            <wp:extent cx="7138670" cy="1308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-2484120</wp:posOffset>
            </wp:positionV>
            <wp:extent cx="7138670" cy="1308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-2221865</wp:posOffset>
            </wp:positionV>
            <wp:extent cx="7138670" cy="130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-1820545</wp:posOffset>
            </wp:positionV>
            <wp:extent cx="7138670" cy="130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-1558925</wp:posOffset>
            </wp:positionV>
            <wp:extent cx="7138670" cy="130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-1296670</wp:posOffset>
            </wp:positionV>
            <wp:extent cx="7138670" cy="130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-1035050</wp:posOffset>
            </wp:positionV>
            <wp:extent cx="7138670" cy="130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-772795</wp:posOffset>
            </wp:positionV>
            <wp:extent cx="7138670" cy="1308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-511175</wp:posOffset>
            </wp:positionV>
            <wp:extent cx="7138670" cy="1308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FFFFFF"/>
        </w:rPr>
        <w:t>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23495</wp:posOffset>
            </wp:positionV>
            <wp:extent cx="387223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2230" cy="18859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jc w:val="right"/>
              <w:ind w:right="643"/>
              <w:spacing w:after="0"/>
              <w:rPr>
                <w:sz w:val="20"/>
                <w:szCs w:val="20"/>
                <w:color w:val="auto"/>
              </w:rPr>
            </w:pPr>
            <w:r>
              <w:rPr>
                <w:rFonts w:ascii="Arial" w:cs="Arial" w:eastAsia="Arial" w:hAnsi="Arial"/>
                <w:sz w:val="15"/>
                <w:szCs w:val="15"/>
                <w:b w:val="1"/>
                <w:bCs w:val="1"/>
                <w:color w:val="FFFFFF"/>
              </w:rPr>
              <w:t>Modular</w:t>
            </w:r>
          </w:p>
        </w:tc>
        <w:tc>
          <w:tcPr>
            <w:tcW w:w="440" w:type="dxa"/>
            <w:vAlign w:val="bottom"/>
          </w:tcPr>
          <w:p>
            <w:pPr>
              <w:spacing w:after="0"/>
              <w:rPr>
                <w:sz w:val="18"/>
                <w:szCs w:val="18"/>
                <w:color w:val="auto"/>
              </w:rPr>
            </w:pPr>
          </w:p>
        </w:tc>
        <w:tc>
          <w:tcPr>
            <w:tcW w:w="1620" w:type="dxa"/>
            <w:vAlign w:val="bottom"/>
          </w:tcPr>
          <w:p>
            <w:pPr>
              <w:jc w:val="center"/>
              <w:ind w:right="363"/>
              <w:spacing w:after="0"/>
              <w:rPr>
                <w:sz w:val="20"/>
                <w:szCs w:val="20"/>
                <w:color w:val="auto"/>
              </w:rPr>
            </w:pPr>
            <w:r>
              <w:rPr>
                <w:rFonts w:ascii="Arial" w:cs="Arial" w:eastAsia="Arial" w:hAnsi="Arial"/>
                <w:sz w:val="15"/>
                <w:szCs w:val="15"/>
                <w:b w:val="1"/>
                <w:bCs w:val="1"/>
                <w:color w:val="FFFFFF"/>
              </w:rPr>
              <w:t>Storage</w:t>
            </w:r>
          </w:p>
        </w:tc>
        <w:tc>
          <w:tcPr>
            <w:tcW w:w="640" w:type="dxa"/>
            <w:vAlign w:val="bottom"/>
          </w:tcPr>
          <w:p>
            <w:pPr>
              <w:spacing w:after="0"/>
              <w:rPr>
                <w:sz w:val="18"/>
                <w:szCs w:val="18"/>
                <w:color w:val="auto"/>
              </w:rPr>
            </w:pPr>
          </w:p>
        </w:tc>
        <w:tc>
          <w:tcPr>
            <w:tcW w:w="1360" w:type="dxa"/>
            <w:vAlign w:val="bottom"/>
          </w:tcPr>
          <w:p>
            <w:pPr>
              <w:jc w:val="right"/>
              <w:ind w:right="703"/>
              <w:spacing w:after="0"/>
              <w:rPr>
                <w:sz w:val="20"/>
                <w:szCs w:val="20"/>
                <w:color w:val="auto"/>
              </w:rPr>
            </w:pPr>
            <w:r>
              <w:rPr>
                <w:rFonts w:ascii="Arial" w:cs="Arial" w:eastAsia="Arial" w:hAnsi="Arial"/>
                <w:sz w:val="15"/>
                <w:szCs w:val="15"/>
                <w:b w:val="1"/>
                <w:bCs w:val="1"/>
                <w:color w:val="FFFFFF"/>
              </w:rPr>
              <w:t>Total</w:t>
            </w:r>
          </w:p>
        </w:tc>
      </w:tr>
      <w:tr>
        <w:trPr>
          <w:trHeight w:val="19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1,108,151</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644,240</w:t>
            </w:r>
          </w:p>
        </w:tc>
        <w:tc>
          <w:tcPr>
            <w:tcW w:w="6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1,752,391</w:t>
            </w:r>
          </w:p>
        </w:tc>
      </w:tr>
      <w:tr>
        <w:trPr>
          <w:trHeight w:val="20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519,254</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471,440</w:t>
            </w:r>
          </w:p>
        </w:tc>
        <w:tc>
          <w:tcPr>
            <w:tcW w:w="6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990,694</w:t>
            </w:r>
          </w:p>
        </w:tc>
      </w:tr>
      <w:tr>
        <w:trPr>
          <w:trHeight w:val="20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436,793</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336,870</w:t>
            </w:r>
          </w:p>
        </w:tc>
        <w:tc>
          <w:tcPr>
            <w:tcW w:w="6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773,663</w:t>
            </w:r>
          </w:p>
        </w:tc>
      </w:tr>
      <w:tr>
        <w:trPr>
          <w:trHeight w:val="20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141,183</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24,543</w:t>
            </w:r>
          </w:p>
        </w:tc>
        <w:tc>
          <w:tcPr>
            <w:tcW w:w="6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165,726</w:t>
            </w:r>
          </w:p>
        </w:tc>
      </w:tr>
      <w:tr>
        <w:trPr>
          <w:trHeight w:val="20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81,885</w:t>
            </w:r>
          </w:p>
        </w:tc>
        <w:tc>
          <w:tcPr>
            <w:tcW w:w="44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19,282</w:t>
            </w:r>
          </w:p>
        </w:tc>
        <w:tc>
          <w:tcPr>
            <w:tcW w:w="64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101,167</w:t>
            </w:r>
          </w:p>
        </w:tc>
      </w:tr>
      <w:tr>
        <w:trPr>
          <w:trHeight w:val="206"/>
        </w:trPr>
        <w:tc>
          <w:tcPr>
            <w:tcW w:w="1340" w:type="dxa"/>
            <w:vAlign w:val="bottom"/>
          </w:tcPr>
          <w:p>
            <w:pPr>
              <w:jc w:val="right"/>
              <w:spacing w:after="0"/>
              <w:rPr>
                <w:sz w:val="20"/>
                <w:szCs w:val="20"/>
                <w:color w:val="auto"/>
              </w:rPr>
            </w:pPr>
            <w:r>
              <w:rPr>
                <w:rFonts w:ascii="Arial" w:cs="Arial" w:eastAsia="Arial" w:hAnsi="Arial"/>
                <w:sz w:val="15"/>
                <w:szCs w:val="15"/>
                <w:color w:val="auto"/>
              </w:rPr>
              <w:t>65.8 %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62.3 %</w:t>
            </w:r>
          </w:p>
        </w:tc>
        <w:tc>
          <w:tcPr>
            <w:tcW w:w="6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65.1 %</w:t>
            </w:r>
          </w:p>
        </w:tc>
      </w:tr>
      <w:tr>
        <w:trPr>
          <w:trHeight w:val="20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1,096</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815</w:t>
            </w:r>
          </w:p>
        </w:tc>
        <w:tc>
          <w:tcPr>
            <w:tcW w:w="6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1,043</w:t>
            </w:r>
          </w:p>
        </w:tc>
      </w:tr>
      <w:tr>
        <w:trPr>
          <w:trHeight w:val="20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479</w:t>
            </w:r>
          </w:p>
        </w:tc>
        <w:tc>
          <w:tcPr>
            <w:tcW w:w="44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155,099</w:t>
            </w:r>
          </w:p>
        </w:tc>
        <w:tc>
          <w:tcPr>
            <w:tcW w:w="64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155,578</w:t>
            </w:r>
          </w:p>
        </w:tc>
      </w:tr>
      <w:tr>
        <w:trPr>
          <w:trHeight w:val="206"/>
        </w:trPr>
        <w:tc>
          <w:tcPr>
            <w:tcW w:w="1340" w:type="dxa"/>
            <w:vAlign w:val="bottom"/>
          </w:tcPr>
          <w:p>
            <w:pPr>
              <w:jc w:val="right"/>
              <w:spacing w:after="0"/>
              <w:rPr>
                <w:sz w:val="20"/>
                <w:szCs w:val="20"/>
                <w:color w:val="auto"/>
              </w:rPr>
            </w:pPr>
            <w:r>
              <w:rPr>
                <w:rFonts w:ascii="Arial" w:cs="Arial" w:eastAsia="Arial" w:hAnsi="Arial"/>
                <w:sz w:val="15"/>
                <w:szCs w:val="15"/>
                <w:color w:val="auto"/>
              </w:rPr>
              <w:t>60.4 %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74.0 %</w:t>
            </w:r>
          </w:p>
        </w:tc>
        <w:tc>
          <w:tcPr>
            <w:tcW w:w="6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73.9 %</w:t>
            </w:r>
          </w:p>
        </w:tc>
      </w:tr>
      <w:tr>
        <w:trPr>
          <w:trHeight w:val="206"/>
        </w:trPr>
        <w:tc>
          <w:tcPr>
            <w:tcW w:w="1340" w:type="dxa"/>
            <w:vAlign w:val="bottom"/>
          </w:tcPr>
          <w:p>
            <w:pPr>
              <w:jc w:val="right"/>
              <w:ind w:right="163"/>
              <w:spacing w:after="0"/>
              <w:rPr>
                <w:sz w:val="20"/>
                <w:szCs w:val="20"/>
                <w:color w:val="auto"/>
              </w:rPr>
            </w:pPr>
            <w:r>
              <w:rPr>
                <w:rFonts w:ascii="Arial" w:cs="Arial" w:eastAsia="Arial" w:hAnsi="Arial"/>
                <w:sz w:val="15"/>
                <w:szCs w:val="15"/>
                <w:color w:val="auto"/>
              </w:rPr>
              <w:t>232</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229</w:t>
            </w:r>
          </w:p>
        </w:tc>
        <w:tc>
          <w:tcPr>
            <w:tcW w:w="6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229</w:t>
            </w:r>
          </w:p>
        </w:tc>
      </w:tr>
      <w:tr>
        <w:trPr>
          <w:trHeight w:val="428"/>
        </w:trPr>
        <w:tc>
          <w:tcPr>
            <w:tcW w:w="4040" w:type="dxa"/>
            <w:vAlign w:val="bottom"/>
            <w:gridSpan w:val="4"/>
          </w:tcPr>
          <w:p>
            <w:pPr>
              <w:jc w:val="center"/>
              <w:ind w:left="623"/>
              <w:spacing w:after="0"/>
              <w:rPr>
                <w:sz w:val="20"/>
                <w:szCs w:val="20"/>
                <w:color w:val="auto"/>
              </w:rPr>
            </w:pPr>
            <w:r>
              <w:rPr>
                <w:rFonts w:ascii="Arial" w:cs="Arial" w:eastAsia="Arial" w:hAnsi="Arial"/>
                <w:sz w:val="15"/>
                <w:szCs w:val="15"/>
                <w:b w:val="1"/>
                <w:bCs w:val="1"/>
                <w:color w:val="FFFFFF"/>
              </w:rPr>
              <w:t>Nine Months Ended September 30, 2022</w:t>
            </w:r>
          </w:p>
        </w:tc>
        <w:tc>
          <w:tcPr>
            <w:tcW w:w="1360" w:type="dxa"/>
            <w:vAlign w:val="bottom"/>
          </w:tcPr>
          <w:p>
            <w:pPr>
              <w:spacing w:after="0"/>
              <w:rPr>
                <w:sz w:val="24"/>
                <w:szCs w:val="24"/>
                <w:color w:val="auto"/>
              </w:rPr>
            </w:pPr>
          </w:p>
        </w:tc>
      </w:tr>
      <w:tr>
        <w:trPr>
          <w:trHeight w:val="214"/>
        </w:trPr>
        <w:tc>
          <w:tcPr>
            <w:tcW w:w="1340" w:type="dxa"/>
            <w:vAlign w:val="bottom"/>
          </w:tcPr>
          <w:p>
            <w:pPr>
              <w:jc w:val="right"/>
              <w:ind w:right="663"/>
              <w:spacing w:after="0"/>
              <w:rPr>
                <w:sz w:val="20"/>
                <w:szCs w:val="20"/>
                <w:color w:val="auto"/>
              </w:rPr>
            </w:pPr>
            <w:r>
              <w:rPr>
                <w:rFonts w:ascii="Arial" w:cs="Arial" w:eastAsia="Arial" w:hAnsi="Arial"/>
                <w:sz w:val="15"/>
                <w:szCs w:val="15"/>
                <w:b w:val="1"/>
                <w:bCs w:val="1"/>
                <w:color w:val="FFFFFF"/>
                <w:w w:val="99"/>
              </w:rPr>
              <w:t>Modular</w:t>
            </w:r>
          </w:p>
        </w:tc>
        <w:tc>
          <w:tcPr>
            <w:tcW w:w="440" w:type="dxa"/>
            <w:vAlign w:val="bottom"/>
          </w:tcPr>
          <w:p>
            <w:pPr>
              <w:spacing w:after="0"/>
              <w:rPr>
                <w:sz w:val="18"/>
                <w:szCs w:val="18"/>
                <w:color w:val="auto"/>
              </w:rPr>
            </w:pPr>
          </w:p>
        </w:tc>
        <w:tc>
          <w:tcPr>
            <w:tcW w:w="1620" w:type="dxa"/>
            <w:vAlign w:val="bottom"/>
          </w:tcPr>
          <w:p>
            <w:pPr>
              <w:jc w:val="center"/>
              <w:ind w:right="363"/>
              <w:spacing w:after="0"/>
              <w:rPr>
                <w:sz w:val="20"/>
                <w:szCs w:val="20"/>
                <w:color w:val="auto"/>
              </w:rPr>
            </w:pPr>
            <w:r>
              <w:rPr>
                <w:rFonts w:ascii="Arial" w:cs="Arial" w:eastAsia="Arial" w:hAnsi="Arial"/>
                <w:sz w:val="15"/>
                <w:szCs w:val="15"/>
                <w:b w:val="1"/>
                <w:bCs w:val="1"/>
                <w:color w:val="FFFFFF"/>
              </w:rPr>
              <w:t>Storage</w:t>
            </w:r>
          </w:p>
        </w:tc>
        <w:tc>
          <w:tcPr>
            <w:tcW w:w="640" w:type="dxa"/>
            <w:vAlign w:val="bottom"/>
          </w:tcPr>
          <w:p>
            <w:pPr>
              <w:spacing w:after="0"/>
              <w:rPr>
                <w:sz w:val="18"/>
                <w:szCs w:val="18"/>
                <w:color w:val="auto"/>
              </w:rPr>
            </w:pPr>
          </w:p>
        </w:tc>
        <w:tc>
          <w:tcPr>
            <w:tcW w:w="1360" w:type="dxa"/>
            <w:vAlign w:val="bottom"/>
          </w:tcPr>
          <w:p>
            <w:pPr>
              <w:jc w:val="right"/>
              <w:ind w:right="703"/>
              <w:spacing w:after="0"/>
              <w:rPr>
                <w:sz w:val="20"/>
                <w:szCs w:val="20"/>
                <w:color w:val="auto"/>
              </w:rPr>
            </w:pPr>
            <w:r>
              <w:rPr>
                <w:rFonts w:ascii="Arial" w:cs="Arial" w:eastAsia="Arial" w:hAnsi="Arial"/>
                <w:sz w:val="15"/>
                <w:szCs w:val="15"/>
                <w:b w:val="1"/>
                <w:bCs w:val="1"/>
                <w:color w:val="FFFFFF"/>
              </w:rPr>
              <w:t>Total</w:t>
            </w:r>
          </w:p>
        </w:tc>
      </w:tr>
      <w:tr>
        <w:trPr>
          <w:trHeight w:val="19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985,873</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566,196</w:t>
            </w:r>
          </w:p>
        </w:tc>
        <w:tc>
          <w:tcPr>
            <w:tcW w:w="64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1,552,069</w:t>
            </w:r>
          </w:p>
        </w:tc>
      </w:tr>
      <w:tr>
        <w:trPr>
          <w:trHeight w:val="20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418,730</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388,429</w:t>
            </w:r>
          </w:p>
        </w:tc>
        <w:tc>
          <w:tcPr>
            <w:tcW w:w="64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807,159</w:t>
            </w:r>
          </w:p>
        </w:tc>
      </w:tr>
      <w:tr>
        <w:trPr>
          <w:trHeight w:val="20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357,656</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258,128</w:t>
            </w:r>
          </w:p>
        </w:tc>
        <w:tc>
          <w:tcPr>
            <w:tcW w:w="64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615,784</w:t>
            </w:r>
          </w:p>
        </w:tc>
      </w:tr>
      <w:tr>
        <w:trPr>
          <w:trHeight w:val="20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221,111</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95,699</w:t>
            </w:r>
          </w:p>
        </w:tc>
        <w:tc>
          <w:tcPr>
            <w:tcW w:w="64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316,810</w:t>
            </w:r>
          </w:p>
        </w:tc>
      </w:tr>
      <w:tr>
        <w:trPr>
          <w:trHeight w:val="20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82,122</w:t>
            </w:r>
          </w:p>
        </w:tc>
        <w:tc>
          <w:tcPr>
            <w:tcW w:w="44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22,411</w:t>
            </w:r>
          </w:p>
        </w:tc>
        <w:tc>
          <w:tcPr>
            <w:tcW w:w="64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104,533</w:t>
            </w:r>
          </w:p>
        </w:tc>
      </w:tr>
      <w:tr>
        <w:trPr>
          <w:trHeight w:val="206"/>
        </w:trPr>
        <w:tc>
          <w:tcPr>
            <w:tcW w:w="1340" w:type="dxa"/>
            <w:vAlign w:val="bottom"/>
          </w:tcPr>
          <w:p>
            <w:pPr>
              <w:jc w:val="right"/>
              <w:ind w:right="3"/>
              <w:spacing w:after="0"/>
              <w:rPr>
                <w:sz w:val="20"/>
                <w:szCs w:val="20"/>
                <w:color w:val="auto"/>
              </w:rPr>
            </w:pPr>
            <w:r>
              <w:rPr>
                <w:rFonts w:ascii="Arial" w:cs="Arial" w:eastAsia="Arial" w:hAnsi="Arial"/>
                <w:sz w:val="15"/>
                <w:szCs w:val="15"/>
                <w:color w:val="auto"/>
              </w:rPr>
              <w:t>67.5 %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73.2 %</w:t>
            </w:r>
          </w:p>
        </w:tc>
        <w:tc>
          <w:tcPr>
            <w:tcW w:w="6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68.6 %</w:t>
            </w:r>
          </w:p>
        </w:tc>
      </w:tr>
      <w:tr>
        <w:trPr>
          <w:trHeight w:val="20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945</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657</w:t>
            </w:r>
          </w:p>
        </w:tc>
        <w:tc>
          <w:tcPr>
            <w:tcW w:w="64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883</w:t>
            </w:r>
          </w:p>
        </w:tc>
      </w:tr>
      <w:tr>
        <w:trPr>
          <w:trHeight w:val="20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498</w:t>
            </w:r>
          </w:p>
        </w:tc>
        <w:tc>
          <w:tcPr>
            <w:tcW w:w="44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163,855</w:t>
            </w:r>
          </w:p>
        </w:tc>
        <w:tc>
          <w:tcPr>
            <w:tcW w:w="64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164,353</w:t>
            </w:r>
          </w:p>
        </w:tc>
      </w:tr>
      <w:tr>
        <w:trPr>
          <w:trHeight w:val="206"/>
        </w:trPr>
        <w:tc>
          <w:tcPr>
            <w:tcW w:w="1340" w:type="dxa"/>
            <w:vAlign w:val="bottom"/>
          </w:tcPr>
          <w:p>
            <w:pPr>
              <w:jc w:val="right"/>
              <w:ind w:right="3"/>
              <w:spacing w:after="0"/>
              <w:rPr>
                <w:sz w:val="20"/>
                <w:szCs w:val="20"/>
                <w:color w:val="auto"/>
              </w:rPr>
            </w:pPr>
            <w:r>
              <w:rPr>
                <w:rFonts w:ascii="Arial" w:cs="Arial" w:eastAsia="Arial" w:hAnsi="Arial"/>
                <w:sz w:val="15"/>
                <w:szCs w:val="15"/>
                <w:color w:val="auto"/>
              </w:rPr>
              <w:t>56.5 %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86.1 %</w:t>
            </w:r>
          </w:p>
        </w:tc>
        <w:tc>
          <w:tcPr>
            <w:tcW w:w="6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86.0 %</w:t>
            </w:r>
          </w:p>
        </w:tc>
      </w:tr>
      <w:tr>
        <w:trPr>
          <w:trHeight w:val="206"/>
        </w:trPr>
        <w:tc>
          <w:tcPr>
            <w:tcW w:w="1340" w:type="dxa"/>
            <w:vAlign w:val="bottom"/>
          </w:tcPr>
          <w:p>
            <w:pPr>
              <w:jc w:val="right"/>
              <w:ind w:right="183"/>
              <w:spacing w:after="0"/>
              <w:rPr>
                <w:sz w:val="20"/>
                <w:szCs w:val="20"/>
                <w:color w:val="auto"/>
              </w:rPr>
            </w:pPr>
            <w:r>
              <w:rPr>
                <w:rFonts w:ascii="Arial" w:cs="Arial" w:eastAsia="Arial" w:hAnsi="Arial"/>
                <w:sz w:val="15"/>
                <w:szCs w:val="15"/>
                <w:color w:val="auto"/>
              </w:rPr>
              <w:t>201</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182</w:t>
            </w:r>
          </w:p>
        </w:tc>
        <w:tc>
          <w:tcPr>
            <w:tcW w:w="64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3"/>
              <w:spacing w:after="0"/>
              <w:rPr>
                <w:sz w:val="20"/>
                <w:szCs w:val="20"/>
                <w:color w:val="auto"/>
              </w:rPr>
            </w:pPr>
            <w:r>
              <w:rPr>
                <w:rFonts w:ascii="Arial" w:cs="Arial" w:eastAsia="Arial" w:hAnsi="Arial"/>
                <w:sz w:val="15"/>
                <w:szCs w:val="15"/>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-1436370</wp:posOffset>
            </wp:positionV>
            <wp:extent cx="3880485" cy="1308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80485" cy="130810"/>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5600" w:space="220"/>
            <w:col w:w="5420"/>
          </w:cols>
          <w:pgMar w:left="320" w:top="1060" w:right="339" w:bottom="1440" w:gutter="0" w:footer="0" w:header="0"/>
          <w:type w:val="continuous"/>
        </w:sect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$122.3 million, or 12.4%, to $1,108.2 million for the nine months ended September 30, 2023 from $985.9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2022. The increase was primarily the result of a $119.0 million, or 16.4%, increase in leasing revenue and a $8.6 million, or 4.1%, increase in delivery and installation revenue. Average modular space monthly rental rates increased 16.0% year-over-year to $1,096 driven primarily by increased pricing on new deliveries. Average modular space units on rent decreased 237 units, or 0.3%. Average portable storage monthly rental rates increased 15.4% for the nine months ended September 30, 2023 to $232 driven by our price management tools, processes and early benefits from increased VAPS penetration opportunities on our basic VAPS offerings, which began in the second quarter of 2022. Average portable storage units on rent decreased 19 units, or 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42" w:name="page43"/>
    <w:bookmarkEnd w:id="42"/>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$100.6 million, or 24.0%, to $519.3 million for the nine months ended September 30, 2023 from $418.7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2022. The increase in gross profit was driven by higher leasing gross profit, which increased $89.3 million, or 17.2%, driven by improved pricing including VAPS, and by a $9.9 million increase in delivery and installation gross profit. These increases in gross profit from leasing for the nine months ended September 30, 2023 were further complemented by a $1.9 million increase in new unit sales gross profit, and slightly offset by a $3.9 million decrease in rental unit sales gross profit. Cost of leasing and services increased by $28.4 million, or 7.6%, for the nine months ended September 30, 2023 versus the nine months ended September 30, 2022, driven by a $9.3 million, or 16.2%, increase in material costs, a $14.5 million, or 12.2%, increase in labor costs, a $2.1 million, or 1.3%, increase in subcontractor costs, and a $2.5 million, or 6.2%, increase in vehicle, equipment and other costs.</w:t>
      </w:r>
    </w:p>
    <w:p>
      <w:pPr>
        <w:spacing w:after="0" w:line="3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Cost of sales decreased by $3.3 million, or 11.6%, which is in line with decreased sales revenues of 10.1% for the nine months ended September 30, 2023, resulting in improved sales gross profit margins. The year over year changes in each of these cost components was consistent with historical trends and management's expectations given the respective changes in sales volume and inflationary pressures impacting our business.</w:t>
      </w:r>
    </w:p>
    <w:p>
      <w:pPr>
        <w:spacing w:after="0" w:line="1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increase in gross profit was also partially driven by a $3.4 million decrease in depreciation of rental equipment as a result of lower capital investments made in refurbishments of rental equipment over the past twelve months, partially offset by increases driven by acquired fleet.</w:t>
      </w:r>
    </w:p>
    <w:p>
      <w:pPr>
        <w:spacing w:after="0" w:line="6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$79.1 million, or 22.1%, to $436.8 million for the nine months ended September 30, 2023 from $357.7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2022. The increase was driven by higher leasing gross profit discussed above. SG&amp;A, excluding discrete items, increased $15.5 million, or 6.6%, for the nine months ended September 30, 2023, as compared to the nine months ended September 30, 2022 driven primarily by a $3.8 million or 37.9% increase in travel costs, a $3.4 million or 8.8% increase in real estate costs, a $4.9 million or 8.0% increase in salaries, and a $4.9 million or 58.7% increase to the provision for credit losses, partially offset by a $5.6 million or 12.6% decrease in variable compensation.</w:t>
      </w:r>
    </w:p>
    <w:p>
      <w:pPr>
        <w:spacing w:after="0" w:line="7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decreased $79.9 million, or 36.1%, to $141.2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nine months ended September 30, 2023 from $221.1 million for the nine months ended September 30, 2022 driven by successful efforts to reduce our refurbishment costs through better unit selection and work scope during 2023.</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Storage</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$78.2 million, or 13.8%, to $644.3 million for the nine months ended September 30, 2023 from $566.1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nine months ended September 30, 2022. The increase was primarily the result of a $71.3 million, or 16.2%, increase in leasing revenue and a $3.1 million, or 2.7%, increase in delivery and installation revenue. Sales revenues increased $3.8 million, or 35.8%. Average portable storage monthly rental rates increased 25.8% year-over-year for the nine months ended September 30, 2023 to $229 driven by our price management tools and processes and early benefits from increased VAPS penetration opportunities on our basic VAPS offerings, which began in the second quarter of 2022. Average portable storage units on rent decreased by 8,756 units, or 5.3%, year over year driven by reduced activity in 2023 compared to 2022. Average modular space monthly rental rates increased 24.0% year-over-year for the nine months ended September 30, 2023 to $815 driven primarily by increased pricing on new deliveries; however, average units on rent decreased 14.0% driven by lower demand.</w:t>
      </w:r>
    </w:p>
    <w:p>
      <w:pPr>
        <w:spacing w:after="0" w:line="25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$83.0 million, or 21.4%, to $471.4 million for the nine months ended September 30, 2023 compared to $388.4</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for the nine months ended September 30, 2022. Gross profit on leasing activity increased by $76.7 million year over year, or 20.8%, driven by increased pricing as described above. Delivery and installation gross profit increased $8.3 million, or 20.6%, driven by increased pricing. Sales gross profit increased by $3.3 million to $7.0 million.</w:t>
      </w:r>
    </w:p>
    <w:p>
      <w:pPr>
        <w:spacing w:after="0" w:line="19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Cost of leasing and services decreased by $10.6 million, or 7.3%, for the nine months ended September 30, 2023 as compared to the nine months ended September 30, 2022, driven by a $4.9 million, or 24.7%, decrease in material costs and a $12.2 million, or 28.0%, decrease in subcontractor costs, partially offset by a $5.3 million, or 10.1%, increase in labor costs and a $1.1 million, or 3.8%, increase in vehicle, equipment and other costs. Cost of sales increased only moderately by $0.4 million, or 6.5%, as sales revenues increased $3.8 million, or 35.5%, driving improved sales gross profit margins for the nine months ended September 30, 2023. The year over year changes in each of these cost components was consistent with historical trends and management's expectations given the respective changes in sales volume and inflationary pressures impacting our business.</w:t>
      </w:r>
    </w:p>
    <w:p>
      <w:pPr>
        <w:spacing w:after="0" w:line="22"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These increases were partially offset by increased depreciation of $5.2 million, or 20.8%, as a result of capital investments made over the past twelve months in rental equipment including acquired fleet.</w:t>
      </w:r>
    </w:p>
    <w:p>
      <w:pPr>
        <w:spacing w:after="0" w:line="3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$78.8 million, or 30.5%, to $336.9 million for the nine months ended September 30, 2023 from $258.1</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for the nine months ended September 30, 2022. The increase in Adjusted EBITDA was driven primarily by increased leasing gross profit as described above, partially offset by increased SG&amp;A. SG&amp;A, excluding discrete items, increased $8.3 million, or 5.3%, for the nine months ended September 30, 2023, as compared to the nine months ended September 30, 2022 driven primarily by a $3.8 million, or 22.9% increase in real estate costs, $3.1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3" w:name="page44"/>
    <w:bookmarkEnd w:id="43"/>
    <w:p>
      <w:pPr>
        <w:jc w:val="both"/>
        <w:spacing w:after="0" w:line="283" w:lineRule="auto"/>
        <w:rPr>
          <w:sz w:val="20"/>
          <w:szCs w:val="20"/>
          <w:color w:val="auto"/>
        </w:rPr>
      </w:pPr>
      <w:r>
        <w:rPr>
          <w:rFonts w:ascii="Arial" w:cs="Arial" w:eastAsia="Arial" w:hAnsi="Arial"/>
          <w:sz w:val="15"/>
          <w:szCs w:val="15"/>
          <w:color w:val="auto"/>
        </w:rPr>
        <w:t>or 6.8%, increase in salaries, and a $5.4 million, or 397.5%, increase to the provision for credit losses, partially offset by a $11.7 million or 35.0% decrease in variable compensation.</w:t>
      </w:r>
    </w:p>
    <w:p>
      <w:pPr>
        <w:spacing w:after="0" w:line="6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$24.5 million for the nine months ended September</w:t>
      </w:r>
      <w:r>
        <w:rPr>
          <w:rFonts w:ascii="Arial" w:cs="Arial" w:eastAsia="Arial" w:hAnsi="Arial"/>
          <w:sz w:val="15"/>
          <w:szCs w:val="15"/>
          <w:b w:val="1"/>
          <w:bCs w:val="1"/>
          <w:color w:val="auto"/>
        </w:rPr>
        <w:t xml:space="preserve"> </w:t>
      </w:r>
      <w:r>
        <w:rPr>
          <w:rFonts w:ascii="Arial" w:cs="Arial" w:eastAsia="Arial" w:hAnsi="Arial"/>
          <w:sz w:val="15"/>
          <w:szCs w:val="15"/>
          <w:color w:val="auto"/>
        </w:rPr>
        <w:t>30, 2023 were $71.2 million lower than the prior-year period driven by a reduction in new container purchases during 2023 given current utilization and the significant investments made in 2022.</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1D2758"/>
        </w:rPr>
        <w:t>Other Non-GAAP Financial Data and Reconciliations</w:t>
      </w:r>
    </w:p>
    <w:p>
      <w:pPr>
        <w:spacing w:after="0" w:line="12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33"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16" w:lineRule="exact"/>
        <w:rPr>
          <w:sz w:val="20"/>
          <w:szCs w:val="20"/>
          <w:color w:val="auto"/>
        </w:rPr>
      </w:pPr>
    </w:p>
    <w:p>
      <w:pPr>
        <w:ind w:left="1240" w:hanging="309"/>
        <w:spacing w:after="0"/>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5"/>
          <w:szCs w:val="15"/>
          <w:color w:val="auto"/>
        </w:rPr>
      </w:pPr>
    </w:p>
    <w:p>
      <w:pPr>
        <w:ind w:left="1240" w:hanging="309"/>
        <w:spacing w:after="0" w:line="283" w:lineRule="auto"/>
        <w:tabs>
          <w:tab w:leader="none" w:pos="1229" w:val="left"/>
        </w:tabs>
        <w:numPr>
          <w:ilvl w:val="0"/>
          <w:numId w:val="6"/>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5"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6"/>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72" w:lineRule="exact"/>
        <w:rPr>
          <w:rFonts w:ascii="Arial" w:cs="Arial" w:eastAsia="Arial" w:hAnsi="Arial"/>
          <w:sz w:val="15"/>
          <w:szCs w:val="15"/>
          <w:color w:val="auto"/>
        </w:rPr>
      </w:pPr>
    </w:p>
    <w:p>
      <w:pPr>
        <w:ind w:left="1240" w:hanging="309"/>
        <w:spacing w:after="0" w:line="283" w:lineRule="auto"/>
        <w:tabs>
          <w:tab w:leader="none" w:pos="1229" w:val="left"/>
        </w:tabs>
        <w:numPr>
          <w:ilvl w:val="0"/>
          <w:numId w:val="6"/>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5" w:lineRule="exact"/>
        <w:rPr>
          <w:rFonts w:ascii="Arial" w:cs="Arial" w:eastAsia="Arial" w:hAnsi="Arial"/>
          <w:sz w:val="15"/>
          <w:szCs w:val="15"/>
          <w:color w:val="auto"/>
        </w:rPr>
      </w:pPr>
    </w:p>
    <w:p>
      <w:pPr>
        <w:ind w:left="1240" w:hanging="309"/>
        <w:spacing w:after="0"/>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72" w:lineRule="exact"/>
        <w:rPr>
          <w:rFonts w:ascii="Arial" w:cs="Arial" w:eastAsia="Arial" w:hAnsi="Arial"/>
          <w:sz w:val="15"/>
          <w:szCs w:val="15"/>
          <w:color w:val="auto"/>
        </w:rPr>
      </w:pPr>
    </w:p>
    <w:p>
      <w:pPr>
        <w:ind w:left="1240" w:hanging="309"/>
        <w:spacing w:after="0" w:line="283" w:lineRule="auto"/>
        <w:tabs>
          <w:tab w:leader="none" w:pos="1229"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w:t>
      </w:r>
    </w:p>
    <w:p>
      <w:pPr>
        <w:spacing w:after="0" w:line="1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16"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1" w:lineRule="exact"/>
        <w:rPr>
          <w:sz w:val="20"/>
          <w:szCs w:val="20"/>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72" w:lineRule="exact"/>
        <w:rPr>
          <w:rFonts w:ascii="Arial" w:cs="Arial" w:eastAsia="Arial" w:hAnsi="Arial"/>
          <w:sz w:val="15"/>
          <w:szCs w:val="15"/>
          <w:color w:val="auto"/>
        </w:rPr>
      </w:pPr>
    </w:p>
    <w:p>
      <w:pPr>
        <w:ind w:left="1240" w:hanging="309"/>
        <w:spacing w:after="0" w:line="283"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18" w:lineRule="exact"/>
        <w:rPr>
          <w:rFonts w:ascii="Arial" w:cs="Arial" w:eastAsia="Arial" w:hAnsi="Arial"/>
          <w:sz w:val="15"/>
          <w:szCs w:val="15"/>
          <w:color w:val="auto"/>
        </w:rPr>
      </w:pPr>
    </w:p>
    <w:p>
      <w:pPr>
        <w:ind w:left="1240" w:hanging="309"/>
        <w:spacing w:after="0" w:line="283"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5"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72"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4" w:name="page45"/>
    <w:bookmarkEnd w:id="44"/>
    <w:p>
      <w:pPr>
        <w:ind w:left="620"/>
        <w:spacing w:after="0"/>
        <w:rPr>
          <w:sz w:val="20"/>
          <w:szCs w:val="20"/>
          <w:color w:val="auto"/>
        </w:rPr>
      </w:pPr>
      <w:r>
        <w:rPr>
          <w:rFonts w:ascii="Arial" w:cs="Arial" w:eastAsia="Arial" w:hAnsi="Arial"/>
          <w:sz w:val="15"/>
          <w:szCs w:val="15"/>
          <w:color w:val="auto"/>
        </w:rPr>
        <w:t>The following tables provide unaudited reconciliations of Income from continuing operations to Adjusted EBITDA: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91,516</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78,176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255,516</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177,323</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32,780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28,288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94,855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61,219</w:t>
            </w:r>
          </w:p>
        </w:tc>
        <w:tc>
          <w:tcPr>
            <w:tcW w:w="0" w:type="dxa"/>
            <w:vAlign w:val="bottom"/>
          </w:tcPr>
          <w:p>
            <w:pPr>
              <w:spacing w:after="0"/>
              <w:rPr>
                <w:sz w:val="1"/>
                <w:szCs w:val="1"/>
                <w:color w:val="auto"/>
              </w:rPr>
            </w:pPr>
          </w:p>
        </w:tc>
      </w:tr>
      <w:tr>
        <w:trPr>
          <w:trHeight w:val="20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53,803</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38,009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145,915</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101,732</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84,802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83,671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242,927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234,762</w:t>
            </w:r>
          </w:p>
        </w:tc>
        <w:tc>
          <w:tcPr>
            <w:tcW w:w="0" w:type="dxa"/>
            <w:vAlign w:val="bottom"/>
          </w:tcPr>
          <w:p>
            <w:pPr>
              <w:spacing w:after="0"/>
              <w:rPr>
                <w:sz w:val="1"/>
                <w:szCs w:val="1"/>
                <w:color w:val="auto"/>
              </w:rPr>
            </w:pPr>
          </w:p>
        </w:tc>
      </w:tr>
      <w:tr>
        <w:trPr>
          <w:trHeight w:val="20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96</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6,885</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59"/>
        </w:trPr>
        <w:tc>
          <w:tcPr>
            <w:tcW w:w="4740" w:type="dxa"/>
            <w:vAlign w:val="bottom"/>
          </w:tcPr>
          <w:p>
            <w:pPr>
              <w:ind w:left="220"/>
              <w:spacing w:after="0" w:line="159" w:lineRule="exact"/>
              <w:rPr>
                <w:sz w:val="20"/>
                <w:szCs w:val="20"/>
                <w:color w:val="auto"/>
              </w:rPr>
            </w:pPr>
            <w:r>
              <w:rPr>
                <w:rFonts w:ascii="Arial" w:cs="Arial" w:eastAsia="Arial" w:hAnsi="Arial"/>
                <w:sz w:val="15"/>
                <w:szCs w:val="15"/>
                <w:color w:val="auto"/>
              </w:rPr>
              <w:t>Restructuring costs, lease impairment expense and other related</w:t>
            </w:r>
          </w:p>
        </w:tc>
        <w:tc>
          <w:tcPr>
            <w:tcW w:w="3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99"/>
        </w:trPr>
        <w:tc>
          <w:tcPr>
            <w:tcW w:w="4740" w:type="dxa"/>
            <w:vAlign w:val="bottom"/>
          </w:tcPr>
          <w:p>
            <w:pPr>
              <w:ind w:left="220"/>
              <w:spacing w:after="0"/>
              <w:rPr>
                <w:sz w:val="20"/>
                <w:szCs w:val="20"/>
                <w:color w:val="auto"/>
              </w:rPr>
            </w:pPr>
            <w:r>
              <w:rPr>
                <w:rFonts w:ascii="Arial" w:cs="Arial" w:eastAsia="Arial" w:hAnsi="Arial"/>
                <w:sz w:val="15"/>
                <w:szCs w:val="15"/>
                <w:color w:val="auto"/>
              </w:rPr>
              <w:t>charges</w:t>
            </w:r>
          </w:p>
        </w:tc>
        <w:tc>
          <w:tcPr>
            <w:tcW w:w="3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787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787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780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6,900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13,182</w:t>
            </w:r>
          </w:p>
        </w:tc>
        <w:tc>
          <w:tcPr>
            <w:tcW w:w="0" w:type="dxa"/>
            <w:vAlign w:val="bottom"/>
          </w:tcPr>
          <w:p>
            <w:pPr>
              <w:spacing w:after="0"/>
              <w:rPr>
                <w:sz w:val="1"/>
                <w:szCs w:val="1"/>
                <w:color w:val="auto"/>
              </w:rPr>
            </w:pPr>
          </w:p>
        </w:tc>
      </w:tr>
      <w:tr>
        <w:trPr>
          <w:trHeight w:val="20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8,636</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7,111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26,134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22,512</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(7,720)</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4,727</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265,480</w:t>
            </w:r>
          </w:p>
        </w:tc>
        <w:tc>
          <w:tcPr>
            <w:tcW w:w="8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239,368</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773,663</w:t>
            </w:r>
          </w:p>
        </w:tc>
        <w:tc>
          <w:tcPr>
            <w:tcW w:w="8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615,784</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Margin</w:t>
      </w:r>
    </w:p>
    <w:p>
      <w:pPr>
        <w:spacing w:after="0" w:line="75"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We define Adjusted EBITDA Margin as Adjusted EBITDA divided by revenue. Management believes that the presentation of Adjusted EBITDA Margin provides useful information to investors regarding the performance of our business. The following table provides unaudited reconciliations of Adjusted EBITDA Margin: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3060" w:type="dxa"/>
            <w:vAlign w:val="bottom"/>
            <w:gridSpan w:val="5"/>
            <w:shd w:val="clear" w:color="auto" w:fill="1D2758"/>
          </w:tcPr>
          <w:p>
            <w:pPr>
              <w:ind w:left="540"/>
              <w:spacing w:after="0"/>
              <w:rPr>
                <w:sz w:val="20"/>
                <w:szCs w:val="20"/>
                <w:color w:val="auto"/>
              </w:rPr>
            </w:pPr>
            <w:r>
              <w:rPr>
                <w:rFonts w:ascii="Arial" w:cs="Arial" w:eastAsia="Arial" w:hAnsi="Arial"/>
                <w:sz w:val="15"/>
                <w:szCs w:val="15"/>
                <w:b w:val="1"/>
                <w:bCs w:val="1"/>
                <w:color w:val="FFFFFF"/>
              </w:rPr>
              <w:t>Three Months Ended</w:t>
            </w:r>
          </w:p>
        </w:tc>
        <w:tc>
          <w:tcPr>
            <w:tcW w:w="380" w:type="dxa"/>
            <w:vAlign w:val="bottom"/>
            <w:shd w:val="clear" w:color="auto" w:fill="1D2758"/>
          </w:tcPr>
          <w:p>
            <w:pPr>
              <w:spacing w:after="0"/>
              <w:rPr>
                <w:sz w:val="14"/>
                <w:szCs w:val="14"/>
                <w:color w:val="auto"/>
              </w:rPr>
            </w:pPr>
          </w:p>
        </w:tc>
        <w:tc>
          <w:tcPr>
            <w:tcW w:w="2980" w:type="dxa"/>
            <w:vAlign w:val="bottom"/>
            <w:gridSpan w:val="4"/>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46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90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r>
      <w:tr>
        <w:trPr>
          <w:trHeight w:val="206"/>
        </w:trPr>
        <w:tc>
          <w:tcPr>
            <w:tcW w:w="44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8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 (A)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265,480</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239,368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773,663</w:t>
            </w: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615,784</w:t>
            </w:r>
          </w:p>
        </w:tc>
      </w:tr>
      <w:tr>
        <w:trPr>
          <w:trHeight w:val="203"/>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Revenue (B)</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604,834</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578,008</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1,752,391</w:t>
            </w:r>
          </w:p>
        </w:tc>
        <w:tc>
          <w:tcPr>
            <w:tcW w:w="80" w:type="dxa"/>
            <w:vAlign w:val="bottom"/>
            <w:tcBorders>
              <w:bottom w:val="single" w:sz="8" w:color="DBDBDB"/>
            </w:tcBorders>
          </w:tcPr>
          <w:p>
            <w:pPr>
              <w:spacing w:after="0"/>
              <w:rPr>
                <w:sz w:val="17"/>
                <w:szCs w:val="17"/>
                <w:color w:val="auto"/>
              </w:rPr>
            </w:pPr>
          </w:p>
        </w:tc>
        <w:tc>
          <w:tcPr>
            <w:tcW w:w="5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1,552,069</w:t>
            </w:r>
          </w:p>
        </w:tc>
      </w:tr>
      <w:tr>
        <w:trPr>
          <w:trHeight w:val="202"/>
        </w:trPr>
        <w:tc>
          <w:tcPr>
            <w:tcW w:w="4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Margin from Continuing Operations (A/B)</w:t>
            </w:r>
          </w:p>
        </w:tc>
        <w:tc>
          <w:tcPr>
            <w:tcW w:w="36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43.9 %</w:t>
            </w:r>
          </w:p>
        </w:tc>
        <w:tc>
          <w:tcPr>
            <w:tcW w:w="80" w:type="dxa"/>
            <w:vAlign w:val="bottom"/>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41.4 %</w:t>
            </w: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44.1 %</w:t>
            </w:r>
          </w:p>
        </w:tc>
        <w:tc>
          <w:tcPr>
            <w:tcW w:w="80" w:type="dxa"/>
            <w:vAlign w:val="bottom"/>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39.7 %</w:t>
            </w:r>
          </w:p>
        </w:tc>
      </w:tr>
      <w:tr>
        <w:trPr>
          <w:trHeight w:val="196"/>
        </w:trPr>
        <w:tc>
          <w:tcPr>
            <w:tcW w:w="4460" w:type="dxa"/>
            <w:vAlign w:val="bottom"/>
          </w:tcPr>
          <w:p>
            <w:pPr>
              <w:ind w:left="20"/>
              <w:spacing w:after="0"/>
              <w:rPr>
                <w:sz w:val="20"/>
                <w:szCs w:val="20"/>
                <w:color w:val="auto"/>
              </w:rPr>
            </w:pPr>
            <w:r>
              <w:rPr>
                <w:rFonts w:ascii="Arial" w:cs="Arial" w:eastAsia="Arial" w:hAnsi="Arial"/>
                <w:sz w:val="15"/>
                <w:szCs w:val="15"/>
                <w:color w:val="auto"/>
              </w:rPr>
              <w:t>Income from continuing operations (C)</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91,516</w:t>
            </w:r>
          </w:p>
        </w:tc>
        <w:tc>
          <w:tcPr>
            <w:tcW w:w="8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78,176</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255,516</w:t>
            </w:r>
          </w:p>
        </w:tc>
        <w:tc>
          <w:tcPr>
            <w:tcW w:w="80" w:type="dxa"/>
            <w:vAlign w:val="bottom"/>
          </w:tcPr>
          <w:p>
            <w:pPr>
              <w:spacing w:after="0"/>
              <w:rPr>
                <w:sz w:val="17"/>
                <w:szCs w:val="17"/>
                <w:color w:val="auto"/>
              </w:rPr>
            </w:pPr>
          </w:p>
        </w:tc>
        <w:tc>
          <w:tcPr>
            <w:tcW w:w="58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177,323</w:t>
            </w:r>
          </w:p>
        </w:tc>
      </w:tr>
      <w:tr>
        <w:trPr>
          <w:trHeight w:val="209"/>
        </w:trPr>
        <w:tc>
          <w:tcPr>
            <w:tcW w:w="4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Continuing Operations Margin (C/B)</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15.1 %</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13.5 %</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14.6 %</w:t>
            </w: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Adjusted Gross Profit and Adjusted Gross Profit Percentage</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unaudited reconciliations of gross profit to Adjusted Gross Profit and Adjusted Gross Profit Percentage: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3080" w:type="dxa"/>
            <w:vAlign w:val="bottom"/>
            <w:gridSpan w:val="3"/>
            <w:shd w:val="clear" w:color="auto" w:fill="1D2758"/>
          </w:tcPr>
          <w:p>
            <w:pPr>
              <w:jc w:val="center"/>
              <w:ind w:right="263"/>
              <w:spacing w:after="0"/>
              <w:rPr>
                <w:sz w:val="20"/>
                <w:szCs w:val="20"/>
                <w:color w:val="auto"/>
              </w:rPr>
            </w:pPr>
            <w:r>
              <w:rPr>
                <w:rFonts w:ascii="Arial" w:cs="Arial" w:eastAsia="Arial" w:hAnsi="Arial"/>
                <w:sz w:val="15"/>
                <w:szCs w:val="15"/>
                <w:b w:val="1"/>
                <w:bCs w:val="1"/>
                <w:color w:val="FFFFFF"/>
              </w:rPr>
              <w:t>Three Months Ended</w:t>
            </w:r>
          </w:p>
        </w:tc>
        <w:tc>
          <w:tcPr>
            <w:tcW w:w="540" w:type="dxa"/>
            <w:vAlign w:val="bottom"/>
            <w:shd w:val="clear" w:color="auto" w:fill="1D2758"/>
          </w:tcPr>
          <w:p>
            <w:pPr>
              <w:spacing w:after="0"/>
              <w:rPr>
                <w:sz w:val="14"/>
                <w:szCs w:val="14"/>
                <w:color w:val="auto"/>
              </w:rPr>
            </w:pPr>
          </w:p>
        </w:tc>
        <w:tc>
          <w:tcPr>
            <w:tcW w:w="2100" w:type="dxa"/>
            <w:vAlign w:val="bottom"/>
            <w:gridSpan w:val="2"/>
            <w:shd w:val="clear" w:color="auto" w:fill="1D2758"/>
          </w:tcPr>
          <w:p>
            <w:pPr>
              <w:jc w:val="center"/>
              <w:ind w:left="583"/>
              <w:spacing w:after="0"/>
              <w:rPr>
                <w:sz w:val="20"/>
                <w:szCs w:val="20"/>
                <w:color w:val="auto"/>
              </w:rPr>
            </w:pPr>
            <w:r>
              <w:rPr>
                <w:rFonts w:ascii="Arial" w:cs="Arial" w:eastAsia="Arial" w:hAnsi="Arial"/>
                <w:sz w:val="15"/>
                <w:szCs w:val="15"/>
                <w:b w:val="1"/>
                <w:bCs w:val="1"/>
                <w:color w:val="FFFFFF"/>
              </w:rPr>
              <w:t>Nine Months Ended</w:t>
            </w:r>
          </w:p>
        </w:tc>
        <w:tc>
          <w:tcPr>
            <w:tcW w:w="1040" w:type="dxa"/>
            <w:vAlign w:val="bottom"/>
            <w:shd w:val="clear" w:color="auto" w:fill="1D2758"/>
          </w:tcPr>
          <w:p>
            <w:pPr>
              <w:spacing w:after="0"/>
              <w:rPr>
                <w:sz w:val="14"/>
                <w:szCs w:val="14"/>
                <w:color w:val="auto"/>
              </w:rPr>
            </w:pPr>
          </w:p>
        </w:tc>
      </w:tr>
      <w:tr>
        <w:trPr>
          <w:trHeight w:val="206"/>
        </w:trPr>
        <w:tc>
          <w:tcPr>
            <w:tcW w:w="40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000" w:type="dxa"/>
            <w:vAlign w:val="bottom"/>
            <w:gridSpan w:val="2"/>
            <w:shd w:val="clear" w:color="auto" w:fill="1D2758"/>
          </w:tcPr>
          <w:p>
            <w:pPr>
              <w:jc w:val="center"/>
              <w:ind w:left="66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c>
          <w:tcPr>
            <w:tcW w:w="540" w:type="dxa"/>
            <w:vAlign w:val="bottom"/>
            <w:shd w:val="clear" w:color="auto" w:fill="1D2758"/>
          </w:tcPr>
          <w:p>
            <w:pPr>
              <w:spacing w:after="0"/>
              <w:rPr>
                <w:sz w:val="17"/>
                <w:szCs w:val="17"/>
                <w:color w:val="auto"/>
              </w:rPr>
            </w:pPr>
          </w:p>
        </w:tc>
        <w:tc>
          <w:tcPr>
            <w:tcW w:w="2100" w:type="dxa"/>
            <w:vAlign w:val="bottom"/>
            <w:gridSpan w:val="2"/>
            <w:shd w:val="clear" w:color="auto" w:fill="1D2758"/>
          </w:tcPr>
          <w:p>
            <w:pPr>
              <w:jc w:val="center"/>
              <w:ind w:left="563"/>
              <w:spacing w:after="0"/>
              <w:rPr>
                <w:sz w:val="20"/>
                <w:szCs w:val="20"/>
                <w:color w:val="auto"/>
              </w:rPr>
            </w:pPr>
            <w:r>
              <w:rPr>
                <w:rFonts w:ascii="Arial" w:cs="Arial" w:eastAsia="Arial" w:hAnsi="Arial"/>
                <w:sz w:val="15"/>
                <w:szCs w:val="15"/>
                <w:b w:val="1"/>
                <w:bCs w:val="1"/>
                <w:color w:val="FFFFFF"/>
              </w:rPr>
              <w:t>September 30,</w:t>
            </w:r>
          </w:p>
        </w:tc>
        <w:tc>
          <w:tcPr>
            <w:tcW w:w="1040" w:type="dxa"/>
            <w:vAlign w:val="bottom"/>
            <w:shd w:val="clear" w:color="auto" w:fill="1D2758"/>
          </w:tcPr>
          <w:p>
            <w:pPr>
              <w:spacing w:after="0"/>
              <w:rPr>
                <w:sz w:val="17"/>
                <w:szCs w:val="17"/>
                <w:color w:val="auto"/>
              </w:rPr>
            </w:pPr>
          </w:p>
        </w:tc>
      </w:tr>
      <w:tr>
        <w:trPr>
          <w:trHeight w:val="206"/>
        </w:trPr>
        <w:tc>
          <w:tcPr>
            <w:tcW w:w="4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54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820" w:type="dxa"/>
            <w:vAlign w:val="bottom"/>
            <w:shd w:val="clear" w:color="auto" w:fill="1D2758"/>
          </w:tcPr>
          <w:p>
            <w:pPr>
              <w:spacing w:after="0"/>
              <w:rPr>
                <w:sz w:val="17"/>
                <w:szCs w:val="17"/>
                <w:color w:val="auto"/>
              </w:rPr>
            </w:pPr>
          </w:p>
        </w:tc>
        <w:tc>
          <w:tcPr>
            <w:tcW w:w="104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604,834</w:t>
            </w:r>
          </w:p>
        </w:tc>
        <w:tc>
          <w:tcPr>
            <w:tcW w:w="72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578,008</w:t>
            </w:r>
          </w:p>
        </w:tc>
        <w:tc>
          <w:tcPr>
            <w:tcW w:w="5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1,752,391</w:t>
            </w:r>
          </w:p>
        </w:tc>
        <w:tc>
          <w:tcPr>
            <w:tcW w:w="820" w:type="dxa"/>
            <w:vAlign w:val="bottom"/>
            <w:shd w:val="clear" w:color="auto" w:fill="DBDBDB"/>
          </w:tcPr>
          <w:p>
            <w:pPr>
              <w:jc w:val="right"/>
              <w:ind w:right="5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1,552,069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138670" cy="130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60" w:type="dxa"/>
            <w:vAlign w:val="bottom"/>
          </w:tcPr>
          <w:p>
            <w:pPr>
              <w:spacing w:after="0"/>
              <w:rPr>
                <w:sz w:val="20"/>
                <w:szCs w:val="20"/>
                <w:color w:val="auto"/>
              </w:rPr>
            </w:pPr>
            <w:r>
              <w:rPr>
                <w:rFonts w:ascii="Arial" w:cs="Arial" w:eastAsia="Arial" w:hAnsi="Arial"/>
                <w:sz w:val="15"/>
                <w:szCs w:val="15"/>
                <w:color w:val="auto"/>
              </w:rPr>
              <w:t>Gross profit (B)</w:t>
            </w:r>
          </w:p>
        </w:tc>
        <w:tc>
          <w:tcPr>
            <w:tcW w:w="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339,694</w:t>
            </w:r>
          </w:p>
        </w:tc>
      </w:tr>
      <w:tr>
        <w:trPr>
          <w:trHeight w:val="206"/>
        </w:trPr>
        <w:tc>
          <w:tcPr>
            <w:tcW w:w="4060" w:type="dxa"/>
            <w:vAlign w:val="bottom"/>
          </w:tcPr>
          <w:p>
            <w:pPr>
              <w:spacing w:after="0"/>
              <w:rPr>
                <w:sz w:val="20"/>
                <w:szCs w:val="20"/>
                <w:color w:val="auto"/>
              </w:rPr>
            </w:pPr>
            <w:r>
              <w:rPr>
                <w:rFonts w:ascii="Arial" w:cs="Arial" w:eastAsia="Arial" w:hAnsi="Arial"/>
                <w:sz w:val="15"/>
                <w:szCs w:val="15"/>
                <w:color w:val="auto"/>
              </w:rPr>
              <w:t>Depreciation of rental equipment</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66,950</w:t>
            </w:r>
          </w:p>
        </w:tc>
      </w:tr>
      <w:tr>
        <w:trPr>
          <w:trHeight w:val="202"/>
        </w:trPr>
        <w:tc>
          <w:tcPr>
            <w:tcW w:w="4060" w:type="dxa"/>
            <w:vAlign w:val="bottom"/>
          </w:tcPr>
          <w:p>
            <w:pPr>
              <w:ind w:left="200"/>
              <w:spacing w:after="0"/>
              <w:rPr>
                <w:sz w:val="20"/>
                <w:szCs w:val="20"/>
                <w:color w:val="auto"/>
              </w:rPr>
            </w:pPr>
            <w:r>
              <w:rPr>
                <w:rFonts w:ascii="Arial" w:cs="Arial" w:eastAsia="Arial" w:hAnsi="Arial"/>
                <w:sz w:val="15"/>
                <w:szCs w:val="15"/>
                <w:color w:val="auto"/>
              </w:rPr>
              <w:t>Adjusted Gross Profit (C)</w:t>
            </w:r>
          </w:p>
        </w:tc>
        <w:tc>
          <w:tcPr>
            <w:tcW w:w="5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406,644</w:t>
            </w:r>
          </w:p>
        </w:tc>
      </w:tr>
      <w:tr>
        <w:trPr>
          <w:trHeight w:val="21"/>
        </w:trPr>
        <w:tc>
          <w:tcPr>
            <w:tcW w:w="4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155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297,885</w:t>
            </w:r>
          </w:p>
        </w:tc>
        <w:tc>
          <w:tcPr>
            <w:tcW w:w="6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990,694</w:t>
            </w:r>
          </w:p>
        </w:tc>
        <w:tc>
          <w:tcPr>
            <w:tcW w:w="6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807,159</w:t>
            </w:r>
          </w:p>
        </w:tc>
      </w:tr>
      <w:tr>
        <w:trPr>
          <w:trHeight w:val="209"/>
        </w:trPr>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68,015</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190,556</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188,793</w:t>
            </w:r>
          </w:p>
        </w:tc>
      </w:tr>
      <w:tr>
        <w:trPr>
          <w:trHeight w:val="199"/>
        </w:trPr>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365,900</w:t>
            </w:r>
          </w:p>
        </w:tc>
        <w:tc>
          <w:tcPr>
            <w:tcW w:w="6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1,181,250</w:t>
            </w:r>
          </w:p>
        </w:tc>
        <w:tc>
          <w:tcPr>
            <w:tcW w:w="6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995,952</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0" w:space="100"/>
            <w:col w:w="5340"/>
          </w:cols>
          <w:pgMar w:left="320" w:top="1047" w:right="3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242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56.2 %</w:t>
            </w:r>
          </w:p>
        </w:tc>
        <w:tc>
          <w:tcPr>
            <w:tcW w:w="182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51.5 %</w:t>
            </w:r>
          </w:p>
        </w:tc>
        <w:tc>
          <w:tcPr>
            <w:tcW w:w="182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56.5 %</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52.0 %</w:t>
            </w:r>
          </w:p>
        </w:tc>
      </w:tr>
      <w:tr>
        <w:trPr>
          <w:trHeight w:val="201"/>
        </w:trPr>
        <w:tc>
          <w:tcPr>
            <w:tcW w:w="402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2420" w:type="dxa"/>
            <w:vAlign w:val="bottom"/>
          </w:tcPr>
          <w:p>
            <w:pPr>
              <w:jc w:val="right"/>
              <w:ind w:right="583"/>
              <w:spacing w:after="0"/>
              <w:rPr>
                <w:sz w:val="20"/>
                <w:szCs w:val="20"/>
                <w:color w:val="auto"/>
              </w:rPr>
            </w:pPr>
            <w:r>
              <w:rPr>
                <w:rFonts w:ascii="Arial" w:cs="Arial" w:eastAsia="Arial" w:hAnsi="Arial"/>
                <w:sz w:val="15"/>
                <w:szCs w:val="15"/>
                <w:color w:val="auto"/>
              </w:rPr>
              <w:t>67.2 %</w:t>
            </w:r>
          </w:p>
        </w:tc>
        <w:tc>
          <w:tcPr>
            <w:tcW w:w="1820" w:type="dxa"/>
            <w:vAlign w:val="bottom"/>
          </w:tcPr>
          <w:p>
            <w:pPr>
              <w:jc w:val="right"/>
              <w:ind w:right="583"/>
              <w:spacing w:after="0"/>
              <w:rPr>
                <w:sz w:val="20"/>
                <w:szCs w:val="20"/>
                <w:color w:val="auto"/>
              </w:rPr>
            </w:pPr>
            <w:r>
              <w:rPr>
                <w:rFonts w:ascii="Arial" w:cs="Arial" w:eastAsia="Arial" w:hAnsi="Arial"/>
                <w:sz w:val="15"/>
                <w:szCs w:val="15"/>
                <w:color w:val="auto"/>
              </w:rPr>
              <w:t>63.3 %</w:t>
            </w:r>
          </w:p>
        </w:tc>
        <w:tc>
          <w:tcPr>
            <w:tcW w:w="1820" w:type="dxa"/>
            <w:vAlign w:val="bottom"/>
          </w:tcPr>
          <w:p>
            <w:pPr>
              <w:jc w:val="right"/>
              <w:ind w:right="583"/>
              <w:spacing w:after="0"/>
              <w:rPr>
                <w:sz w:val="20"/>
                <w:szCs w:val="20"/>
                <w:color w:val="auto"/>
              </w:rPr>
            </w:pPr>
            <w:r>
              <w:rPr>
                <w:rFonts w:ascii="Arial" w:cs="Arial" w:eastAsia="Arial" w:hAnsi="Arial"/>
                <w:sz w:val="15"/>
                <w:szCs w:val="15"/>
                <w:color w:val="auto"/>
              </w:rPr>
              <w:t>67.4 %</w:t>
            </w:r>
          </w:p>
        </w:tc>
        <w:tc>
          <w:tcPr>
            <w:tcW w:w="1160" w:type="dxa"/>
            <w:vAlign w:val="bottom"/>
          </w:tcPr>
          <w:p>
            <w:pPr>
              <w:jc w:val="right"/>
              <w:spacing w:after="0"/>
              <w:rPr>
                <w:sz w:val="20"/>
                <w:szCs w:val="20"/>
                <w:color w:val="auto"/>
              </w:rPr>
            </w:pPr>
            <w:r>
              <w:rPr>
                <w:rFonts w:ascii="Arial" w:cs="Arial" w:eastAsia="Arial" w:hAnsi="Arial"/>
                <w:sz w:val="15"/>
                <w:szCs w:val="15"/>
                <w:color w:val="auto"/>
              </w:rPr>
              <w:t>64.2 %</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Tank and Pump segment through September 30, 2022 and the former UK Storage Solutions segment through January 31, 2023.</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provide unaudited reconciliations of Net CAPEX:</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5"/>
                <w:szCs w:val="15"/>
                <w:color w:val="auto"/>
              </w:rPr>
            </w:pPr>
          </w:p>
        </w:tc>
        <w:tc>
          <w:tcPr>
            <w:tcW w:w="2840" w:type="dxa"/>
            <w:vAlign w:val="bottom"/>
            <w:gridSpan w:val="3"/>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2"/>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c>
          <w:tcPr>
            <w:tcW w:w="60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purchases of rental equipment and refurbishments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(63,388)</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(135,076)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(166,097)</w:t>
            </w:r>
          </w:p>
        </w:tc>
        <w:tc>
          <w:tcPr>
            <w:tcW w:w="60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(360,465)</w:t>
            </w:r>
          </w:p>
        </w:tc>
      </w:tr>
      <w:tr>
        <w:trPr>
          <w:trHeight w:val="203"/>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 from sale of rental equipment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12,720</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17,183</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37,974</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52,263</w:t>
            </w:r>
          </w:p>
        </w:tc>
      </w:tr>
      <w:tr>
        <w:trPr>
          <w:trHeight w:val="20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(50,668)</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(117,893)</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(128,123)</w:t>
            </w:r>
          </w:p>
        </w:tc>
        <w:tc>
          <w:tcPr>
            <w:tcW w:w="6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(308,202)</w:t>
            </w:r>
          </w:p>
        </w:tc>
      </w:tr>
      <w:tr>
        <w:trPr>
          <w:trHeight w:val="203"/>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(5,563)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(16,752)</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(30,253)</w:t>
            </w:r>
          </w:p>
        </w:tc>
      </w:tr>
      <w:tr>
        <w:trPr>
          <w:trHeight w:val="20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13,001</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894</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13,266</w:t>
            </w:r>
          </w:p>
        </w:tc>
        <w:tc>
          <w:tcPr>
            <w:tcW w:w="6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1,645</w:t>
            </w:r>
          </w:p>
        </w:tc>
      </w:tr>
      <w:tr>
        <w:trPr>
          <w:trHeight w:val="196"/>
        </w:trPr>
        <w:tc>
          <w:tcPr>
            <w:tcW w:w="47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(43,230)</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(131,609)</w:t>
            </w:r>
          </w:p>
        </w:tc>
        <w:tc>
          <w:tcPr>
            <w:tcW w:w="6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(336,810)</w:t>
            </w:r>
          </w:p>
        </w:tc>
      </w:tr>
      <w:tr>
        <w:trPr>
          <w:trHeight w:val="21"/>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our ABL Facility, and sales of equity and debt securities. We believe that our liquidity sources and operating cash flows are sufficient to address our operating, debt service and capital requirements over the next twelve months.</w:t>
      </w:r>
    </w:p>
    <w:p>
      <w:pPr>
        <w:spacing w:after="0" w:line="3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46" w:name="page47"/>
    <w:bookmarkEnd w:id="46"/>
    <w:p>
      <w:pPr>
        <w:jc w:val="both"/>
        <w:ind w:firstLine="619"/>
        <w:spacing w:after="0" w:line="263"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things, the value of the assets in the relevant collateral pool, of which our rental equipment represents the largest component. At September 30, 2023, we had $1.3 billion of available borrowing capacity under the ABL Facility.</w:t>
      </w:r>
    </w:p>
    <w:p>
      <w:pPr>
        <w:spacing w:after="0" w:line="1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On September 25, 2023, Williams Scotsman, Inc. (“WSI”), a subsidiary of the Company, completed a private offering of $500.0 million in aggregate principal amount of the 2031 Secured Notes. Proceeds were used to repay approximately $494.0 million of outstanding indebtedness under the ABL Facility and certain fees and expenses. The 2031 Secured Notes mature on October 1, 2031 and bear interest at a rate of 7.375% per annum.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Comparison of the Nine Months Ended September 30, 2023 and 2022</w:t>
      </w:r>
    </w:p>
    <w:p>
      <w:pPr>
        <w:spacing w:after="0" w:line="127"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w:t>
      </w:r>
    </w:p>
    <w:p>
      <w:pPr>
        <w:spacing w:after="0" w:line="1"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The consolidated statements of cash flows include amounts for the former Tank and Pump segment through September 30, 2022 and the former UK Storage Solutions segment through January 31, 2023. See Note 3 to the financial statements for disclosure of significant operating and investing items related to the</w:t>
      </w:r>
    </w:p>
    <w:p>
      <w:pPr>
        <w:sectPr>
          <w:pgSz w:w="11900" w:h="16838" w:orient="portrait"/>
          <w:cols w:equalWidth="0" w:num="1">
            <w:col w:w="11240"/>
          </w:cols>
          <w:pgMar w:left="320" w:top="1060"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former Tank and Pump and former UK Storage Solutions segments.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138670" cy="417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4171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138670" cy="1308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provided by operating activities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308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used in financing activities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13867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change in cash and cash equivalents</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FFFFFF"/>
        </w:rPr>
        <w:t>Nine Months Ended</w:t>
      </w:r>
    </w:p>
    <w:p>
      <w:pPr>
        <w:jc w:val="center"/>
        <w:spacing w:after="0"/>
        <w:rPr>
          <w:sz w:val="20"/>
          <w:szCs w:val="20"/>
          <w:color w:val="auto"/>
        </w:rPr>
      </w:pPr>
      <w:r>
        <w:rPr>
          <w:rFonts w:ascii="Arial" w:cs="Arial" w:eastAsia="Arial" w:hAnsi="Arial"/>
          <w:sz w:val="15"/>
          <w:szCs w:val="15"/>
          <w:b w:val="1"/>
          <w:bCs w:val="1"/>
          <w:color w:val="FFFFFF"/>
        </w:rPr>
        <w:t>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0" w:type="dxa"/>
            <w:vAlign w:val="bottom"/>
            <w:shd w:val="clear" w:color="auto" w:fill="1D2758"/>
          </w:tcPr>
          <w:p>
            <w:pPr>
              <w:spacing w:after="0"/>
              <w:rPr>
                <w:sz w:val="24"/>
                <w:szCs w:val="24"/>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24"/>
                <w:szCs w:val="24"/>
                <w:color w:val="auto"/>
              </w:rPr>
            </w:pPr>
          </w:p>
        </w:tc>
        <w:tc>
          <w:tcPr>
            <w:tcW w:w="420" w:type="dxa"/>
            <w:vAlign w:val="bottom"/>
            <w:shd w:val="clear" w:color="auto" w:fill="1D2758"/>
          </w:tcPr>
          <w:p>
            <w:pPr>
              <w:spacing w:after="0"/>
              <w:rPr>
                <w:sz w:val="24"/>
                <w:szCs w:val="24"/>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1"/>
        </w:trPr>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541,918</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544,238</w:t>
            </w:r>
          </w:p>
        </w:tc>
      </w:tr>
      <w:tr>
        <w:trPr>
          <w:trHeight w:val="206"/>
        </w:trPr>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(217,522)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(225,930)</w:t>
            </w:r>
          </w:p>
        </w:tc>
      </w:tr>
      <w:tr>
        <w:trPr>
          <w:trHeight w:val="206"/>
        </w:trPr>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(337,082)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(313,723)</w:t>
            </w:r>
          </w:p>
        </w:tc>
      </w:tr>
      <w:tr>
        <w:trPr>
          <w:trHeight w:val="299"/>
        </w:trPr>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w:t>
            </w:r>
          </w:p>
        </w:tc>
      </w:tr>
      <w:tr>
        <w:trPr>
          <w:trHeight w:val="251"/>
        </w:trPr>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2,743</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ectPr>
          <w:pgSz w:w="11900" w:h="16838" w:orient="portrait"/>
          <w:cols w:equalWidth="0" w:num="2">
            <w:col w:w="7060" w:space="480"/>
            <w:col w:w="3700"/>
          </w:cols>
          <w:pgMar w:left="320" w:top="1060" w:right="339" w:bottom="1440" w:gutter="0" w:footer="0" w:header="0"/>
          <w:type w:val="continuous"/>
        </w:sectPr>
      </w:pPr>
    </w:p>
    <w:p>
      <w:pPr>
        <w:jc w:val="both"/>
        <w:ind w:firstLine="619"/>
        <w:spacing w:after="0" w:line="267" w:lineRule="auto"/>
        <w:rPr>
          <w:sz w:val="20"/>
          <w:szCs w:val="20"/>
          <w:color w:val="auto"/>
        </w:rPr>
      </w:pPr>
      <w:r>
        <w:rPr>
          <w:rFonts w:ascii="Arial" w:cs="Arial" w:eastAsia="Arial" w:hAnsi="Arial"/>
          <w:sz w:val="15"/>
          <w:szCs w:val="15"/>
          <w:color w:val="auto"/>
        </w:rPr>
        <w:t>Cash provided by operating activities for the nine months ended September 30, 2023 was $541.9 million as compared to $544.2 million for the nine months ended September 30, 2022, a decrease of $2.3 million. The decrease was due to a change of $60.9 million in the net movements of the operating assets and liabilities, partially offset by an increase of $58.6 million of net income, adjusted for non-cash items.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6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Cash used in investing activities for the nine months ended September 30, 2023 was $217.5 million as compared to $225.9 million for the nine months ended September 30, 2022, a decrease of $8.4 million. The decrease in cash used in investing activities was driven by an increase in proceeds from the sale of discontinued operations as cash received for the sale of the former UK Storage Solutions segment in January 2023 of $403.9 million was $84.4 million more than the cash received for the sale of the former Tank and Pump segment of $319.5 million in September 2022. The decrease in cash used in investing activities also resulted from a $194.4 million decrease in cash used for the purchase of rental equipment and refurbishments, a $13.5 million decrease in cash used for the purchase of property, plant and equipment, and a $11.6 million increase in proceeds from the sale of property, plant, and equipment.</w:t>
      </w:r>
    </w:p>
    <w:p>
      <w:pPr>
        <w:spacing w:after="0" w:line="3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decrease was partially offset by a $273.5 million increase in cash used in acquisitions, net of cash acquired, a $14.3 million decrease in proceeds from the sale of rental equipment, and a cash payment of $7.7 million for the settlement of a contingent foreign currency forward contract upon the closing of the sale of the former UK Storage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6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Cash used in financing activities for the nine months ended September 30, 2023 was $337.1 million as compared to $313.7 million for the nine months ended September 30, 2022, an increase of $23.4 million. The increase was primarily due to a $162.5 million increase in the repurchase of common stock, partially offset by a $121.2 million increase in receipts from borrowings, net of repayment of borrowings.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Cash Flow</w:t>
      </w:r>
    </w:p>
    <w:p>
      <w:pPr>
        <w:spacing w:after="0" w:line="12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 The following table provides a reconciliation of net cash provided by operating activities to Free Cash Flow.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190,998</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210,385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541,918</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544,238</w:t>
            </w:r>
          </w:p>
        </w:tc>
      </w:tr>
      <w:tr>
        <w:trPr>
          <w:trHeight w:val="203"/>
        </w:trPr>
        <w:tc>
          <w:tcPr>
            <w:tcW w:w="474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(63,388)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(135,076)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(166,097)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(360,465)</w:t>
            </w:r>
          </w:p>
        </w:tc>
      </w:tr>
      <w:tr>
        <w:trPr>
          <w:trHeight w:val="20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12,720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17,183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37,974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52,263</w:t>
            </w:r>
          </w:p>
        </w:tc>
      </w:tr>
      <w:tr>
        <w:trPr>
          <w:trHeight w:val="203"/>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(5,563)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(16,752)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(30,253)</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13,001</w:t>
            </w:r>
          </w:p>
        </w:tc>
        <w:tc>
          <w:tcPr>
            <w:tcW w:w="80" w:type="dxa"/>
            <w:vAlign w:val="bottom"/>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894</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13,266</w:t>
            </w:r>
          </w:p>
        </w:tc>
        <w:tc>
          <w:tcPr>
            <w:tcW w:w="80" w:type="dxa"/>
            <w:vAlign w:val="bottom"/>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1,645</w:t>
            </w:r>
          </w:p>
        </w:tc>
      </w:tr>
      <w:tr>
        <w:trPr>
          <w:trHeight w:val="202"/>
        </w:trPr>
        <w:tc>
          <w:tcPr>
            <w:tcW w:w="474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147,768</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83,386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410,309</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207,428</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Free Cash Flow for the nine months ended September 30, 2023 was $410.3 million as compared to $207.4 million for the nine months ended September 30, 2022, an increase of $202.9 million. Free Cash Flow increased principally as a result of the $194.4 million decrease in cash used in the purchase of rental equipment and refurbishments and the $13.5 million decrease in cash used in the purchase of property, plant and equipment, partially offset by a $14.3 million decrease in proceeds from the sale of rental equipment.</w:t>
      </w:r>
    </w:p>
    <w:p>
      <w:pPr>
        <w:spacing w:after="0" w:line="16"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The $541.9 million in cash provided by operating activities for the nine months ended September 30, 2023 was returned to shareholders through repurchases and cancellations of common stock of $678.2 million and reinvested into the business to support the purchase of rental equipment, including VAPS, and refurbishments.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cash requirements</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w:t>
      </w:r>
    </w:p>
    <w:p>
      <w:pPr>
        <w:spacing w:after="0" w:line="3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2031 Secured Notes and finance leases totaling $3.5 billion as of September 30, 2023, $16.0 million of which is obligated to be repaid within the next twelve months. Refer to Note 9 for further information regarding outstanding debt.</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68"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office space. As of September 30, 2023, the Company had lease obligations of $295.7 million, with $66.7 million payable within the next twelve months.</w:t>
      </w:r>
    </w:p>
    <w:p>
      <w:pPr>
        <w:spacing w:after="0" w:line="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In addition to the cash requirements described above, the Company has a share repurchase program authorized by the Board of Directors, which allows the Company to repurchase up to $1.0 billion of outstanding shares of Common Stock and equivalents. This program does not obligate the Company to repurchase any specific amount of shares. As of September 30, 2023, $634.2 million of the approved share repurchase pool remained available.</w:t>
      </w:r>
    </w:p>
    <w:p>
      <w:pPr>
        <w:spacing w:after="0" w:line="11"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 Company believes its cash, cash flows generated from ongoing operations, and continued access to its revolving credit facility as well as access to debt markets are sufficient to satisfy its currently anticipated cash requirements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Estimates</w:t>
      </w:r>
    </w:p>
    <w:p>
      <w:pPr>
        <w:spacing w:after="0" w:line="12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For a complete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8" w:name="page49"/>
    <w:bookmarkEnd w:id="48"/>
    <w:p>
      <w:pPr>
        <w:jc w:val="both"/>
        <w:spacing w:after="0" w:line="283" w:lineRule="auto"/>
        <w:rPr>
          <w:sz w:val="20"/>
          <w:szCs w:val="20"/>
          <w:color w:val="auto"/>
        </w:rPr>
      </w:pPr>
      <w:r>
        <w:rPr>
          <w:rFonts w:ascii="Arial" w:cs="Arial" w:eastAsia="Arial" w:hAnsi="Arial"/>
          <w:sz w:val="15"/>
          <w:szCs w:val="15"/>
          <w:color w:val="auto"/>
        </w:rPr>
        <w:t>discussion of our significant critical accounting estimates, see the “Critical Accounting Policies and Estimates” section in Part II, Item 7 of our Annual Report on Form 10-K for the year ended December 31, 2022 (the "2022 Annual Report on Form 10-K").</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significant changes to our critical accounting estimates during the nine months ended September 30, 2023.</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7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Refer to Part I, Item 1, Note 1 of the notes to our financial statements included in this Quarterly Report on Form 10-Q for our assessment of recently issued and adopted accounting standards.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73"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 Important factors that may affect actual results or outcomes include, among others:</w:t>
      </w:r>
    </w:p>
    <w:p>
      <w:pPr>
        <w:spacing w:after="0" w:line="221" w:lineRule="exact"/>
        <w:rPr>
          <w:sz w:val="20"/>
          <w:szCs w:val="20"/>
          <w:color w:val="auto"/>
        </w:rPr>
      </w:pPr>
    </w:p>
    <w:p>
      <w:pPr>
        <w:ind w:left="620" w:hanging="307"/>
        <w:spacing w:after="0" w:line="283"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various laws and regulations and recent pronouncements related to laws and regulations governing antitrust, climate related disclosures, cybersecurity, privacy, government contracts, anti-corruption and the environment;</w:t>
      </w:r>
    </w:p>
    <w:p>
      <w:pPr>
        <w:spacing w:after="0" w:line="5"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72" w:lineRule="exact"/>
        <w:rPr>
          <w:rFonts w:ascii="Arial" w:cs="Arial" w:eastAsia="Arial" w:hAnsi="Arial"/>
          <w:sz w:val="15"/>
          <w:szCs w:val="15"/>
          <w:color w:val="auto"/>
        </w:rPr>
      </w:pPr>
    </w:p>
    <w:p>
      <w:pPr>
        <w:ind w:left="620" w:hanging="307"/>
        <w:spacing w:after="0" w:line="283"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spacing w:after="0" w:line="18" w:lineRule="exact"/>
        <w:rPr>
          <w:rFonts w:ascii="Arial" w:cs="Arial" w:eastAsia="Arial" w:hAnsi="Arial"/>
          <w:sz w:val="15"/>
          <w:szCs w:val="15"/>
          <w:color w:val="auto"/>
        </w:rPr>
      </w:pPr>
    </w:p>
    <w:p>
      <w:pPr>
        <w:ind w:left="620" w:hanging="307"/>
        <w:spacing w:after="0" w:line="283"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5"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9" w:name="page50"/>
    <w:bookmarkEnd w:id="49"/>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service our debt and operate our business;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stock price volatility; and</w:t>
      </w:r>
    </w:p>
    <w:p>
      <w:pPr>
        <w:spacing w:after="0" w:line="72" w:lineRule="exact"/>
        <w:rPr>
          <w:rFonts w:ascii="Arial" w:cs="Arial" w:eastAsia="Arial" w:hAnsi="Arial"/>
          <w:sz w:val="15"/>
          <w:szCs w:val="15"/>
          <w:color w:val="auto"/>
        </w:rPr>
      </w:pPr>
    </w:p>
    <w:p>
      <w:pPr>
        <w:ind w:left="620" w:hanging="307"/>
        <w:spacing w:after="0" w:line="283"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2022 Annual Report on Form 10-K), which are available through the SEC’s EDGAR system at www.sec.gov and on our website.</w:t>
      </w:r>
    </w:p>
    <w:p>
      <w:pPr>
        <w:spacing w:after="0" w:line="1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spacing w:after="0" w:line="165" w:lineRule="exact"/>
        <w:rPr>
          <w:sz w:val="20"/>
          <w:szCs w:val="20"/>
          <w:color w:val="auto"/>
        </w:rPr>
      </w:pPr>
    </w:p>
    <w:p>
      <w:pPr>
        <w:ind w:left="1740" w:right="1100" w:hanging="1855"/>
        <w:spacing w:after="0" w:line="285" w:lineRule="auto"/>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8"/>
          <w:szCs w:val="38"/>
          <w:b w:val="1"/>
          <w:bCs w:val="1"/>
          <w:color w:val="auto"/>
        </w:rPr>
        <w:t>Quantitative and Qualitative Disclosures about Market Risk</w:t>
      </w:r>
    </w:p>
    <w:p>
      <w:pPr>
        <w:spacing w:after="0" w:line="2"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rPr>
          <w:sz w:val="20"/>
          <w:szCs w:val="20"/>
          <w:color w:val="auto"/>
        </w:rPr>
      </w:pPr>
      <w:r>
        <w:rPr>
          <w:rFonts w:ascii="Arial" w:cs="Arial" w:eastAsia="Arial" w:hAnsi="Arial"/>
          <w:sz w:val="17"/>
          <w:szCs w:val="17"/>
          <w:b w:val="1"/>
          <w:bCs w:val="1"/>
          <w:color w:val="auto"/>
        </w:rPr>
        <w:t>Interest Rate Risk</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$1.9 billion in outstanding principal under the ABL Facility at September 30, 2023. To manage interest rate risk, in January 2023, we executed interest rate swap agreements relating to an aggregate of $750.0 million in notional amount of variable-rate debt under our ABL Facility. The swap agreements provide for us to pay a weighted average effective fixed interest rate of 3.44% per annum and receive a variable interest rate equal to one-month term SOFR, with maturity dates of June 30, 2027. The swap agreements were designated and qualified as hedges of the Company's exposure to changes in interest payment cash flows created by fluctuations in variable interest rates on our ABL Facility. An increase in interest rates by 100 basis points on our ABL Facility, inclusive of the impact of our interest rate swaps, would increase our quarter to date interest expense by approximately $11.4 million based on current outstanding borrowings.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22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50" w:name="page51"/>
    <w:bookmarkEnd w:id="50"/>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September 30, 2023. Based upon that evaluation, our Chief Executive Officer and Chief Financial Officer concluded that our disclosure controls and procedures were effective as of September 30, 2023.</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7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There were no changes in our internal control over financial reporting that occurred during our quarter ended September 30,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ind w:left="4960"/>
        <w:spacing w:after="0"/>
        <w:rPr>
          <w:sz w:val="20"/>
          <w:szCs w:val="20"/>
          <w:color w:val="auto"/>
        </w:rPr>
      </w:pPr>
      <w:r>
        <w:rPr>
          <w:rFonts w:ascii="Arial" w:cs="Arial" w:eastAsia="Arial" w:hAnsi="Arial"/>
          <w:sz w:val="38"/>
          <w:szCs w:val="38"/>
          <w:b w:val="1"/>
          <w:bCs w:val="1"/>
          <w:color w:val="1D2758"/>
        </w:rPr>
        <w:t>PART II</w:t>
      </w:r>
    </w:p>
    <w:p>
      <w:pPr>
        <w:spacing w:after="0" w:line="33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138"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2023,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15"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13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2022 Annual Report on Form 10-K, which have not materially changed.</w:t>
      </w:r>
    </w:p>
    <w:p>
      <w:pPr>
        <w:spacing w:after="0" w:line="325" w:lineRule="exact"/>
        <w:rPr>
          <w:sz w:val="20"/>
          <w:szCs w:val="20"/>
          <w:color w:val="auto"/>
        </w:rPr>
      </w:pPr>
    </w:p>
    <w:p>
      <w:pPr>
        <w:ind w:left="1740" w:right="1060" w:hanging="1855"/>
        <w:spacing w:after="0" w:line="264" w:lineRule="auto"/>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8"/>
          <w:szCs w:val="38"/>
          <w:b w:val="1"/>
          <w:bCs w:val="1"/>
          <w:color w:val="auto"/>
        </w:rPr>
        <w:t>Unregistered Sales of Equity Securities, Use of Proceeds, and Issuer Purchases of Equity Securities</w:t>
      </w:r>
    </w:p>
    <w:p>
      <w:pPr>
        <w:spacing w:after="0" w:line="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following table summarizes our purchase of Common Stock during the third quarter of 2023. No stock equivalents were purchased by the Company during the third quarter of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shd w:val="clear" w:color="auto" w:fill="1D2758"/>
          </w:tcPr>
          <w:p>
            <w:pPr>
              <w:spacing w:after="0"/>
              <w:rPr>
                <w:sz w:val="15"/>
                <w:szCs w:val="15"/>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340" w:type="dxa"/>
            <w:vAlign w:val="bottom"/>
            <w:shd w:val="clear" w:color="auto" w:fill="1D2758"/>
          </w:tcPr>
          <w:p>
            <w:pPr>
              <w:spacing w:after="0"/>
              <w:rPr>
                <w:sz w:val="15"/>
                <w:szCs w:val="15"/>
                <w:color w:val="auto"/>
              </w:rPr>
            </w:pPr>
          </w:p>
        </w:tc>
        <w:tc>
          <w:tcPr>
            <w:tcW w:w="1320" w:type="dxa"/>
            <w:vAlign w:val="bottom"/>
            <w:shd w:val="clear" w:color="auto" w:fill="1D2758"/>
          </w:tcPr>
          <w:p>
            <w:pPr>
              <w:spacing w:after="0"/>
              <w:rPr>
                <w:sz w:val="15"/>
                <w:szCs w:val="15"/>
                <w:color w:val="auto"/>
              </w:rPr>
            </w:pP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5"/>
                <w:szCs w:val="15"/>
                <w:color w:val="auto"/>
              </w:rPr>
            </w:pPr>
          </w:p>
        </w:tc>
        <w:tc>
          <w:tcPr>
            <w:tcW w:w="2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55"/>
        </w:trPr>
        <w:tc>
          <w:tcPr>
            <w:tcW w:w="3780" w:type="dxa"/>
            <w:vAlign w:val="bottom"/>
            <w:shd w:val="clear" w:color="auto" w:fill="1D2758"/>
          </w:tcPr>
          <w:p>
            <w:pPr>
              <w:spacing w:after="0"/>
              <w:rPr>
                <w:sz w:val="13"/>
                <w:szCs w:val="13"/>
                <w:color w:val="auto"/>
              </w:rPr>
            </w:pP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Shares and</w:t>
            </w:r>
          </w:p>
        </w:tc>
        <w:tc>
          <w:tcPr>
            <w:tcW w:w="34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21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200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1D2758"/>
          </w:tcPr>
          <w:p>
            <w:pPr>
              <w:spacing w:after="0"/>
              <w:rPr>
                <w:sz w:val="13"/>
                <w:szCs w:val="13"/>
                <w:color w:val="auto"/>
              </w:rPr>
            </w:pP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w:t>
            </w:r>
          </w:p>
        </w:tc>
        <w:tc>
          <w:tcPr>
            <w:tcW w:w="16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Average Price Paid</w:t>
            </w: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as</w:t>
            </w:r>
          </w:p>
        </w:tc>
        <w:tc>
          <w:tcPr>
            <w:tcW w:w="2220" w:type="dxa"/>
            <w:vAlign w:val="bottom"/>
            <w:gridSpan w:val="2"/>
            <w:shd w:val="clear" w:color="auto" w:fill="1D2758"/>
          </w:tcPr>
          <w:p>
            <w:pPr>
              <w:ind w:left="120"/>
              <w:spacing w:after="0" w:line="155" w:lineRule="exact"/>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55"/>
        </w:trPr>
        <w:tc>
          <w:tcPr>
            <w:tcW w:w="3780" w:type="dxa"/>
            <w:vAlign w:val="bottom"/>
            <w:vMerge w:val="restart"/>
            <w:shd w:val="clear" w:color="auto" w:fill="1D2758"/>
          </w:tcPr>
          <w:p>
            <w:pPr>
              <w:ind w:left="1660"/>
              <w:spacing w:after="0"/>
              <w:rPr>
                <w:sz w:val="20"/>
                <w:szCs w:val="20"/>
                <w:color w:val="auto"/>
              </w:rPr>
            </w:pPr>
            <w:r>
              <w:rPr>
                <w:rFonts w:ascii="Arial" w:cs="Arial" w:eastAsia="Arial" w:hAnsi="Arial"/>
                <w:sz w:val="15"/>
                <w:szCs w:val="15"/>
                <w:b w:val="1"/>
                <w:bCs w:val="1"/>
                <w:color w:val="FFFFFF"/>
              </w:rPr>
              <w:t>Period</w:t>
            </w: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Purchased (in</w:t>
            </w:r>
          </w:p>
        </w:tc>
        <w:tc>
          <w:tcPr>
            <w:tcW w:w="1660" w:type="dxa"/>
            <w:vAlign w:val="bottom"/>
            <w:gridSpan w:val="2"/>
            <w:vMerge w:val="continue"/>
            <w:shd w:val="clear" w:color="auto" w:fill="1D2758"/>
          </w:tcPr>
          <w:p>
            <w:pPr>
              <w:spacing w:after="0"/>
              <w:rPr>
                <w:sz w:val="13"/>
                <w:szCs w:val="13"/>
                <w:color w:val="auto"/>
              </w:rPr>
            </w:pP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3"/>
                <w:szCs w:val="13"/>
                <w:color w:val="auto"/>
              </w:rPr>
            </w:pPr>
          </w:p>
        </w:tc>
        <w:tc>
          <w:tcPr>
            <w:tcW w:w="2000" w:type="dxa"/>
            <w:vAlign w:val="bottom"/>
            <w:shd w:val="clear" w:color="auto" w:fill="1D2758"/>
          </w:tcPr>
          <w:p>
            <w:pPr>
              <w:jc w:val="right"/>
              <w:ind w:right="163"/>
              <w:spacing w:after="0" w:line="155" w:lineRule="exact"/>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22"/>
        </w:trPr>
        <w:tc>
          <w:tcPr>
            <w:tcW w:w="3780" w:type="dxa"/>
            <w:vAlign w:val="bottom"/>
            <w:vMerge w:val="continue"/>
            <w:shd w:val="clear" w:color="auto" w:fill="1D2758"/>
          </w:tcPr>
          <w:p>
            <w:pPr>
              <w:spacing w:after="0"/>
              <w:rPr>
                <w:sz w:val="10"/>
                <w:szCs w:val="10"/>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340" w:type="dxa"/>
            <w:vAlign w:val="bottom"/>
            <w:shd w:val="clear" w:color="auto" w:fill="1D2758"/>
          </w:tcPr>
          <w:p>
            <w:pPr>
              <w:spacing w:after="0"/>
              <w:rPr>
                <w:sz w:val="10"/>
                <w:szCs w:val="10"/>
                <w:color w:val="auto"/>
              </w:rPr>
            </w:pPr>
          </w:p>
        </w:tc>
        <w:tc>
          <w:tcPr>
            <w:tcW w:w="132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2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Under the Plans (in millions)</w:t>
            </w:r>
          </w:p>
        </w:tc>
        <w:tc>
          <w:tcPr>
            <w:tcW w:w="0" w:type="dxa"/>
            <w:vAlign w:val="bottom"/>
          </w:tcPr>
          <w:p>
            <w:pPr>
              <w:spacing w:after="0"/>
              <w:rPr>
                <w:sz w:val="1"/>
                <w:szCs w:val="1"/>
                <w:color w:val="auto"/>
              </w:rPr>
            </w:pPr>
          </w:p>
        </w:tc>
      </w:tr>
      <w:tr>
        <w:trPr>
          <w:trHeight w:val="84"/>
        </w:trPr>
        <w:tc>
          <w:tcPr>
            <w:tcW w:w="3780" w:type="dxa"/>
            <w:vAlign w:val="bottom"/>
            <w:shd w:val="clear" w:color="auto" w:fill="1D2758"/>
          </w:tcPr>
          <w:p>
            <w:pPr>
              <w:spacing w:after="0"/>
              <w:rPr>
                <w:sz w:val="7"/>
                <w:szCs w:val="7"/>
                <w:color w:val="auto"/>
              </w:rPr>
            </w:pPr>
          </w:p>
        </w:tc>
        <w:tc>
          <w:tcPr>
            <w:tcW w:w="1480" w:type="dxa"/>
            <w:vAlign w:val="bottom"/>
            <w:vMerge w:val="continue"/>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2100" w:type="dxa"/>
            <w:vAlign w:val="bottom"/>
            <w:vMerge w:val="continue"/>
            <w:shd w:val="clear" w:color="auto" w:fill="1D2758"/>
          </w:tcPr>
          <w:p>
            <w:pPr>
              <w:spacing w:after="0"/>
              <w:rPr>
                <w:sz w:val="7"/>
                <w:szCs w:val="7"/>
                <w:color w:val="auto"/>
              </w:rPr>
            </w:pPr>
          </w:p>
        </w:tc>
        <w:tc>
          <w:tcPr>
            <w:tcW w:w="2220" w:type="dxa"/>
            <w:vAlign w:val="bottom"/>
            <w:gridSpan w:val="2"/>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July 1, 2023 to July 31, 2023</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1,256.7</w:t>
            </w:r>
          </w:p>
        </w:tc>
        <w:tc>
          <w:tcPr>
            <w:tcW w:w="3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47.72</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1,256.7</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794.1</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5"/>
                <w:szCs w:val="15"/>
                <w:color w:val="auto"/>
              </w:rPr>
              <w:t>August 1, 2023 to August 31, 2023</w:t>
            </w:r>
          </w:p>
        </w:tc>
        <w:tc>
          <w:tcPr>
            <w:tcW w:w="1480" w:type="dxa"/>
            <w:vAlign w:val="bottom"/>
          </w:tcPr>
          <w:p>
            <w:pPr>
              <w:jc w:val="right"/>
              <w:spacing w:after="0"/>
              <w:rPr>
                <w:sz w:val="20"/>
                <w:szCs w:val="20"/>
                <w:color w:val="auto"/>
              </w:rPr>
            </w:pPr>
            <w:r>
              <w:rPr>
                <w:rFonts w:ascii="Arial" w:cs="Arial" w:eastAsia="Arial" w:hAnsi="Arial"/>
                <w:sz w:val="15"/>
                <w:szCs w:val="15"/>
                <w:color w:val="auto"/>
              </w:rPr>
              <w:t>2,612.4</w:t>
            </w:r>
          </w:p>
        </w:tc>
        <w:tc>
          <w:tcPr>
            <w:tcW w:w="340" w:type="dxa"/>
            <w:vAlign w:val="bottom"/>
          </w:tcPr>
          <w:p>
            <w:pPr>
              <w:ind w:left="12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3"/>
              <w:spacing w:after="0"/>
              <w:rPr>
                <w:sz w:val="20"/>
                <w:szCs w:val="20"/>
                <w:color w:val="auto"/>
              </w:rPr>
            </w:pPr>
            <w:r>
              <w:rPr>
                <w:rFonts w:ascii="Arial" w:cs="Arial" w:eastAsia="Arial" w:hAnsi="Arial"/>
                <w:sz w:val="15"/>
                <w:szCs w:val="15"/>
                <w:color w:val="auto"/>
              </w:rPr>
              <w:t>42.45</w:t>
            </w:r>
          </w:p>
        </w:tc>
        <w:tc>
          <w:tcPr>
            <w:tcW w:w="2100" w:type="dxa"/>
            <w:vAlign w:val="bottom"/>
          </w:tcPr>
          <w:p>
            <w:pPr>
              <w:jc w:val="right"/>
              <w:spacing w:after="0"/>
              <w:rPr>
                <w:sz w:val="20"/>
                <w:szCs w:val="20"/>
                <w:color w:val="auto"/>
              </w:rPr>
            </w:pPr>
            <w:r>
              <w:rPr>
                <w:rFonts w:ascii="Arial" w:cs="Arial" w:eastAsia="Arial" w:hAnsi="Arial"/>
                <w:sz w:val="15"/>
                <w:szCs w:val="15"/>
                <w:color w:val="auto"/>
              </w:rPr>
              <w:t>2,612.4</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683.1</w:t>
            </w:r>
          </w:p>
        </w:tc>
        <w:tc>
          <w:tcPr>
            <w:tcW w:w="0" w:type="dxa"/>
            <w:vAlign w:val="bottom"/>
          </w:tcPr>
          <w:p>
            <w:pPr>
              <w:spacing w:after="0"/>
              <w:rPr>
                <w:sz w:val="1"/>
                <w:szCs w:val="1"/>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September 1, 2023 to September 30, 2023</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1,173.4</w:t>
            </w:r>
          </w:p>
        </w:tc>
        <w:tc>
          <w:tcPr>
            <w:tcW w:w="3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41.67</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1,173.4</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634.2</w:t>
            </w: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5,042.5</w:t>
            </w:r>
          </w:p>
        </w:tc>
        <w:tc>
          <w:tcPr>
            <w:tcW w:w="340" w:type="dxa"/>
            <w:vAlign w:val="bottom"/>
          </w:tcPr>
          <w:p>
            <w:pPr>
              <w:ind w:left="12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3"/>
              <w:spacing w:after="0"/>
              <w:rPr>
                <w:sz w:val="20"/>
                <w:szCs w:val="20"/>
                <w:color w:val="auto"/>
              </w:rPr>
            </w:pPr>
            <w:r>
              <w:rPr>
                <w:rFonts w:ascii="Arial" w:cs="Arial" w:eastAsia="Arial" w:hAnsi="Arial"/>
                <w:sz w:val="15"/>
                <w:szCs w:val="15"/>
                <w:color w:val="auto"/>
              </w:rPr>
              <w:t>43.58</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5,042.5</w:t>
            </w: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and equivalents. In May 2023, the Board of Directors approved a reset of the share repurchase program authorizing the Company to repurchase up to $1.0 billion of its outstanding shares of Common Stock and equivalents. As of September 30, 2023, $634.2 million of the $1.0 billion share repurchase authorization remained available for use.</w:t>
      </w:r>
    </w:p>
    <w:p>
      <w:pPr>
        <w:spacing w:after="0" w:line="235"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19"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2" w:name="page53"/>
    <w:bookmarkEnd w:id="52"/>
    <w:p>
      <w:pPr>
        <w:spacing w:after="0"/>
        <w:tabs>
          <w:tab w:leader="none" w:pos="1720" w:val="left"/>
        </w:tabs>
        <w:rPr>
          <w:sz w:val="20"/>
          <w:szCs w:val="20"/>
          <w:color w:val="auto"/>
        </w:rPr>
      </w:pPr>
      <w:r>
        <w:rPr>
          <w:rFonts w:ascii="Arial" w:cs="Arial" w:eastAsia="Arial" w:hAnsi="Arial"/>
          <w:sz w:val="38"/>
          <w:szCs w:val="38"/>
          <w:b w:val="1"/>
          <w:bCs w:val="1"/>
          <w:color w:val="auto"/>
        </w:rPr>
        <w:t>ITEM 5.</w:t>
      </w:r>
      <w:r>
        <w:rPr>
          <w:sz w:val="20"/>
          <w:szCs w:val="20"/>
          <w:color w:val="auto"/>
        </w:rPr>
        <w:tab/>
      </w:r>
      <w:r>
        <w:rPr>
          <w:rFonts w:ascii="Arial" w:cs="Arial" w:eastAsia="Arial" w:hAnsi="Arial"/>
          <w:sz w:val="37"/>
          <w:szCs w:val="37"/>
          <w:b w:val="1"/>
          <w:bCs w:val="1"/>
          <w:color w:val="auto"/>
        </w:rPr>
        <w:t>Other Information</w:t>
      </w:r>
    </w:p>
    <w:p>
      <w:pPr>
        <w:spacing w:after="0" w:line="138" w:lineRule="exact"/>
        <w:rPr>
          <w:sz w:val="20"/>
          <w:szCs w:val="20"/>
          <w:color w:val="auto"/>
        </w:rPr>
      </w:pPr>
    </w:p>
    <w:p>
      <w:pPr>
        <w:ind w:firstLine="619"/>
        <w:spacing w:after="0" w:line="301" w:lineRule="auto"/>
        <w:rPr>
          <w:sz w:val="20"/>
          <w:szCs w:val="20"/>
          <w:color w:val="auto"/>
        </w:rPr>
      </w:pPr>
      <w:r>
        <w:rPr>
          <w:rFonts w:ascii="Arial" w:cs="Arial" w:eastAsia="Arial" w:hAnsi="Arial"/>
          <w:sz w:val="15"/>
          <w:szCs w:val="15"/>
          <w:color w:val="auto"/>
        </w:rPr>
        <w:t>During the three months ended September 30, 2023, no director or Section 16 officer of the Company adopted or terminated a "Rule 10b5-1 trading arrangement" or "non-Rule 10b5-1 trading arrangement," as each term is defined in Item 408(a) of Regulation S-K.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506"/>
        </w:trPr>
        <w:tc>
          <w:tcPr>
            <w:tcW w:w="1540" w:type="dxa"/>
            <w:vAlign w:val="bottom"/>
            <w:gridSpan w:val="2"/>
          </w:tcPr>
          <w:p>
            <w:pPr>
              <w:spacing w:after="0"/>
              <w:rPr>
                <w:sz w:val="20"/>
                <w:szCs w:val="20"/>
                <w:color w:val="auto"/>
              </w:rPr>
            </w:pPr>
            <w:r>
              <w:rPr>
                <w:rFonts w:ascii="Arial" w:cs="Arial" w:eastAsia="Arial" w:hAnsi="Arial"/>
                <w:sz w:val="38"/>
                <w:szCs w:val="38"/>
                <w:b w:val="1"/>
                <w:bCs w:val="1"/>
                <w:color w:val="auto"/>
              </w:rPr>
              <w:t>ITEM 6.</w:t>
            </w:r>
          </w:p>
        </w:tc>
        <w:tc>
          <w:tcPr>
            <w:tcW w:w="9700" w:type="dxa"/>
            <w:vAlign w:val="bottom"/>
          </w:tcPr>
          <w:p>
            <w:pPr>
              <w:ind w:left="200"/>
              <w:spacing w:after="0"/>
              <w:rPr>
                <w:sz w:val="20"/>
                <w:szCs w:val="20"/>
                <w:color w:val="auto"/>
              </w:rPr>
            </w:pPr>
            <w:r>
              <w:rPr>
                <w:rFonts w:ascii="Arial" w:cs="Arial" w:eastAsia="Arial" w:hAnsi="Arial"/>
                <w:sz w:val="38"/>
                <w:szCs w:val="38"/>
                <w:b w:val="1"/>
                <w:bCs w:val="1"/>
                <w:color w:val="auto"/>
              </w:rPr>
              <w:t>Exhibits</w:t>
            </w:r>
          </w:p>
        </w:tc>
        <w:tc>
          <w:tcPr>
            <w:tcW w:w="0" w:type="dxa"/>
            <w:vAlign w:val="bottom"/>
          </w:tcPr>
          <w:p>
            <w:pPr>
              <w:spacing w:after="0"/>
              <w:rPr>
                <w:sz w:val="1"/>
                <w:szCs w:val="1"/>
                <w:color w:val="auto"/>
              </w:rPr>
            </w:pPr>
          </w:p>
        </w:tc>
      </w:tr>
      <w:tr>
        <w:trPr>
          <w:trHeight w:val="206"/>
        </w:trPr>
        <w:tc>
          <w:tcPr>
            <w:tcW w:w="1160" w:type="dxa"/>
            <w:vAlign w:val="bottom"/>
            <w:shd w:val="clear" w:color="auto" w:fill="1D2758"/>
          </w:tcPr>
          <w:p>
            <w:pPr>
              <w:ind w:left="220"/>
              <w:spacing w:after="0"/>
              <w:rPr>
                <w:sz w:val="20"/>
                <w:szCs w:val="20"/>
                <w:color w:val="auto"/>
              </w:rPr>
            </w:pPr>
            <w:r>
              <w:rPr>
                <w:rFonts w:ascii="Arial" w:cs="Arial" w:eastAsia="Arial" w:hAnsi="Arial"/>
                <w:sz w:val="15"/>
                <w:szCs w:val="15"/>
                <w:b w:val="1"/>
                <w:bCs w:val="1"/>
                <w:color w:val="FFFFFF"/>
              </w:rPr>
              <w:t>Exhibit No.</w:t>
            </w:r>
          </w:p>
        </w:tc>
        <w:tc>
          <w:tcPr>
            <w:tcW w:w="380" w:type="dxa"/>
            <w:vAlign w:val="bottom"/>
            <w:shd w:val="clear" w:color="auto" w:fill="1D2758"/>
          </w:tcPr>
          <w:p>
            <w:pPr>
              <w:spacing w:after="0"/>
              <w:rPr>
                <w:sz w:val="17"/>
                <w:szCs w:val="17"/>
                <w:color w:val="auto"/>
              </w:rPr>
            </w:pPr>
          </w:p>
        </w:tc>
        <w:tc>
          <w:tcPr>
            <w:tcW w:w="9700" w:type="dxa"/>
            <w:vAlign w:val="bottom"/>
            <w:shd w:val="clear" w:color="auto" w:fill="1D2758"/>
          </w:tcPr>
          <w:p>
            <w:pPr>
              <w:ind w:left="4000"/>
              <w:spacing w:after="0"/>
              <w:rPr>
                <w:sz w:val="20"/>
                <w:szCs w:val="20"/>
                <w:color w:val="auto"/>
              </w:rPr>
            </w:pPr>
            <w:r>
              <w:rPr>
                <w:rFonts w:ascii="Arial" w:cs="Arial" w:eastAsia="Arial" w:hAnsi="Arial"/>
                <w:sz w:val="15"/>
                <w:szCs w:val="15"/>
                <w:b w:val="1"/>
                <w:bCs w:val="1"/>
                <w:color w:val="FFFFFF"/>
              </w:rPr>
              <w:t>Exhibit Description</w:t>
            </w:r>
          </w:p>
        </w:tc>
        <w:tc>
          <w:tcPr>
            <w:tcW w:w="0" w:type="dxa"/>
            <w:vAlign w:val="bottom"/>
          </w:tcPr>
          <w:p>
            <w:pPr>
              <w:spacing w:after="0"/>
              <w:rPr>
                <w:sz w:val="1"/>
                <w:szCs w:val="1"/>
                <w:color w:val="auto"/>
              </w:rPr>
            </w:pPr>
          </w:p>
        </w:tc>
      </w:tr>
      <w:tr>
        <w:trPr>
          <w:trHeight w:val="159"/>
        </w:trPr>
        <w:tc>
          <w:tcPr>
            <w:tcW w:w="1160" w:type="dxa"/>
            <w:vAlign w:val="bottom"/>
            <w:vMerge w:val="restart"/>
            <w:shd w:val="clear" w:color="auto" w:fill="DBDBDB"/>
          </w:tcPr>
          <w:p>
            <w:pPr>
              <w:ind w:left="20"/>
              <w:spacing w:after="0"/>
              <w:rPr>
                <w:rFonts w:ascii="Arial" w:cs="Arial" w:eastAsia="Arial" w:hAnsi="Arial"/>
                <w:sz w:val="15"/>
                <w:szCs w:val="15"/>
                <w:color w:val="auto"/>
              </w:rPr>
            </w:pPr>
            <w:hyperlink r:id="rId120">
              <w:r>
                <w:rPr>
                  <w:rFonts w:ascii="Arial" w:cs="Arial" w:eastAsia="Arial" w:hAnsi="Arial"/>
                  <w:sz w:val="15"/>
                  <w:szCs w:val="15"/>
                  <w:color w:val="auto"/>
                </w:rPr>
                <w:t>4.1</w:t>
              </w:r>
            </w:hyperlink>
          </w:p>
        </w:tc>
        <w:tc>
          <w:tcPr>
            <w:tcW w:w="10080" w:type="dxa"/>
            <w:vAlign w:val="bottom"/>
            <w:gridSpan w:val="2"/>
            <w:shd w:val="clear" w:color="auto" w:fill="DBDBDB"/>
          </w:tcPr>
          <w:p>
            <w:pPr>
              <w:ind w:left="120"/>
              <w:spacing w:after="0" w:line="159" w:lineRule="exact"/>
              <w:rPr>
                <w:rFonts w:ascii="Arial" w:cs="Arial" w:eastAsia="Arial" w:hAnsi="Arial"/>
                <w:sz w:val="15"/>
                <w:szCs w:val="15"/>
                <w:color w:val="auto"/>
              </w:rPr>
            </w:pPr>
            <w:hyperlink r:id="rId120">
              <w:r>
                <w:rPr>
                  <w:rFonts w:ascii="Arial" w:cs="Arial" w:eastAsia="Arial" w:hAnsi="Arial"/>
                  <w:sz w:val="15"/>
                  <w:szCs w:val="15"/>
                  <w:color w:val="auto"/>
                </w:rPr>
                <w:t>Indenture, dated as of September 25, 2023, by and among WSI, the Guarantors and Deutsche Bank Trust Company Americas, as trustee</w:t>
              </w:r>
            </w:hyperlink>
          </w:p>
        </w:tc>
        <w:tc>
          <w:tcPr>
            <w:tcW w:w="0" w:type="dxa"/>
            <w:vAlign w:val="bottom"/>
          </w:tcPr>
          <w:p>
            <w:pPr>
              <w:spacing w:after="0"/>
              <w:rPr>
                <w:sz w:val="1"/>
                <w:szCs w:val="1"/>
                <w:color w:val="auto"/>
              </w:rPr>
            </w:pPr>
          </w:p>
        </w:tc>
      </w:tr>
      <w:tr>
        <w:trPr>
          <w:trHeight w:val="202"/>
        </w:trPr>
        <w:tc>
          <w:tcPr>
            <w:tcW w:w="1160" w:type="dxa"/>
            <w:vAlign w:val="bottom"/>
            <w:vMerge w:val="continue"/>
            <w:shd w:val="clear" w:color="auto" w:fill="DBDBDB"/>
          </w:tcPr>
          <w:p>
            <w:pPr>
              <w:spacing w:after="0"/>
              <w:rPr>
                <w:sz w:val="17"/>
                <w:szCs w:val="17"/>
                <w:color w:val="auto"/>
              </w:rPr>
            </w:pPr>
          </w:p>
        </w:tc>
        <w:tc>
          <w:tcPr>
            <w:tcW w:w="10080" w:type="dxa"/>
            <w:vAlign w:val="bottom"/>
            <w:gridSpan w:val="2"/>
            <w:shd w:val="clear" w:color="auto" w:fill="DBDBDB"/>
          </w:tcPr>
          <w:p>
            <w:pPr>
              <w:ind w:left="120"/>
              <w:spacing w:after="0"/>
              <w:rPr>
                <w:rFonts w:ascii="Arial" w:cs="Arial" w:eastAsia="Arial" w:hAnsi="Arial"/>
                <w:sz w:val="15"/>
                <w:szCs w:val="15"/>
                <w:color w:val="auto"/>
              </w:rPr>
            </w:pPr>
            <w:hyperlink r:id="rId120">
              <w:r>
                <w:rPr>
                  <w:rFonts w:ascii="Arial" w:cs="Arial" w:eastAsia="Arial" w:hAnsi="Arial"/>
                  <w:sz w:val="15"/>
                  <w:szCs w:val="15"/>
                  <w:color w:val="auto"/>
                </w:rPr>
                <w:t>(incorporated by reference to Exhibit 4.1 of the Company's Current Report on Form 8-K, filed September 28, 2023).</w:t>
              </w:r>
            </w:hyperlink>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31.1*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31.2*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32.1**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32.2**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59"/>
        </w:trPr>
        <w:tc>
          <w:tcPr>
            <w:tcW w:w="1160" w:type="dxa"/>
            <w:vAlign w:val="bottom"/>
            <w:vMerge w:val="restart"/>
          </w:tcPr>
          <w:p>
            <w:pPr>
              <w:ind w:left="20"/>
              <w:spacing w:after="0"/>
              <w:rPr>
                <w:sz w:val="20"/>
                <w:szCs w:val="20"/>
                <w:color w:val="auto"/>
              </w:rPr>
            </w:pPr>
            <w:r>
              <w:rPr>
                <w:rFonts w:ascii="Arial" w:cs="Arial" w:eastAsia="Arial" w:hAnsi="Arial"/>
                <w:sz w:val="15"/>
                <w:szCs w:val="15"/>
                <w:color w:val="auto"/>
              </w:rPr>
              <w:t>101.INS</w:t>
            </w:r>
          </w:p>
        </w:tc>
        <w:tc>
          <w:tcPr>
            <w:tcW w:w="10080" w:type="dxa"/>
            <w:vAlign w:val="bottom"/>
            <w:gridSpan w:val="2"/>
          </w:tcPr>
          <w:p>
            <w:pPr>
              <w:ind w:left="120"/>
              <w:spacing w:after="0" w:line="159" w:lineRule="exact"/>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document</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101.SCH</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101.CAL</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101.DEF</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101.LAB</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101.PRE</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201"/>
        </w:trPr>
        <w:tc>
          <w:tcPr>
            <w:tcW w:w="1160" w:type="dxa"/>
            <w:vAlign w:val="bottom"/>
          </w:tcPr>
          <w:p>
            <w:pPr>
              <w:ind w:left="20"/>
              <w:spacing w:after="0"/>
              <w:rPr>
                <w:sz w:val="20"/>
                <w:szCs w:val="20"/>
                <w:color w:val="auto"/>
              </w:rPr>
            </w:pPr>
            <w:r>
              <w:rPr>
                <w:rFonts w:ascii="Arial" w:cs="Arial" w:eastAsia="Arial" w:hAnsi="Arial"/>
                <w:sz w:val="15"/>
                <w:szCs w:val="15"/>
                <w:color w:val="auto"/>
              </w:rPr>
              <w:t>104*</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color w:val="1D2758"/>
        </w:rPr>
        <w:t>Signature</w:t>
      </w:r>
    </w:p>
    <w:p>
      <w:pPr>
        <w:spacing w:after="0" w:line="99" w:lineRule="exact"/>
        <w:rPr>
          <w:sz w:val="20"/>
          <w:szCs w:val="20"/>
          <w:color w:val="auto"/>
        </w:rPr>
      </w:pPr>
    </w:p>
    <w:p>
      <w:pPr>
        <w:ind w:firstLine="619"/>
        <w:spacing w:after="0" w:line="30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76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401"/>
        </w:trPr>
        <w:tc>
          <w:tcPr>
            <w:tcW w:w="66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TIMOTHY D. BOSWELL</w:t>
            </w:r>
          </w:p>
        </w:tc>
      </w:tr>
      <w:tr>
        <w:trPr>
          <w:trHeight w:val="199"/>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40" w:type="dxa"/>
            <w:vAlign w:val="bottom"/>
          </w:tcPr>
          <w:p>
            <w:pPr>
              <w:ind w:left="200"/>
              <w:spacing w:after="0"/>
              <w:rPr>
                <w:sz w:val="20"/>
                <w:szCs w:val="20"/>
                <w:color w:val="auto"/>
              </w:rPr>
            </w:pPr>
            <w:r>
              <w:rPr>
                <w:rFonts w:ascii="Arial" w:cs="Arial" w:eastAsia="Arial" w:hAnsi="Arial"/>
                <w:sz w:val="15"/>
                <w:szCs w:val="15"/>
                <w:color w:val="auto"/>
              </w:rPr>
              <w:t>November 2, 2023</w:t>
            </w:r>
          </w:p>
        </w:tc>
        <w:tc>
          <w:tcPr>
            <w:tcW w:w="5220" w:type="dxa"/>
            <w:vAlign w:val="bottom"/>
          </w:tcPr>
          <w:p>
            <w:pPr>
              <w:spacing w:after="0"/>
              <w:rPr>
                <w:sz w:val="20"/>
                <w:szCs w:val="20"/>
                <w:color w:val="auto"/>
              </w:rPr>
            </w:pPr>
            <w:r>
              <w:rPr>
                <w:rFonts w:ascii="Arial" w:cs="Arial" w:eastAsia="Arial" w:hAnsi="Arial"/>
                <w:sz w:val="15"/>
                <w:szCs w:val="15"/>
                <w:color w:val="auto"/>
              </w:rPr>
              <w:t>Timothy D. Boswell</w:t>
            </w:r>
          </w:p>
        </w:tc>
      </w:tr>
      <w:tr>
        <w:trPr>
          <w:trHeight w:val="160"/>
        </w:trPr>
        <w:tc>
          <w:tcPr>
            <w:tcW w:w="6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5220" w:type="dxa"/>
            <w:vAlign w:val="bottom"/>
          </w:tcPr>
          <w:p>
            <w:pPr>
              <w:spacing w:after="0" w:line="161" w:lineRule="exact"/>
              <w:rPr>
                <w:sz w:val="20"/>
                <w:szCs w:val="20"/>
                <w:color w:val="auto"/>
              </w:rPr>
            </w:pPr>
            <w:r>
              <w:rPr>
                <w:rFonts w:ascii="Arial" w:cs="Arial" w:eastAsia="Arial" w:hAnsi="Arial"/>
                <w:sz w:val="15"/>
                <w:szCs w:val="15"/>
                <w:i w:val="1"/>
                <w:iCs w:val="1"/>
                <w:color w:val="auto"/>
              </w:rPr>
              <w:t>President &amp; Chief Financial Officer</w:t>
            </w:r>
          </w:p>
        </w:tc>
      </w:tr>
      <w:tr>
        <w:trPr>
          <w:trHeight w:val="202"/>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105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6"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09" w:lineRule="auto"/>
        <w:tabs>
          <w:tab w:leader="none" w:pos="817" w:val="left"/>
        </w:tabs>
        <w:numPr>
          <w:ilvl w:val="1"/>
          <w:numId w:val="1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 2023</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18415</wp:posOffset>
            </wp:positionV>
            <wp:extent cx="28403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8"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6"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09" w:lineRule="auto"/>
        <w:tabs>
          <w:tab w:leader="none" w:pos="817" w:val="left"/>
        </w:tabs>
        <w:numPr>
          <w:ilvl w:val="1"/>
          <w:numId w:val="1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 2023</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18415</wp:posOffset>
            </wp:positionV>
            <wp:extent cx="28403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and 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90"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2023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 2023</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18415</wp:posOffset>
            </wp:positionV>
            <wp:extent cx="25215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26"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8"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2023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 2023</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18415</wp:posOffset>
            </wp:positionV>
            <wp:extent cx="25215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0" Type="http://schemas.openxmlformats.org/officeDocument/2006/relationships/hyperlink" Target="https://www.sec.gov/Archives/edgar/data/1647088/000114036123045785/ef200114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2023-11-02T10:25:27Z</dcterms:created>
  <dcterms:modified xsi:type="dcterms:W3CDTF">2023-11-02T10:25:27Z</dcterms:modified>
</cp:coreProperties>
</file>