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465455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498475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89" w:lineRule="exact"/>
        <w:rPr>
          <w:sz w:val="24"/>
          <w:szCs w:val="24"/>
          <w:color w:val="auto"/>
        </w:rPr>
      </w:pPr>
    </w:p>
    <w:p>
      <w:pPr>
        <w:ind w:left="4160" w:right="2660" w:hanging="3442"/>
        <w:spacing w:after="0" w:line="348" w:lineRule="auto"/>
        <w:tabs>
          <w:tab w:leader="none" w:pos="1535"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2023</w:t>
      </w:r>
    </w:p>
    <w:p>
      <w:pPr>
        <w:spacing w:after="0" w:line="105" w:lineRule="exact"/>
        <w:rPr>
          <w:sz w:val="24"/>
          <w:szCs w:val="24"/>
          <w:color w:val="auto"/>
        </w:rPr>
      </w:pPr>
    </w:p>
    <w:p>
      <w:pPr>
        <w:ind w:left="3920" w:right="2660" w:hanging="3202"/>
        <w:spacing w:after="0" w:line="367" w:lineRule="auto"/>
        <w:tabs>
          <w:tab w:leader="none" w:pos="1532"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14"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2040255</wp:posOffset>
            </wp:positionH>
            <wp:positionV relativeFrom="paragraph">
              <wp:posOffset>68580</wp:posOffset>
            </wp:positionV>
            <wp:extent cx="3069590" cy="75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9590" cy="753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MOBILE MINI HOLDINGS CORP.</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color w:val="auto"/>
                <w:w w:val="97"/>
              </w:rPr>
              <w:t>(Exact name of registrant as specified in its charter)</w:t>
            </w:r>
          </w:p>
        </w:tc>
        <w:tc>
          <w:tcPr>
            <w:tcW w:w="3600" w:type="dxa"/>
            <w:vAlign w:val="bottom"/>
          </w:tcPr>
          <w:p>
            <w:pPr>
              <w:spacing w:after="0"/>
              <w:rPr>
                <w:sz w:val="15"/>
                <w:szCs w:val="15"/>
                <w:color w:val="auto"/>
              </w:rPr>
            </w:pPr>
          </w:p>
        </w:tc>
      </w:tr>
      <w:tr>
        <w:trPr>
          <w:trHeight w:val="202"/>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700" w:type="dxa"/>
            <w:vAlign w:val="bottom"/>
          </w:tcPr>
          <w:p>
            <w:pPr>
              <w:spacing w:after="0"/>
              <w:rPr>
                <w:sz w:val="17"/>
                <w:szCs w:val="17"/>
                <w:color w:val="auto"/>
              </w:rPr>
            </w:pPr>
          </w:p>
        </w:tc>
        <w:tc>
          <w:tcPr>
            <w:tcW w:w="360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174"/>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700" w:type="dxa"/>
            <w:vAlign w:val="bottom"/>
          </w:tcPr>
          <w:p>
            <w:pPr>
              <w:spacing w:after="0"/>
              <w:rPr>
                <w:sz w:val="15"/>
                <w:szCs w:val="15"/>
                <w:color w:val="auto"/>
              </w:rPr>
            </w:pPr>
          </w:p>
        </w:tc>
        <w:tc>
          <w:tcPr>
            <w:tcW w:w="3600" w:type="dxa"/>
            <w:vAlign w:val="bottom"/>
          </w:tcPr>
          <w:p>
            <w:pPr>
              <w:ind w:left="640"/>
              <w:spacing w:after="0"/>
              <w:rPr>
                <w:sz w:val="20"/>
                <w:szCs w:val="20"/>
                <w:color w:val="auto"/>
              </w:rPr>
            </w:pPr>
            <w:r>
              <w:rPr>
                <w:rFonts w:ascii="Arial" w:cs="Arial" w:eastAsia="Arial" w:hAnsi="Arial"/>
                <w:sz w:val="14"/>
                <w:szCs w:val="14"/>
                <w:color w:val="auto"/>
              </w:rPr>
              <w:t>(I.R.S. Employer Identification No.)</w:t>
            </w:r>
          </w:p>
        </w:tc>
      </w:tr>
      <w:tr>
        <w:trPr>
          <w:trHeight w:val="245"/>
        </w:trPr>
        <w:tc>
          <w:tcPr>
            <w:tcW w:w="3940" w:type="dxa"/>
            <w:vAlign w:val="bottom"/>
          </w:tcPr>
          <w:p>
            <w:pPr>
              <w:spacing w:after="0"/>
              <w:rPr>
                <w:sz w:val="21"/>
                <w:szCs w:val="21"/>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4646 E Van Buren St., Suite 400</w:t>
            </w:r>
          </w:p>
        </w:tc>
        <w:tc>
          <w:tcPr>
            <w:tcW w:w="3600" w:type="dxa"/>
            <w:vAlign w:val="bottom"/>
          </w:tcPr>
          <w:p>
            <w:pPr>
              <w:spacing w:after="0"/>
              <w:rPr>
                <w:sz w:val="21"/>
                <w:szCs w:val="21"/>
                <w:color w:val="auto"/>
              </w:rPr>
            </w:pPr>
          </w:p>
        </w:tc>
      </w:tr>
      <w:tr>
        <w:trPr>
          <w:trHeight w:val="174"/>
        </w:trPr>
        <w:tc>
          <w:tcPr>
            <w:tcW w:w="3940" w:type="dxa"/>
            <w:vAlign w:val="bottom"/>
          </w:tcPr>
          <w:p>
            <w:pPr>
              <w:spacing w:after="0"/>
              <w:rPr>
                <w:sz w:val="15"/>
                <w:szCs w:val="15"/>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Phoenix, Arizona 85008</w:t>
            </w:r>
          </w:p>
        </w:tc>
        <w:tc>
          <w:tcPr>
            <w:tcW w:w="3600" w:type="dxa"/>
            <w:vAlign w:val="bottom"/>
          </w:tcPr>
          <w:p>
            <w:pPr>
              <w:spacing w:after="0"/>
              <w:rPr>
                <w:sz w:val="15"/>
                <w:szCs w:val="15"/>
                <w:color w:val="auto"/>
              </w:rPr>
            </w:pPr>
          </w:p>
        </w:tc>
      </w:tr>
      <w:tr>
        <w:trPr>
          <w:trHeight w:val="174"/>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(Address, including zip code, of principal executive offices)</w:t>
            </w:r>
          </w:p>
        </w:tc>
        <w:tc>
          <w:tcPr>
            <w:tcW w:w="3600" w:type="dxa"/>
            <w:vAlign w:val="bottom"/>
          </w:tcPr>
          <w:p>
            <w:pPr>
              <w:spacing w:after="0"/>
              <w:rPr>
                <w:sz w:val="15"/>
                <w:szCs w:val="15"/>
                <w:color w:val="auto"/>
              </w:rPr>
            </w:pPr>
          </w:p>
        </w:tc>
      </w:tr>
      <w:tr>
        <w:trPr>
          <w:trHeight w:val="393"/>
        </w:trPr>
        <w:tc>
          <w:tcPr>
            <w:tcW w:w="3940" w:type="dxa"/>
            <w:vAlign w:val="bottom"/>
          </w:tcPr>
          <w:p>
            <w:pPr>
              <w:spacing w:after="0"/>
              <w:rPr>
                <w:sz w:val="24"/>
                <w:szCs w:val="24"/>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6"/>
              </w:rPr>
              <w:t>(480) 894-6311</w:t>
            </w:r>
          </w:p>
        </w:tc>
        <w:tc>
          <w:tcPr>
            <w:tcW w:w="3600" w:type="dxa"/>
            <w:vAlign w:val="bottom"/>
          </w:tcPr>
          <w:p>
            <w:pPr>
              <w:spacing w:after="0"/>
              <w:rPr>
                <w:sz w:val="24"/>
                <w:szCs w:val="24"/>
                <w:color w:val="auto"/>
              </w:rPr>
            </w:pPr>
          </w:p>
        </w:tc>
      </w:tr>
      <w:tr>
        <w:trPr>
          <w:trHeight w:val="174"/>
        </w:trPr>
        <w:tc>
          <w:tcPr>
            <w:tcW w:w="3940" w:type="dxa"/>
            <w:vAlign w:val="bottom"/>
          </w:tcPr>
          <w:p>
            <w:pPr>
              <w:spacing w:after="0"/>
              <w:rPr>
                <w:sz w:val="15"/>
                <w:szCs w:val="15"/>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color w:val="auto"/>
                <w:w w:val="97"/>
              </w:rPr>
              <w:t>(Registrant’s telephone number, including area code)</w:t>
            </w:r>
          </w:p>
        </w:tc>
        <w:tc>
          <w:tcPr>
            <w:tcW w:w="3600" w:type="dxa"/>
            <w:vAlign w:val="bottom"/>
          </w:tcPr>
          <w:p>
            <w:pPr>
              <w:spacing w:after="0"/>
              <w:rPr>
                <w:sz w:val="15"/>
                <w:szCs w:val="15"/>
                <w:color w:val="auto"/>
              </w:rPr>
            </w:pPr>
          </w:p>
        </w:tc>
      </w:tr>
      <w:tr>
        <w:trPr>
          <w:trHeight w:val="271"/>
        </w:trPr>
        <w:tc>
          <w:tcPr>
            <w:tcW w:w="7640" w:type="dxa"/>
            <w:vAlign w:val="bottom"/>
            <w:gridSpan w:val="2"/>
          </w:tcPr>
          <w:p>
            <w:pPr>
              <w:jc w:val="center"/>
              <w:ind w:left="3551"/>
              <w:spacing w:after="0"/>
              <w:rPr>
                <w:sz w:val="20"/>
                <w:szCs w:val="20"/>
                <w:color w:val="auto"/>
              </w:rPr>
            </w:pPr>
            <w:r>
              <w:rPr>
                <w:rFonts w:ascii="Arial" w:cs="Arial" w:eastAsia="Arial" w:hAnsi="Arial"/>
                <w:sz w:val="14"/>
                <w:szCs w:val="14"/>
                <w:color w:val="auto"/>
                <w:w w:val="97"/>
              </w:rPr>
              <w:t>(Former Name or Former Address, if Changed Since Last Report)</w:t>
            </w:r>
          </w:p>
        </w:tc>
        <w:tc>
          <w:tcPr>
            <w:tcW w:w="3600" w:type="dxa"/>
            <w:vAlign w:val="bottom"/>
          </w:tcPr>
          <w:p>
            <w:pPr>
              <w:spacing w:after="0"/>
              <w:rPr>
                <w:sz w:val="23"/>
                <w:szCs w:val="23"/>
                <w:color w:val="auto"/>
              </w:rPr>
            </w:pPr>
          </w:p>
        </w:tc>
      </w:tr>
      <w:tr>
        <w:trPr>
          <w:trHeight w:val="387"/>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7"/>
        </w:trPr>
        <w:tc>
          <w:tcPr>
            <w:tcW w:w="3940" w:type="dxa"/>
            <w:vAlign w:val="bottom"/>
            <w:tcBorders>
              <w:bottom w:val="single" w:sz="8" w:color="auto"/>
            </w:tcBorders>
          </w:tcPr>
          <w:p>
            <w:pPr>
              <w:jc w:val="center"/>
              <w:ind w:left="991"/>
              <w:spacing w:after="0"/>
              <w:rPr>
                <w:sz w:val="20"/>
                <w:szCs w:val="20"/>
                <w:color w:val="auto"/>
              </w:rPr>
            </w:pPr>
            <w:r>
              <w:rPr>
                <w:rFonts w:ascii="Arial" w:cs="Arial" w:eastAsia="Arial" w:hAnsi="Arial"/>
                <w:sz w:val="14"/>
                <w:szCs w:val="14"/>
                <w:b w:val="1"/>
                <w:bCs w:val="1"/>
                <w:color w:val="auto"/>
                <w:w w:val="99"/>
              </w:rPr>
              <w:t>Title of each class</w:t>
            </w:r>
          </w:p>
        </w:tc>
        <w:tc>
          <w:tcPr>
            <w:tcW w:w="370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7"/>
              </w:rPr>
              <w:t>Trading Symbol(s)</w:t>
            </w: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5"/>
        </w:trPr>
        <w:tc>
          <w:tcPr>
            <w:tcW w:w="3940" w:type="dxa"/>
            <w:vAlign w:val="bottom"/>
          </w:tcPr>
          <w:p>
            <w:pPr>
              <w:jc w:val="center"/>
              <w:ind w:left="991"/>
              <w:spacing w:after="0"/>
              <w:rPr>
                <w:sz w:val="20"/>
                <w:szCs w:val="20"/>
                <w:color w:val="auto"/>
              </w:rPr>
            </w:pPr>
            <w:r>
              <w:rPr>
                <w:rFonts w:ascii="Arial" w:cs="Arial" w:eastAsia="Arial" w:hAnsi="Arial"/>
                <w:sz w:val="14"/>
                <w:szCs w:val="14"/>
                <w:color w:val="auto"/>
                <w:w w:val="97"/>
              </w:rPr>
              <w:t>Common Stock, par value $0.0001 per share</w:t>
            </w:r>
          </w:p>
        </w:tc>
        <w:tc>
          <w:tcPr>
            <w:tcW w:w="3700" w:type="dxa"/>
            <w:vAlign w:val="bottom"/>
          </w:tcPr>
          <w:p>
            <w:pPr>
              <w:jc w:val="center"/>
              <w:ind w:left="311"/>
              <w:spacing w:after="0"/>
              <w:rPr>
                <w:sz w:val="20"/>
                <w:szCs w:val="20"/>
                <w:color w:val="auto"/>
              </w:rPr>
            </w:pPr>
            <w:r>
              <w:rPr>
                <w:rFonts w:ascii="Arial" w:cs="Arial" w:eastAsia="Arial" w:hAnsi="Arial"/>
                <w:sz w:val="14"/>
                <w:szCs w:val="14"/>
                <w:color w:val="auto"/>
                <w:w w:val="97"/>
              </w:rPr>
              <w:t>WSC</w:t>
            </w:r>
          </w:p>
        </w:tc>
        <w:tc>
          <w:tcPr>
            <w:tcW w:w="3600" w:type="dxa"/>
            <w:vAlign w:val="bottom"/>
          </w:tcPr>
          <w:p>
            <w:pPr>
              <w:ind w:left="620"/>
              <w:spacing w:after="0"/>
              <w:rPr>
                <w:sz w:val="20"/>
                <w:szCs w:val="20"/>
                <w:color w:val="auto"/>
              </w:rPr>
            </w:pPr>
            <w:r>
              <w:rPr>
                <w:rFonts w:ascii="Arial" w:cs="Arial" w:eastAsia="Arial" w:hAnsi="Arial"/>
                <w:sz w:val="14"/>
                <w:szCs w:val="14"/>
                <w:color w:val="auto"/>
              </w:rPr>
              <w:t>The Nasdaq Capital Market</w:t>
            </w:r>
          </w:p>
        </w:tc>
      </w:tr>
    </w:tbl>
    <w:p>
      <w:pPr>
        <w:spacing w:after="0" w:line="367" w:lineRule="exact"/>
        <w:rPr>
          <w:sz w:val="24"/>
          <w:szCs w:val="24"/>
          <w:color w:val="auto"/>
        </w:rPr>
      </w:pPr>
    </w:p>
    <w:p>
      <w:pPr>
        <w:jc w:val="both"/>
        <w:ind w:firstLine="619"/>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6" w:lineRule="exact"/>
        <w:rPr>
          <w:sz w:val="24"/>
          <w:szCs w:val="24"/>
          <w:color w:val="auto"/>
        </w:rPr>
      </w:pPr>
    </w:p>
    <w:p>
      <w:pPr>
        <w:jc w:val="both"/>
        <w:ind w:firstLine="619"/>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 w:lineRule="exact"/>
        <w:rPr>
          <w:sz w:val="24"/>
          <w:szCs w:val="24"/>
          <w:color w:val="auto"/>
        </w:rPr>
      </w:pPr>
    </w:p>
    <w:p>
      <w:pPr>
        <w:jc w:val="both"/>
        <w:ind w:firstLine="619"/>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3" w:right="339" w:bottom="1440" w:gutter="0" w:footer="0" w:header="0"/>
        </w:sectPr>
      </w:pPr>
    </w:p>
    <w:p>
      <w:pPr>
        <w:spacing w:after="0" w:line="31"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5540" w:space="720"/>
            <w:col w:w="4980"/>
          </w:cols>
          <w:pgMar w:left="320" w:top="923"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5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83" w:lineRule="exact"/>
        <w:rPr>
          <w:sz w:val="24"/>
          <w:szCs w:val="24"/>
          <w:color w:val="auto"/>
        </w:rPr>
      </w:pPr>
    </w:p>
    <w:p>
      <w:pPr>
        <w:sectPr>
          <w:pgSz w:w="11900" w:h="16838" w:orient="portrait"/>
          <w:cols w:equalWidth="0" w:num="2">
            <w:col w:w="5540" w:space="720"/>
            <w:col w:w="4980"/>
          </w:cols>
          <w:pgMar w:left="320" w:top="923" w:right="339" w:bottom="1440" w:gutter="0" w:footer="0" w:header="0"/>
          <w:type w:val="continuous"/>
        </w:sectPr>
      </w:pPr>
    </w:p>
    <w:p>
      <w:pPr>
        <w:ind w:firstLine="61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left="620" w:right="360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197,304,704 shares at July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895985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MOBILE MINI HOLDINGS CORP.</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38670" cy="245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2"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 (unaudited,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138670" cy="23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Condensed Consolidated Balance Sheets as of June 30, 2023 and December 31, 2022 (audited)</w:t>
      </w:r>
    </w:p>
    <w:p>
      <w:pPr>
        <w:spacing w:after="0" w:line="201" w:lineRule="exact"/>
        <w:rPr>
          <w:sz w:val="20"/>
          <w:szCs w:val="20"/>
          <w:color w:val="auto"/>
        </w:rPr>
      </w:pPr>
    </w:p>
    <w:p>
      <w:pPr>
        <w:ind w:left="1640" w:right="940"/>
        <w:spacing w:after="0" w:line="529" w:lineRule="auto"/>
        <w:rPr>
          <w:sz w:val="20"/>
          <w:szCs w:val="20"/>
          <w:color w:val="auto"/>
        </w:rPr>
      </w:pPr>
      <w:r>
        <w:rPr>
          <w:rFonts w:ascii="Arial" w:cs="Arial" w:eastAsia="Arial" w:hAnsi="Arial"/>
          <w:sz w:val="15"/>
          <w:szCs w:val="15"/>
          <w:color w:val="auto"/>
        </w:rPr>
        <w:t>Condensed Consolidated Statements of Operations for the Three and Six Months Ended June 30, 2023 and 2022 Condensed Consolidated Statements of Comprehensive Income for the Three and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138670" cy="23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ind w:left="1640" w:right="1320"/>
        <w:spacing w:after="0" w:line="319" w:lineRule="auto"/>
        <w:rPr>
          <w:sz w:val="20"/>
          <w:szCs w:val="20"/>
          <w:color w:val="auto"/>
        </w:rPr>
      </w:pPr>
      <w:r>
        <w:rPr>
          <w:rFonts w:ascii="Arial" w:cs="Arial" w:eastAsia="Arial" w:hAnsi="Arial"/>
          <w:sz w:val="15"/>
          <w:szCs w:val="15"/>
          <w:color w:val="auto"/>
        </w:rPr>
        <w:t>Condensed Consolidated Statements of Changes in Equity for the Three and Six Months Ended June 30, 2023 and 2022 Condensed Consolidated Statements of Cash Flows for the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138670" cy="23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02"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38670" cy="23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94"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01"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138670" cy="245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181"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1</w:t>
            </w:r>
          </w:p>
        </w:tc>
        <w:tc>
          <w:tcPr>
            <w:tcW w:w="10140" w:type="dxa"/>
            <w:vAlign w:val="bottom"/>
            <w:shd w:val="clear" w:color="auto" w:fill="DBDBDB"/>
          </w:tcPr>
          <w:p>
            <w:pPr>
              <w:ind w:left="180"/>
              <w:spacing w:after="0"/>
              <w:rPr>
                <w:sz w:val="20"/>
                <w:szCs w:val="20"/>
                <w:color w:val="auto"/>
              </w:rPr>
            </w:pPr>
            <w:r>
              <w:rPr>
                <w:rFonts w:ascii="Arial" w:cs="Arial" w:eastAsia="Arial" w:hAnsi="Arial"/>
                <w:sz w:val="15"/>
                <w:szCs w:val="15"/>
                <w:color w:val="auto"/>
              </w:rPr>
              <w:t>Legal Proceedings</w:t>
            </w:r>
          </w:p>
        </w:tc>
      </w:tr>
      <w:tr>
        <w:trPr>
          <w:trHeight w:val="158"/>
        </w:trPr>
        <w:tc>
          <w:tcPr>
            <w:tcW w:w="1100" w:type="dxa"/>
            <w:vAlign w:val="bottom"/>
            <w:shd w:val="clear" w:color="auto" w:fill="DBDBDB"/>
          </w:tcPr>
          <w:p>
            <w:pPr>
              <w:spacing w:after="0"/>
              <w:rPr>
                <w:sz w:val="13"/>
                <w:szCs w:val="13"/>
                <w:color w:val="auto"/>
              </w:rPr>
            </w:pPr>
          </w:p>
        </w:tc>
        <w:tc>
          <w:tcPr>
            <w:tcW w:w="10140" w:type="dxa"/>
            <w:vAlign w:val="bottom"/>
            <w:shd w:val="clear" w:color="auto" w:fill="DBDBDB"/>
          </w:tcPr>
          <w:p>
            <w:pPr>
              <w:spacing w:after="0"/>
              <w:rPr>
                <w:sz w:val="13"/>
                <w:szCs w:val="13"/>
                <w:color w:val="auto"/>
              </w:rPr>
            </w:pPr>
          </w:p>
        </w:tc>
      </w:tr>
      <w:tr>
        <w:trPr>
          <w:trHeight w:val="201"/>
        </w:trPr>
        <w:tc>
          <w:tcPr>
            <w:tcW w:w="1100" w:type="dxa"/>
            <w:vAlign w:val="bottom"/>
          </w:tcPr>
          <w:p>
            <w:pPr>
              <w:ind w:left="400"/>
              <w:spacing w:after="0"/>
              <w:rPr>
                <w:sz w:val="20"/>
                <w:szCs w:val="20"/>
                <w:color w:val="auto"/>
              </w:rPr>
            </w:pPr>
            <w:r>
              <w:rPr>
                <w:rFonts w:ascii="Arial" w:cs="Arial" w:eastAsia="Arial" w:hAnsi="Arial"/>
                <w:sz w:val="15"/>
                <w:szCs w:val="15"/>
                <w:color w:val="auto"/>
              </w:rPr>
              <w:t>Item 1A</w:t>
            </w:r>
          </w:p>
        </w:tc>
        <w:tc>
          <w:tcPr>
            <w:tcW w:w="10140" w:type="dxa"/>
            <w:vAlign w:val="bottom"/>
          </w:tcPr>
          <w:p>
            <w:pPr>
              <w:ind w:left="180"/>
              <w:spacing w:after="0"/>
              <w:rPr>
                <w:sz w:val="20"/>
                <w:szCs w:val="20"/>
                <w:color w:val="auto"/>
              </w:rPr>
            </w:pPr>
            <w:r>
              <w:rPr>
                <w:rFonts w:ascii="Arial" w:cs="Arial" w:eastAsia="Arial" w:hAnsi="Arial"/>
                <w:sz w:val="15"/>
                <w:szCs w:val="15"/>
                <w:color w:val="auto"/>
              </w:rPr>
              <w:t>Risk Factors</w:t>
            </w:r>
          </w:p>
        </w:tc>
      </w:tr>
      <w:tr>
        <w:trPr>
          <w:trHeight w:val="186"/>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01"/>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2</w:t>
            </w:r>
          </w:p>
        </w:tc>
        <w:tc>
          <w:tcPr>
            <w:tcW w:w="10140" w:type="dxa"/>
            <w:vAlign w:val="bottom"/>
            <w:shd w:val="clear" w:color="auto" w:fill="DBDBDB"/>
          </w:tcPr>
          <w:p>
            <w:pPr>
              <w:ind w:left="18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173"/>
        </w:trPr>
        <w:tc>
          <w:tcPr>
            <w:tcW w:w="1100" w:type="dxa"/>
            <w:vAlign w:val="bottom"/>
            <w:shd w:val="clear" w:color="auto" w:fill="DBDBDB"/>
          </w:tcPr>
          <w:p>
            <w:pPr>
              <w:spacing w:after="0"/>
              <w:rPr>
                <w:sz w:val="15"/>
                <w:szCs w:val="15"/>
                <w:color w:val="auto"/>
              </w:rPr>
            </w:pPr>
          </w:p>
        </w:tc>
        <w:tc>
          <w:tcPr>
            <w:tcW w:w="10140" w:type="dxa"/>
            <w:vAlign w:val="bottom"/>
            <w:shd w:val="clear" w:color="auto" w:fill="DBDBDB"/>
          </w:tcPr>
          <w:p>
            <w:pPr>
              <w:spacing w:after="0"/>
              <w:rPr>
                <w:sz w:val="15"/>
                <w:szCs w:val="15"/>
                <w:color w:val="auto"/>
              </w:rPr>
            </w:pPr>
          </w:p>
        </w:tc>
      </w:tr>
      <w:tr>
        <w:trPr>
          <w:trHeight w:val="201"/>
        </w:trPr>
        <w:tc>
          <w:tcPr>
            <w:tcW w:w="1100" w:type="dxa"/>
            <w:vAlign w:val="bottom"/>
          </w:tcPr>
          <w:p>
            <w:pPr>
              <w:ind w:left="400"/>
              <w:spacing w:after="0"/>
              <w:rPr>
                <w:sz w:val="20"/>
                <w:szCs w:val="20"/>
                <w:color w:val="auto"/>
              </w:rPr>
            </w:pPr>
            <w:r>
              <w:rPr>
                <w:rFonts w:ascii="Arial" w:cs="Arial" w:eastAsia="Arial" w:hAnsi="Arial"/>
                <w:sz w:val="15"/>
                <w:szCs w:val="15"/>
                <w:color w:val="auto"/>
              </w:rPr>
              <w:t>Item 3</w:t>
            </w:r>
          </w:p>
        </w:tc>
        <w:tc>
          <w:tcPr>
            <w:tcW w:w="10140" w:type="dxa"/>
            <w:vAlign w:val="bottom"/>
          </w:tcPr>
          <w:p>
            <w:pPr>
              <w:ind w:left="180"/>
              <w:spacing w:after="0"/>
              <w:rPr>
                <w:sz w:val="20"/>
                <w:szCs w:val="20"/>
                <w:color w:val="auto"/>
              </w:rPr>
            </w:pPr>
            <w:r>
              <w:rPr>
                <w:rFonts w:ascii="Arial" w:cs="Arial" w:eastAsia="Arial" w:hAnsi="Arial"/>
                <w:sz w:val="15"/>
                <w:szCs w:val="15"/>
                <w:color w:val="auto"/>
              </w:rPr>
              <w:t>Defaults Upon Senior Securities</w:t>
            </w:r>
          </w:p>
        </w:tc>
      </w:tr>
      <w:tr>
        <w:trPr>
          <w:trHeight w:val="173"/>
        </w:trPr>
        <w:tc>
          <w:tcPr>
            <w:tcW w:w="1100" w:type="dxa"/>
            <w:vAlign w:val="bottom"/>
          </w:tcPr>
          <w:p>
            <w:pPr>
              <w:spacing w:after="0"/>
              <w:rPr>
                <w:sz w:val="15"/>
                <w:szCs w:val="15"/>
                <w:color w:val="auto"/>
              </w:rPr>
            </w:pPr>
          </w:p>
        </w:tc>
        <w:tc>
          <w:tcPr>
            <w:tcW w:w="10140" w:type="dxa"/>
            <w:vAlign w:val="bottom"/>
          </w:tcPr>
          <w:p>
            <w:pPr>
              <w:spacing w:after="0"/>
              <w:rPr>
                <w:sz w:val="15"/>
                <w:szCs w:val="15"/>
                <w:color w:val="auto"/>
              </w:rPr>
            </w:pPr>
          </w:p>
        </w:tc>
      </w:tr>
      <w:tr>
        <w:trPr>
          <w:trHeight w:val="201"/>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4</w:t>
            </w:r>
          </w:p>
        </w:tc>
        <w:tc>
          <w:tcPr>
            <w:tcW w:w="10140" w:type="dxa"/>
            <w:vAlign w:val="bottom"/>
            <w:shd w:val="clear" w:color="auto" w:fill="DBDBDB"/>
          </w:tcPr>
          <w:p>
            <w:pPr>
              <w:ind w:left="180"/>
              <w:spacing w:after="0"/>
              <w:rPr>
                <w:sz w:val="20"/>
                <w:szCs w:val="20"/>
                <w:color w:val="auto"/>
              </w:rPr>
            </w:pPr>
            <w:r>
              <w:rPr>
                <w:rFonts w:ascii="Arial" w:cs="Arial" w:eastAsia="Arial" w:hAnsi="Arial"/>
                <w:sz w:val="15"/>
                <w:szCs w:val="15"/>
                <w:color w:val="auto"/>
              </w:rPr>
              <w:t>Mine Safety Disclosures</w:t>
            </w:r>
          </w:p>
        </w:tc>
      </w:tr>
      <w:tr>
        <w:trPr>
          <w:trHeight w:val="186"/>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01"/>
        </w:trPr>
        <w:tc>
          <w:tcPr>
            <w:tcW w:w="1100" w:type="dxa"/>
            <w:vAlign w:val="bottom"/>
          </w:tcPr>
          <w:p>
            <w:pPr>
              <w:ind w:left="400"/>
              <w:spacing w:after="0"/>
              <w:rPr>
                <w:sz w:val="20"/>
                <w:szCs w:val="20"/>
                <w:color w:val="auto"/>
              </w:rPr>
            </w:pPr>
            <w:r>
              <w:rPr>
                <w:rFonts w:ascii="Arial" w:cs="Arial" w:eastAsia="Arial" w:hAnsi="Arial"/>
                <w:sz w:val="15"/>
                <w:szCs w:val="15"/>
                <w:color w:val="auto"/>
              </w:rPr>
              <w:t>Item 5</w:t>
            </w:r>
          </w:p>
        </w:tc>
        <w:tc>
          <w:tcPr>
            <w:tcW w:w="10140" w:type="dxa"/>
            <w:vAlign w:val="bottom"/>
          </w:tcPr>
          <w:p>
            <w:pPr>
              <w:ind w:left="180"/>
              <w:spacing w:after="0"/>
              <w:rPr>
                <w:sz w:val="20"/>
                <w:szCs w:val="20"/>
                <w:color w:val="auto"/>
              </w:rPr>
            </w:pPr>
            <w:r>
              <w:rPr>
                <w:rFonts w:ascii="Arial" w:cs="Arial" w:eastAsia="Arial" w:hAnsi="Arial"/>
                <w:sz w:val="15"/>
                <w:szCs w:val="15"/>
                <w:color w:val="auto"/>
              </w:rPr>
              <w:t>Other Information</w:t>
            </w:r>
          </w:p>
        </w:tc>
      </w:tr>
      <w:tr>
        <w:trPr>
          <w:trHeight w:val="173"/>
        </w:trPr>
        <w:tc>
          <w:tcPr>
            <w:tcW w:w="1100" w:type="dxa"/>
            <w:vAlign w:val="bottom"/>
          </w:tcPr>
          <w:p>
            <w:pPr>
              <w:spacing w:after="0"/>
              <w:rPr>
                <w:sz w:val="15"/>
                <w:szCs w:val="15"/>
                <w:color w:val="auto"/>
              </w:rPr>
            </w:pPr>
          </w:p>
        </w:tc>
        <w:tc>
          <w:tcPr>
            <w:tcW w:w="10140" w:type="dxa"/>
            <w:vAlign w:val="bottom"/>
          </w:tcPr>
          <w:p>
            <w:pPr>
              <w:spacing w:after="0"/>
              <w:rPr>
                <w:sz w:val="15"/>
                <w:szCs w:val="15"/>
                <w:color w:val="auto"/>
              </w:rPr>
            </w:pPr>
          </w:p>
        </w:tc>
      </w:tr>
      <w:tr>
        <w:trPr>
          <w:trHeight w:val="201"/>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6</w:t>
            </w:r>
          </w:p>
        </w:tc>
        <w:tc>
          <w:tcPr>
            <w:tcW w:w="10140" w:type="dxa"/>
            <w:vAlign w:val="bottom"/>
            <w:shd w:val="clear" w:color="auto" w:fill="DBDBDB"/>
          </w:tcPr>
          <w:p>
            <w:pPr>
              <w:ind w:left="180"/>
              <w:spacing w:after="0"/>
              <w:rPr>
                <w:sz w:val="20"/>
                <w:szCs w:val="20"/>
                <w:color w:val="auto"/>
              </w:rPr>
            </w:pPr>
            <w:r>
              <w:rPr>
                <w:rFonts w:ascii="Arial" w:cs="Arial" w:eastAsia="Arial" w:hAnsi="Arial"/>
                <w:sz w:val="15"/>
                <w:szCs w:val="15"/>
                <w:color w:val="auto"/>
              </w:rPr>
              <w:t>Exhibits</w:t>
            </w:r>
          </w:p>
        </w:tc>
      </w:tr>
      <w:tr>
        <w:trPr>
          <w:trHeight w:val="173"/>
        </w:trPr>
        <w:tc>
          <w:tcPr>
            <w:tcW w:w="1100" w:type="dxa"/>
            <w:vAlign w:val="bottom"/>
            <w:shd w:val="clear" w:color="auto" w:fill="DBDBDB"/>
          </w:tcPr>
          <w:p>
            <w:pPr>
              <w:spacing w:after="0"/>
              <w:rPr>
                <w:sz w:val="15"/>
                <w:szCs w:val="15"/>
                <w:color w:val="auto"/>
              </w:rPr>
            </w:pPr>
          </w:p>
        </w:tc>
        <w:tc>
          <w:tcPr>
            <w:tcW w:w="10140" w:type="dxa"/>
            <w:vAlign w:val="bottom"/>
            <w:shd w:val="clear" w:color="auto" w:fill="DBDBDB"/>
          </w:tcPr>
          <w:p>
            <w:pPr>
              <w:spacing w:after="0"/>
              <w:rPr>
                <w:sz w:val="15"/>
                <w:szCs w:val="15"/>
                <w:color w:val="auto"/>
              </w:rPr>
            </w:pPr>
          </w:p>
        </w:tc>
      </w:tr>
      <w:tr>
        <w:trPr>
          <w:trHeight w:val="216"/>
        </w:trPr>
        <w:tc>
          <w:tcPr>
            <w:tcW w:w="110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210185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81"/>
        </w:trPr>
        <w:tc>
          <w:tcPr>
            <w:tcW w:w="3480" w:type="dxa"/>
            <w:vAlign w:val="bottom"/>
          </w:tcPr>
          <w:p>
            <w:pPr>
              <w:ind w:left="2180"/>
              <w:spacing w:after="0"/>
              <w:rPr>
                <w:sz w:val="20"/>
                <w:szCs w:val="20"/>
                <w:color w:val="auto"/>
              </w:rPr>
            </w:pPr>
            <w:r>
              <w:rPr>
                <w:rFonts w:ascii="Arial" w:cs="Arial" w:eastAsia="Arial" w:hAnsi="Arial"/>
                <w:sz w:val="34"/>
                <w:szCs w:val="34"/>
                <w:b w:val="1"/>
                <w:bCs w:val="1"/>
                <w:color w:val="auto"/>
              </w:rPr>
              <w:t>ITEM 1.</w:t>
            </w:r>
          </w:p>
        </w:tc>
        <w:tc>
          <w:tcPr>
            <w:tcW w:w="4340" w:type="dxa"/>
            <w:vAlign w:val="bottom"/>
            <w:gridSpan w:val="2"/>
          </w:tcPr>
          <w:p>
            <w:pPr>
              <w:jc w:val="right"/>
              <w:ind w:right="543"/>
              <w:spacing w:after="0"/>
              <w:rPr>
                <w:sz w:val="20"/>
                <w:szCs w:val="20"/>
                <w:color w:val="auto"/>
              </w:rPr>
            </w:pPr>
            <w:r>
              <w:rPr>
                <w:rFonts w:ascii="Arial" w:cs="Arial" w:eastAsia="Arial" w:hAnsi="Arial"/>
                <w:sz w:val="34"/>
                <w:szCs w:val="34"/>
                <w:b w:val="1"/>
                <w:bCs w:val="1"/>
                <w:color w:val="auto"/>
              </w:rPr>
              <w:t>Financial Statements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80" w:type="dxa"/>
            <w:vAlign w:val="bottom"/>
          </w:tcPr>
          <w:p>
            <w:pPr>
              <w:spacing w:after="0"/>
              <w:rPr>
                <w:sz w:val="24"/>
                <w:szCs w:val="24"/>
                <w:color w:val="auto"/>
              </w:rPr>
            </w:pPr>
          </w:p>
        </w:tc>
        <w:tc>
          <w:tcPr>
            <w:tcW w:w="4340" w:type="dxa"/>
            <w:vAlign w:val="bottom"/>
            <w:gridSpan w:val="2"/>
          </w:tcPr>
          <w:p>
            <w:pPr>
              <w:jc w:val="right"/>
              <w:ind w:right="343"/>
              <w:spacing w:after="0"/>
              <w:rPr>
                <w:sz w:val="20"/>
                <w:szCs w:val="20"/>
                <w:color w:val="auto"/>
              </w:rPr>
            </w:pPr>
            <w:r>
              <w:rPr>
                <w:rFonts w:ascii="Arial" w:cs="Arial" w:eastAsia="Arial" w:hAnsi="Arial"/>
                <w:sz w:val="22"/>
                <w:szCs w:val="22"/>
                <w:color w:val="1D2758"/>
              </w:rPr>
              <w:t>WillScot Mobile Mini Holdings Corp.</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80" w:type="dxa"/>
            <w:vAlign w:val="bottom"/>
          </w:tcPr>
          <w:p>
            <w:pPr>
              <w:spacing w:after="0"/>
              <w:rPr>
                <w:sz w:val="24"/>
                <w:szCs w:val="24"/>
                <w:color w:val="auto"/>
              </w:rPr>
            </w:pPr>
          </w:p>
        </w:tc>
        <w:tc>
          <w:tcPr>
            <w:tcW w:w="4340" w:type="dxa"/>
            <w:vAlign w:val="bottom"/>
            <w:gridSpan w:val="2"/>
          </w:tcPr>
          <w:p>
            <w:pPr>
              <w:jc w:val="right"/>
              <w:ind w:right="43"/>
              <w:spacing w:after="0"/>
              <w:rPr>
                <w:sz w:val="20"/>
                <w:szCs w:val="20"/>
                <w:color w:val="auto"/>
              </w:rPr>
            </w:pPr>
            <w:r>
              <w:rPr>
                <w:rFonts w:ascii="Arial" w:cs="Arial" w:eastAsia="Arial" w:hAnsi="Arial"/>
                <w:sz w:val="22"/>
                <w:szCs w:val="22"/>
                <w:color w:val="1D2758"/>
              </w:rPr>
              <w:t>Condensed Consolidated Balance Sheets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4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2740" w:type="dxa"/>
            <w:vAlign w:val="bottom"/>
            <w:shd w:val="clear" w:color="auto" w:fill="1D2758"/>
          </w:tcPr>
          <w:p>
            <w:pPr>
              <w:spacing w:after="0"/>
              <w:rPr>
                <w:sz w:val="24"/>
                <w:szCs w:val="24"/>
                <w:color w:val="auto"/>
              </w:rPr>
            </w:pPr>
          </w:p>
        </w:tc>
        <w:tc>
          <w:tcPr>
            <w:tcW w:w="2480" w:type="dxa"/>
            <w:vAlign w:val="bottom"/>
            <w:gridSpan w:val="2"/>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June 30, 2023 (unaudited)</w:t>
            </w:r>
          </w:p>
        </w:tc>
        <w:tc>
          <w:tcPr>
            <w:tcW w:w="80" w:type="dxa"/>
            <w:vAlign w:val="bottom"/>
            <w:shd w:val="clear" w:color="auto" w:fill="1D2758"/>
          </w:tcPr>
          <w:p>
            <w:pPr>
              <w:spacing w:after="0"/>
              <w:rPr>
                <w:sz w:val="24"/>
                <w:szCs w:val="24"/>
                <w:color w:val="auto"/>
              </w:rPr>
            </w:pPr>
          </w:p>
        </w:tc>
        <w:tc>
          <w:tcPr>
            <w:tcW w:w="320" w:type="dxa"/>
            <w:vAlign w:val="bottom"/>
            <w:shd w:val="clear" w:color="auto" w:fill="1D2758"/>
          </w:tcPr>
          <w:p>
            <w:pPr>
              <w:spacing w:after="0"/>
              <w:rPr>
                <w:sz w:val="24"/>
                <w:szCs w:val="24"/>
                <w:color w:val="auto"/>
              </w:rPr>
            </w:pPr>
          </w:p>
        </w:tc>
        <w:tc>
          <w:tcPr>
            <w:tcW w:w="214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December 31, 2022</w:t>
            </w:r>
          </w:p>
        </w:tc>
        <w:tc>
          <w:tcPr>
            <w:tcW w:w="0" w:type="dxa"/>
            <w:vAlign w:val="bottom"/>
          </w:tcPr>
          <w:p>
            <w:pPr>
              <w:spacing w:after="0"/>
              <w:rPr>
                <w:sz w:val="1"/>
                <w:szCs w:val="1"/>
                <w:color w:val="auto"/>
              </w:rPr>
            </w:pPr>
          </w:p>
        </w:tc>
      </w:tr>
      <w:tr>
        <w:trPr>
          <w:trHeight w:val="84"/>
        </w:trPr>
        <w:tc>
          <w:tcPr>
            <w:tcW w:w="3480" w:type="dxa"/>
            <w:vAlign w:val="bottom"/>
            <w:vMerge w:val="continue"/>
            <w:shd w:val="clear" w:color="auto" w:fill="1D2758"/>
          </w:tcPr>
          <w:p>
            <w:pPr>
              <w:spacing w:after="0"/>
              <w:rPr>
                <w:sz w:val="7"/>
                <w:szCs w:val="7"/>
                <w:color w:val="auto"/>
              </w:rPr>
            </w:pPr>
          </w:p>
        </w:tc>
        <w:tc>
          <w:tcPr>
            <w:tcW w:w="2740" w:type="dxa"/>
            <w:vAlign w:val="bottom"/>
            <w:shd w:val="clear" w:color="auto" w:fill="1D2758"/>
          </w:tcPr>
          <w:p>
            <w:pPr>
              <w:spacing w:after="0"/>
              <w:rPr>
                <w:sz w:val="7"/>
                <w:szCs w:val="7"/>
                <w:color w:val="auto"/>
              </w:rPr>
            </w:pPr>
          </w:p>
        </w:tc>
        <w:tc>
          <w:tcPr>
            <w:tcW w:w="2480" w:type="dxa"/>
            <w:vAlign w:val="bottom"/>
            <w:gridSpan w:val="2"/>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214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274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21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740" w:type="dxa"/>
            <w:vAlign w:val="bottom"/>
          </w:tcPr>
          <w:p>
            <w:pPr>
              <w:spacing w:after="0"/>
              <w:rPr>
                <w:sz w:val="17"/>
                <w:szCs w:val="17"/>
                <w:color w:val="auto"/>
              </w:rPr>
            </w:pPr>
          </w:p>
        </w:tc>
        <w:tc>
          <w:tcPr>
            <w:tcW w:w="1600" w:type="dxa"/>
            <w:vAlign w:val="bottom"/>
          </w:tcPr>
          <w:p>
            <w:pPr>
              <w:jc w:val="right"/>
              <w:ind w:right="14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7,660</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7,390</w:t>
            </w:r>
          </w:p>
        </w:tc>
        <w:tc>
          <w:tcPr>
            <w:tcW w:w="0" w:type="dxa"/>
            <w:vAlign w:val="bottom"/>
          </w:tcPr>
          <w:p>
            <w:pPr>
              <w:spacing w:after="0"/>
              <w:rPr>
                <w:sz w:val="1"/>
                <w:szCs w:val="1"/>
                <w:color w:val="auto"/>
              </w:rPr>
            </w:pPr>
          </w:p>
        </w:tc>
      </w:tr>
      <w:tr>
        <w:trPr>
          <w:trHeight w:val="162"/>
        </w:trPr>
        <w:tc>
          <w:tcPr>
            <w:tcW w:w="6220" w:type="dxa"/>
            <w:vAlign w:val="bottom"/>
            <w:gridSpan w:val="2"/>
            <w:shd w:val="clear" w:color="auto" w:fill="DDDDDD"/>
          </w:tcPr>
          <w:p>
            <w:pPr>
              <w:ind w:left="220"/>
              <w:spacing w:after="0" w:line="162" w:lineRule="exact"/>
              <w:rPr>
                <w:sz w:val="20"/>
                <w:szCs w:val="20"/>
                <w:color w:val="auto"/>
              </w:rPr>
            </w:pPr>
            <w:r>
              <w:rPr>
                <w:rFonts w:ascii="Arial" w:cs="Arial" w:eastAsia="Arial" w:hAnsi="Arial"/>
                <w:sz w:val="15"/>
                <w:szCs w:val="15"/>
                <w:color w:val="auto"/>
              </w:rPr>
              <w:t>Trade receivables, net of allowances for credit losses at June 30, 2023 and December</w:t>
            </w:r>
          </w:p>
        </w:tc>
        <w:tc>
          <w:tcPr>
            <w:tcW w:w="1600" w:type="dxa"/>
            <w:vAlign w:val="bottom"/>
            <w:shd w:val="clear" w:color="auto" w:fill="DDDDDD"/>
          </w:tcPr>
          <w:p>
            <w:pPr>
              <w:spacing w:after="0"/>
              <w:rPr>
                <w:sz w:val="14"/>
                <w:szCs w:val="14"/>
                <w:color w:val="auto"/>
              </w:rPr>
            </w:pPr>
          </w:p>
        </w:tc>
        <w:tc>
          <w:tcPr>
            <w:tcW w:w="880" w:type="dxa"/>
            <w:vAlign w:val="bottom"/>
            <w:vMerge w:val="restart"/>
            <w:shd w:val="clear" w:color="auto" w:fill="DDDDDD"/>
          </w:tcPr>
          <w:p>
            <w:pPr>
              <w:jc w:val="right"/>
              <w:ind w:right="3"/>
              <w:spacing w:after="0"/>
              <w:rPr>
                <w:sz w:val="20"/>
                <w:szCs w:val="20"/>
                <w:color w:val="auto"/>
              </w:rPr>
            </w:pPr>
            <w:r>
              <w:rPr>
                <w:rFonts w:ascii="Arial" w:cs="Arial" w:eastAsia="Arial" w:hAnsi="Arial"/>
                <w:sz w:val="15"/>
                <w:szCs w:val="15"/>
                <w:color w:val="auto"/>
              </w:rPr>
              <w:t>441,643</w:t>
            </w:r>
          </w:p>
        </w:tc>
        <w:tc>
          <w:tcPr>
            <w:tcW w:w="8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21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409,766</w:t>
            </w:r>
          </w:p>
        </w:tc>
        <w:tc>
          <w:tcPr>
            <w:tcW w:w="0" w:type="dxa"/>
            <w:vAlign w:val="bottom"/>
          </w:tcPr>
          <w:p>
            <w:pPr>
              <w:spacing w:after="0"/>
              <w:rPr>
                <w:sz w:val="1"/>
                <w:szCs w:val="1"/>
                <w:color w:val="auto"/>
              </w:rPr>
            </w:pPr>
          </w:p>
        </w:tc>
      </w:tr>
      <w:tr>
        <w:trPr>
          <w:trHeight w:val="202"/>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31, 2022 of $68,096 and $57,048, respectively</w:t>
            </w:r>
          </w:p>
        </w:tc>
        <w:tc>
          <w:tcPr>
            <w:tcW w:w="274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21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44,360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41,030</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42,868</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31,635</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 - current</w:t>
            </w:r>
          </w:p>
        </w:tc>
        <w:tc>
          <w:tcPr>
            <w:tcW w:w="274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8,924</w:t>
            </w:r>
          </w:p>
        </w:tc>
        <w:tc>
          <w:tcPr>
            <w:tcW w:w="8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31,220</w:t>
            </w:r>
          </w:p>
        </w:tc>
        <w:tc>
          <w:tcPr>
            <w:tcW w:w="0" w:type="dxa"/>
            <w:vAlign w:val="bottom"/>
          </w:tcPr>
          <w:p>
            <w:pPr>
              <w:spacing w:after="0"/>
              <w:rPr>
                <w:sz w:val="1"/>
                <w:szCs w:val="1"/>
                <w:color w:val="auto"/>
              </w:rPr>
            </w:pPr>
          </w:p>
        </w:tc>
      </w:tr>
      <w:tr>
        <w:trPr>
          <w:trHeight w:val="202"/>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274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545,455</w:t>
            </w:r>
          </w:p>
        </w:tc>
        <w:tc>
          <w:tcPr>
            <w:tcW w:w="8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521,041</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3,196,518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3,077,287</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315,444</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304,659</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234,468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219,405</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1,012,135</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1,011,429</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407,250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419,125</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7,230</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6,683</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 - non-current</w:t>
            </w:r>
          </w:p>
        </w:tc>
        <w:tc>
          <w:tcPr>
            <w:tcW w:w="274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268,022</w:t>
            </w:r>
          </w:p>
        </w:tc>
        <w:tc>
          <w:tcPr>
            <w:tcW w:w="0" w:type="dxa"/>
            <w:vAlign w:val="bottom"/>
          </w:tcPr>
          <w:p>
            <w:pPr>
              <w:spacing w:after="0"/>
              <w:rPr>
                <w:sz w:val="1"/>
                <w:szCs w:val="1"/>
                <w:color w:val="auto"/>
              </w:rPr>
            </w:pPr>
          </w:p>
        </w:tc>
      </w:tr>
      <w:tr>
        <w:trPr>
          <w:trHeight w:val="202"/>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long-term assets</w:t>
            </w:r>
          </w:p>
        </w:tc>
        <w:tc>
          <w:tcPr>
            <w:tcW w:w="2740" w:type="dxa"/>
            <w:vAlign w:val="bottom"/>
            <w:shd w:val="clear" w:color="auto" w:fill="DDDDDD"/>
          </w:tcPr>
          <w:p>
            <w:pPr>
              <w:spacing w:after="0"/>
              <w:rPr>
                <w:sz w:val="17"/>
                <w:szCs w:val="17"/>
                <w:color w:val="auto"/>
              </w:rPr>
            </w:pPr>
          </w:p>
        </w:tc>
        <w:tc>
          <w:tcPr>
            <w:tcW w:w="1600" w:type="dxa"/>
            <w:vAlign w:val="bottom"/>
            <w:tcBorders>
              <w:bottom w:val="single" w:sz="8" w:color="auto"/>
            </w:tcBorders>
            <w:shd w:val="clear" w:color="auto" w:fill="DDDDDD"/>
          </w:tcPr>
          <w:p>
            <w:pPr>
              <w:spacing w:after="0"/>
              <w:rPr>
                <w:sz w:val="17"/>
                <w:szCs w:val="17"/>
                <w:color w:val="auto"/>
              </w:rPr>
            </w:pPr>
          </w:p>
        </w:tc>
        <w:tc>
          <w:tcPr>
            <w:tcW w:w="8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5,173,045</w:t>
            </w:r>
          </w:p>
        </w:tc>
        <w:tc>
          <w:tcPr>
            <w:tcW w:w="80" w:type="dxa"/>
            <w:vAlign w:val="bottom"/>
            <w:shd w:val="clear" w:color="auto" w:fill="DDDDDD"/>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5,306,610</w:t>
            </w:r>
          </w:p>
        </w:tc>
        <w:tc>
          <w:tcPr>
            <w:tcW w:w="0" w:type="dxa"/>
            <w:vAlign w:val="bottom"/>
          </w:tcPr>
          <w:p>
            <w:pPr>
              <w:spacing w:after="0"/>
              <w:rPr>
                <w:sz w:val="1"/>
                <w:szCs w:val="1"/>
                <w:color w:val="auto"/>
              </w:rPr>
            </w:pPr>
          </w:p>
        </w:tc>
      </w:tr>
      <w:tr>
        <w:trPr>
          <w:trHeight w:val="196"/>
        </w:trPr>
        <w:tc>
          <w:tcPr>
            <w:tcW w:w="348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2740" w:type="dxa"/>
            <w:vAlign w:val="bottom"/>
          </w:tcPr>
          <w:p>
            <w:pPr>
              <w:spacing w:after="0"/>
              <w:rPr>
                <w:sz w:val="17"/>
                <w:szCs w:val="17"/>
                <w:color w:val="auto"/>
              </w:rPr>
            </w:pPr>
          </w:p>
        </w:tc>
        <w:tc>
          <w:tcPr>
            <w:tcW w:w="1600" w:type="dxa"/>
            <w:vAlign w:val="bottom"/>
          </w:tcPr>
          <w:p>
            <w:pPr>
              <w:jc w:val="right"/>
              <w:ind w:right="14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5,718,500</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5,827,651</w:t>
            </w:r>
          </w:p>
        </w:tc>
        <w:tc>
          <w:tcPr>
            <w:tcW w:w="0" w:type="dxa"/>
            <w:vAlign w:val="bottom"/>
          </w:tcPr>
          <w:p>
            <w:pPr>
              <w:spacing w:after="0"/>
              <w:rPr>
                <w:sz w:val="1"/>
                <w:szCs w:val="1"/>
                <w:color w:val="auto"/>
              </w:rPr>
            </w:pPr>
          </w:p>
        </w:tc>
      </w:tr>
      <w:tr>
        <w:trPr>
          <w:trHeight w:val="20"/>
        </w:trPr>
        <w:tc>
          <w:tcPr>
            <w:tcW w:w="3480" w:type="dxa"/>
            <w:vAlign w:val="bottom"/>
            <w:tcBorders>
              <w:bottom w:val="single" w:sz="8" w:color="DDDDDD"/>
            </w:tcBorders>
          </w:tcPr>
          <w:p>
            <w:pPr>
              <w:spacing w:after="0" w:line="20" w:lineRule="exact"/>
              <w:rPr>
                <w:sz w:val="1"/>
                <w:szCs w:val="1"/>
                <w:color w:val="auto"/>
              </w:rPr>
            </w:pPr>
          </w:p>
        </w:tc>
        <w:tc>
          <w:tcPr>
            <w:tcW w:w="27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Liabilities and equity</w:t>
            </w:r>
          </w:p>
        </w:tc>
        <w:tc>
          <w:tcPr>
            <w:tcW w:w="2740" w:type="dxa"/>
            <w:vAlign w:val="bottom"/>
            <w:shd w:val="clear" w:color="auto" w:fill="DDDDDD"/>
          </w:tcPr>
          <w:p>
            <w:pPr>
              <w:spacing w:after="0"/>
              <w:rPr>
                <w:sz w:val="15"/>
                <w:szCs w:val="15"/>
                <w:color w:val="auto"/>
              </w:rPr>
            </w:pPr>
          </w:p>
        </w:tc>
        <w:tc>
          <w:tcPr>
            <w:tcW w:w="1600" w:type="dxa"/>
            <w:vAlign w:val="bottom"/>
            <w:shd w:val="clear" w:color="auto" w:fill="DDDDDD"/>
          </w:tcPr>
          <w:p>
            <w:pPr>
              <w:spacing w:after="0"/>
              <w:rPr>
                <w:sz w:val="15"/>
                <w:szCs w:val="15"/>
                <w:color w:val="auto"/>
              </w:rPr>
            </w:pPr>
          </w:p>
        </w:tc>
        <w:tc>
          <w:tcPr>
            <w:tcW w:w="88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14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2740" w:type="dxa"/>
            <w:vAlign w:val="bottom"/>
          </w:tcPr>
          <w:p>
            <w:pPr>
              <w:spacing w:after="0"/>
              <w:rPr>
                <w:sz w:val="17"/>
                <w:szCs w:val="17"/>
                <w:color w:val="auto"/>
              </w:rPr>
            </w:pPr>
          </w:p>
        </w:tc>
        <w:tc>
          <w:tcPr>
            <w:tcW w:w="1600" w:type="dxa"/>
            <w:vAlign w:val="bottom"/>
          </w:tcPr>
          <w:p>
            <w:pPr>
              <w:jc w:val="right"/>
              <w:ind w:right="14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91,783</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109,349</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Accrued expenses</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120,301</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109,542</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43,647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56,340</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209,726</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203,793</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liabilities - current</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54,110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50,499</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Current portion of long-term debt</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13,952</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13,324</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Liabilities held for sale - current</w:t>
            </w:r>
          </w:p>
        </w:tc>
        <w:tc>
          <w:tcPr>
            <w:tcW w:w="274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19,095</w:t>
            </w:r>
          </w:p>
        </w:tc>
        <w:tc>
          <w:tcPr>
            <w:tcW w:w="0" w:type="dxa"/>
            <w:vAlign w:val="bottom"/>
          </w:tcPr>
          <w:p>
            <w:pPr>
              <w:spacing w:after="0"/>
              <w:rPr>
                <w:sz w:val="1"/>
                <w:szCs w:val="1"/>
                <w:color w:val="auto"/>
              </w:rPr>
            </w:pPr>
          </w:p>
        </w:tc>
      </w:tr>
      <w:tr>
        <w:trPr>
          <w:trHeight w:val="202"/>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274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533,519</w:t>
            </w:r>
          </w:p>
        </w:tc>
        <w:tc>
          <w:tcPr>
            <w:tcW w:w="8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561,942</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3,035,521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3,063,042</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506,425</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401,453</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181,319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169,618</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23,171</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18,537</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Liabilities held for sale - non-current</w:t>
            </w:r>
          </w:p>
        </w:tc>
        <w:tc>
          <w:tcPr>
            <w:tcW w:w="274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47,759</w:t>
            </w:r>
          </w:p>
        </w:tc>
        <w:tc>
          <w:tcPr>
            <w:tcW w:w="0" w:type="dxa"/>
            <w:vAlign w:val="bottom"/>
          </w:tcPr>
          <w:p>
            <w:pPr>
              <w:spacing w:after="0"/>
              <w:rPr>
                <w:sz w:val="1"/>
                <w:szCs w:val="1"/>
                <w:color w:val="auto"/>
              </w:rPr>
            </w:pPr>
          </w:p>
        </w:tc>
      </w:tr>
      <w:tr>
        <w:trPr>
          <w:trHeight w:val="202"/>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Long-term liabilities</w:t>
            </w:r>
          </w:p>
        </w:tc>
        <w:tc>
          <w:tcPr>
            <w:tcW w:w="2740" w:type="dxa"/>
            <w:vAlign w:val="bottom"/>
            <w:shd w:val="clear" w:color="auto" w:fill="DDDDDD"/>
          </w:tcPr>
          <w:p>
            <w:pPr>
              <w:spacing w:after="0"/>
              <w:rPr>
                <w:sz w:val="17"/>
                <w:szCs w:val="17"/>
                <w:color w:val="auto"/>
              </w:rPr>
            </w:pPr>
          </w:p>
        </w:tc>
        <w:tc>
          <w:tcPr>
            <w:tcW w:w="1600" w:type="dxa"/>
            <w:vAlign w:val="bottom"/>
            <w:tcBorders>
              <w:bottom w:val="single" w:sz="8" w:color="auto"/>
            </w:tcBorders>
            <w:shd w:val="clear" w:color="auto" w:fill="DDDDDD"/>
          </w:tcPr>
          <w:p>
            <w:pPr>
              <w:spacing w:after="0"/>
              <w:rPr>
                <w:sz w:val="17"/>
                <w:szCs w:val="17"/>
                <w:color w:val="auto"/>
              </w:rPr>
            </w:pPr>
          </w:p>
        </w:tc>
        <w:tc>
          <w:tcPr>
            <w:tcW w:w="8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3,746,436</w:t>
            </w:r>
          </w:p>
        </w:tc>
        <w:tc>
          <w:tcPr>
            <w:tcW w:w="80" w:type="dxa"/>
            <w:vAlign w:val="bottom"/>
            <w:shd w:val="clear" w:color="auto" w:fill="DDDDDD"/>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3,700,409</w:t>
            </w:r>
          </w:p>
        </w:tc>
        <w:tc>
          <w:tcPr>
            <w:tcW w:w="0" w:type="dxa"/>
            <w:vAlign w:val="bottom"/>
          </w:tcPr>
          <w:p>
            <w:pPr>
              <w:spacing w:after="0"/>
              <w:rPr>
                <w:sz w:val="1"/>
                <w:szCs w:val="1"/>
                <w:color w:val="auto"/>
              </w:rPr>
            </w:pPr>
          </w:p>
        </w:tc>
      </w:tr>
      <w:tr>
        <w:trPr>
          <w:trHeight w:val="186"/>
        </w:trPr>
        <w:tc>
          <w:tcPr>
            <w:tcW w:w="348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27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4,279,955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4,262,351</w:t>
            </w:r>
          </w:p>
        </w:tc>
        <w:tc>
          <w:tcPr>
            <w:tcW w:w="0" w:type="dxa"/>
            <w:vAlign w:val="bottom"/>
          </w:tcPr>
          <w:p>
            <w:pPr>
              <w:spacing w:after="0"/>
              <w:rPr>
                <w:sz w:val="1"/>
                <w:szCs w:val="1"/>
                <w:color w:val="auto"/>
              </w:rPr>
            </w:pPr>
          </w:p>
        </w:tc>
      </w:tr>
      <w:tr>
        <w:trPr>
          <w:trHeight w:val="152"/>
        </w:trPr>
        <w:tc>
          <w:tcPr>
            <w:tcW w:w="6220" w:type="dxa"/>
            <w:vAlign w:val="bottom"/>
            <w:gridSpan w:val="2"/>
            <w:shd w:val="clear" w:color="auto" w:fill="DDDDDD"/>
          </w:tcPr>
          <w:p>
            <w:pPr>
              <w:ind w:left="220"/>
              <w:spacing w:after="0" w:line="152" w:lineRule="exact"/>
              <w:rPr>
                <w:sz w:val="20"/>
                <w:szCs w:val="20"/>
                <w:color w:val="auto"/>
              </w:rPr>
            </w:pPr>
            <w:r>
              <w:rPr>
                <w:rFonts w:ascii="Arial" w:cs="Arial" w:eastAsia="Arial" w:hAnsi="Arial"/>
                <w:sz w:val="15"/>
                <w:szCs w:val="15"/>
                <w:color w:val="auto"/>
              </w:rPr>
              <w:t>Preferred Stock: $0.0001 par, 1,000,000 shares authorized and zero shares issued and</w:t>
            </w:r>
          </w:p>
        </w:tc>
        <w:tc>
          <w:tcPr>
            <w:tcW w:w="160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21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62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outstanding at June 30, 2023 and December 31, 2022</w:t>
            </w:r>
          </w:p>
        </w:tc>
        <w:tc>
          <w:tcPr>
            <w:tcW w:w="160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21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220" w:type="dxa"/>
            <w:vAlign w:val="bottom"/>
            <w:gridSpan w:val="2"/>
          </w:tcPr>
          <w:p>
            <w:pPr>
              <w:ind w:left="220"/>
              <w:spacing w:after="0" w:line="159" w:lineRule="exact"/>
              <w:rPr>
                <w:sz w:val="20"/>
                <w:szCs w:val="20"/>
                <w:color w:val="auto"/>
              </w:rPr>
            </w:pPr>
            <w:r>
              <w:rPr>
                <w:rFonts w:ascii="Arial" w:cs="Arial" w:eastAsia="Arial" w:hAnsi="Arial"/>
                <w:sz w:val="15"/>
                <w:szCs w:val="15"/>
                <w:color w:val="auto"/>
              </w:rPr>
              <w:t>Common Stock: $0.0001 par, 500,000,000 shares authorized and 198,375,893 and</w:t>
            </w: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20" w:type="dxa"/>
            <w:vAlign w:val="bottom"/>
            <w:gridSpan w:val="2"/>
          </w:tcPr>
          <w:p>
            <w:pPr>
              <w:ind w:left="220"/>
              <w:spacing w:after="0" w:line="155" w:lineRule="exact"/>
              <w:rPr>
                <w:sz w:val="20"/>
                <w:szCs w:val="20"/>
                <w:color w:val="auto"/>
              </w:rPr>
            </w:pPr>
            <w:r>
              <w:rPr>
                <w:rFonts w:ascii="Arial" w:cs="Arial" w:eastAsia="Arial" w:hAnsi="Arial"/>
                <w:sz w:val="15"/>
                <w:szCs w:val="15"/>
                <w:color w:val="auto"/>
              </w:rPr>
              <w:t>207,951,682 shares issued and outstanding at June 30, 2023 and December 31, 2022,</w:t>
            </w:r>
          </w:p>
        </w:tc>
        <w:tc>
          <w:tcPr>
            <w:tcW w:w="16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99"/>
        </w:trPr>
        <w:tc>
          <w:tcPr>
            <w:tcW w:w="3480" w:type="dxa"/>
            <w:vAlign w:val="bottom"/>
          </w:tcPr>
          <w:p>
            <w:pPr>
              <w:ind w:left="220"/>
              <w:spacing w:after="0"/>
              <w:rPr>
                <w:sz w:val="20"/>
                <w:szCs w:val="20"/>
                <w:color w:val="auto"/>
              </w:rPr>
            </w:pPr>
            <w:r>
              <w:rPr>
                <w:rFonts w:ascii="Arial" w:cs="Arial" w:eastAsia="Arial" w:hAnsi="Arial"/>
                <w:sz w:val="15"/>
                <w:szCs w:val="15"/>
                <w:color w:val="auto"/>
              </w:rPr>
              <w:t>respectively</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Additional paid-in-capital</w:t>
            </w:r>
          </w:p>
        </w:tc>
        <w:tc>
          <w:tcPr>
            <w:tcW w:w="274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2,435,571</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2,886,951</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rPr>
                <w:sz w:val="20"/>
                <w:szCs w:val="20"/>
                <w:color w:val="auto"/>
              </w:rPr>
            </w:pPr>
            <w:r>
              <w:rPr>
                <w:rFonts w:ascii="Arial" w:cs="Arial" w:eastAsia="Arial" w:hAnsi="Arial"/>
                <w:sz w:val="15"/>
                <w:szCs w:val="15"/>
                <w:color w:val="auto"/>
              </w:rPr>
              <w:t>Accumulated other comprehensive loss</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(44,109)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(70,122)</w:t>
            </w:r>
          </w:p>
        </w:tc>
        <w:tc>
          <w:tcPr>
            <w:tcW w:w="0" w:type="dxa"/>
            <w:vAlign w:val="bottom"/>
          </w:tcPr>
          <w:p>
            <w:pPr>
              <w:spacing w:after="0"/>
              <w:rPr>
                <w:sz w:val="1"/>
                <w:szCs w:val="1"/>
                <w:color w:val="auto"/>
              </w:rPr>
            </w:pPr>
          </w:p>
        </w:tc>
      </w:tr>
      <w:tr>
        <w:trPr>
          <w:trHeight w:val="20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deficit</w:t>
            </w:r>
          </w:p>
        </w:tc>
        <w:tc>
          <w:tcPr>
            <w:tcW w:w="2740" w:type="dxa"/>
            <w:vAlign w:val="bottom"/>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(952,937)</w:t>
            </w:r>
          </w:p>
        </w:tc>
        <w:tc>
          <w:tcPr>
            <w:tcW w:w="80" w:type="dxa"/>
            <w:vAlign w:val="bottom"/>
            <w:shd w:val="clear" w:color="auto" w:fill="DDDDDD"/>
          </w:tcPr>
          <w:p>
            <w:pPr>
              <w:spacing w:after="0"/>
              <w:rPr>
                <w:sz w:val="18"/>
                <w:szCs w:val="18"/>
                <w:color w:val="auto"/>
              </w:rPr>
            </w:pPr>
          </w:p>
        </w:tc>
        <w:tc>
          <w:tcPr>
            <w:tcW w:w="320" w:type="dxa"/>
            <w:vAlign w:val="bottom"/>
            <w:tcBorders>
              <w:bottom w:val="single" w:sz="8" w:color="auto"/>
            </w:tcBorders>
            <w:shd w:val="clear" w:color="auto" w:fill="DDDDDD"/>
          </w:tcPr>
          <w:p>
            <w:pPr>
              <w:spacing w:after="0"/>
              <w:rPr>
                <w:sz w:val="18"/>
                <w:szCs w:val="18"/>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(1,251,550)</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Total shareholders' equity</w:t>
            </w:r>
          </w:p>
        </w:tc>
        <w:tc>
          <w:tcPr>
            <w:tcW w:w="274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1,438,545</w:t>
            </w:r>
          </w:p>
        </w:tc>
        <w:tc>
          <w:tcPr>
            <w:tcW w:w="8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1,565,300</w:t>
            </w:r>
          </w:p>
        </w:tc>
        <w:tc>
          <w:tcPr>
            <w:tcW w:w="0" w:type="dxa"/>
            <w:vAlign w:val="bottom"/>
          </w:tcPr>
          <w:p>
            <w:pPr>
              <w:spacing w:after="0"/>
              <w:rPr>
                <w:sz w:val="1"/>
                <w:szCs w:val="1"/>
                <w:color w:val="auto"/>
              </w:rPr>
            </w:pPr>
          </w:p>
        </w:tc>
      </w:tr>
      <w:tr>
        <w:trPr>
          <w:trHeight w:val="219"/>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2740" w:type="dxa"/>
            <w:vAlign w:val="bottom"/>
            <w:shd w:val="clear" w:color="auto" w:fill="DDDDDD"/>
          </w:tcPr>
          <w:p>
            <w:pPr>
              <w:spacing w:after="0"/>
              <w:rPr>
                <w:sz w:val="19"/>
                <w:szCs w:val="19"/>
                <w:color w:val="auto"/>
              </w:rPr>
            </w:pPr>
          </w:p>
        </w:tc>
        <w:tc>
          <w:tcPr>
            <w:tcW w:w="1600" w:type="dxa"/>
            <w:vAlign w:val="bottom"/>
            <w:shd w:val="clear" w:color="auto" w:fill="DDDDDD"/>
          </w:tcPr>
          <w:p>
            <w:pPr>
              <w:jc w:val="right"/>
              <w:ind w:right="1403"/>
              <w:spacing w:after="0"/>
              <w:rPr>
                <w:sz w:val="20"/>
                <w:szCs w:val="20"/>
                <w:color w:val="auto"/>
              </w:rPr>
            </w:pPr>
            <w:r>
              <w:rPr>
                <w:rFonts w:ascii="Arial" w:cs="Arial" w:eastAsia="Arial" w:hAnsi="Arial"/>
                <w:sz w:val="15"/>
                <w:szCs w:val="15"/>
                <w:color w:val="auto"/>
              </w:rPr>
              <w:t>$</w:t>
            </w:r>
          </w:p>
        </w:tc>
        <w:tc>
          <w:tcPr>
            <w:tcW w:w="8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5,718,500</w:t>
            </w:r>
          </w:p>
        </w:tc>
        <w:tc>
          <w:tcPr>
            <w:tcW w:w="400" w:type="dxa"/>
            <w:vAlign w:val="bottom"/>
            <w:gridSpan w:val="2"/>
            <w:shd w:val="clear" w:color="auto" w:fill="DDDDDD"/>
          </w:tcPr>
          <w:p>
            <w:pPr>
              <w:jc w:val="right"/>
              <w:ind w:right="220"/>
              <w:spacing w:after="0"/>
              <w:rPr>
                <w:sz w:val="20"/>
                <w:szCs w:val="20"/>
                <w:color w:val="auto"/>
              </w:rPr>
            </w:pPr>
            <w:r>
              <w:rPr>
                <w:rFonts w:ascii="Arial" w:cs="Arial" w:eastAsia="Arial" w:hAnsi="Arial"/>
                <w:sz w:val="15"/>
                <w:szCs w:val="15"/>
                <w:color w:val="auto"/>
              </w:rPr>
              <w:t>$</w:t>
            </w: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5,827,651</w:t>
            </w:r>
          </w:p>
        </w:tc>
        <w:tc>
          <w:tcPr>
            <w:tcW w:w="0" w:type="dxa"/>
            <w:vAlign w:val="bottom"/>
          </w:tcPr>
          <w:p>
            <w:pPr>
              <w:spacing w:after="0"/>
              <w:rPr>
                <w:sz w:val="1"/>
                <w:szCs w:val="1"/>
                <w:color w:val="auto"/>
              </w:rPr>
            </w:pPr>
          </w:p>
        </w:tc>
      </w:tr>
      <w:tr>
        <w:trPr>
          <w:trHeight w:val="20"/>
        </w:trPr>
        <w:tc>
          <w:tcPr>
            <w:tcW w:w="3480" w:type="dxa"/>
            <w:vAlign w:val="bottom"/>
            <w:tcBorders>
              <w:top w:val="single" w:sz="8" w:color="DDDDDD"/>
            </w:tcBorders>
          </w:tcPr>
          <w:p>
            <w:pPr>
              <w:spacing w:after="0" w:line="20" w:lineRule="exact"/>
              <w:rPr>
                <w:sz w:val="1"/>
                <w:szCs w:val="1"/>
                <w:color w:val="auto"/>
              </w:rPr>
            </w:pPr>
          </w:p>
        </w:tc>
        <w:tc>
          <w:tcPr>
            <w:tcW w:w="2740" w:type="dxa"/>
            <w:vAlign w:val="bottom"/>
            <w:tcBorders>
              <w:top w:val="single" w:sz="8" w:color="DDDDDD"/>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 w:name="page4"/>
    <w:bookmarkEnd w:id="3"/>
    <w:p>
      <w:pPr>
        <w:ind w:left="4140"/>
        <w:spacing w:after="0"/>
        <w:rPr>
          <w:sz w:val="20"/>
          <w:szCs w:val="20"/>
          <w:color w:val="auto"/>
        </w:rPr>
      </w:pPr>
      <w:r>
        <w:rPr>
          <w:rFonts w:ascii="Arial" w:cs="Arial" w:eastAsia="Arial" w:hAnsi="Arial"/>
          <w:sz w:val="22"/>
          <w:szCs w:val="22"/>
          <w:color w:val="1D2758"/>
        </w:rPr>
        <w:t>WillScot Mobile Mini Holdings Corp.</w:t>
      </w:r>
    </w:p>
    <w:p>
      <w:pPr>
        <w:spacing w:after="0" w:line="31" w:lineRule="exact"/>
        <w:rPr>
          <w:sz w:val="20"/>
          <w:szCs w:val="20"/>
          <w:color w:val="auto"/>
        </w:rPr>
      </w:pPr>
    </w:p>
    <w:p>
      <w:pPr>
        <w:ind w:left="3060"/>
        <w:spacing w:after="0"/>
        <w:rPr>
          <w:sz w:val="20"/>
          <w:szCs w:val="20"/>
          <w:color w:val="auto"/>
        </w:rPr>
      </w:pPr>
      <w:r>
        <w:rPr>
          <w:rFonts w:ascii="Arial" w:cs="Arial" w:eastAsia="Arial" w:hAnsi="Arial"/>
          <w:sz w:val="22"/>
          <w:szCs w:val="22"/>
          <w:color w:val="1D2758"/>
        </w:rPr>
        <w:t>Condensed Consolidated Statements of Operations</w:t>
      </w:r>
    </w:p>
    <w:p>
      <w:pPr>
        <w:spacing w:after="0" w:line="18" w:lineRule="exact"/>
        <w:rPr>
          <w:sz w:val="20"/>
          <w:szCs w:val="20"/>
          <w:color w:val="auto"/>
        </w:rPr>
      </w:pPr>
    </w:p>
    <w:p>
      <w:pPr>
        <w:ind w:left="5020"/>
        <w:spacing w:after="0"/>
        <w:rPr>
          <w:sz w:val="20"/>
          <w:szCs w:val="20"/>
          <w:color w:val="auto"/>
        </w:rPr>
      </w:pPr>
      <w:r>
        <w:rPr>
          <w:rFonts w:ascii="Arial" w:cs="Arial" w:eastAsia="Arial" w:hAnsi="Arial"/>
          <w:sz w:val="22"/>
          <w:szCs w:val="22"/>
          <w:color w:val="1D2758"/>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00" w:type="dxa"/>
            <w:vAlign w:val="bottom"/>
            <w:vMerge w:val="restart"/>
            <w:shd w:val="clear" w:color="auto" w:fill="1D2758"/>
          </w:tcPr>
          <w:p>
            <w:pPr>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200" w:type="dxa"/>
            <w:vAlign w:val="bottom"/>
            <w:shd w:val="clear" w:color="auto" w:fill="1D2758"/>
          </w:tcPr>
          <w:p>
            <w:pPr>
              <w:spacing w:after="0"/>
              <w:rPr>
                <w:sz w:val="17"/>
                <w:szCs w:val="17"/>
                <w:color w:val="auto"/>
              </w:rPr>
            </w:pPr>
          </w:p>
        </w:tc>
        <w:tc>
          <w:tcPr>
            <w:tcW w:w="2560" w:type="dxa"/>
            <w:vAlign w:val="bottom"/>
            <w:gridSpan w:val="4"/>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Three Months Ended June 30,</w:t>
            </w:r>
          </w:p>
        </w:tc>
        <w:tc>
          <w:tcPr>
            <w:tcW w:w="1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520" w:type="dxa"/>
            <w:vAlign w:val="bottom"/>
            <w:gridSpan w:val="4"/>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Six Months Ended June 30,</w:t>
            </w:r>
          </w:p>
        </w:tc>
        <w:tc>
          <w:tcPr>
            <w:tcW w:w="0" w:type="dxa"/>
            <w:vAlign w:val="bottom"/>
          </w:tcPr>
          <w:p>
            <w:pPr>
              <w:spacing w:after="0"/>
              <w:rPr>
                <w:sz w:val="1"/>
                <w:szCs w:val="1"/>
                <w:color w:val="auto"/>
              </w:rPr>
            </w:pPr>
          </w:p>
        </w:tc>
      </w:tr>
      <w:tr>
        <w:trPr>
          <w:trHeight w:val="213"/>
        </w:trPr>
        <w:tc>
          <w:tcPr>
            <w:tcW w:w="560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114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10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08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84"/>
        </w:trPr>
        <w:tc>
          <w:tcPr>
            <w:tcW w:w="5600" w:type="dxa"/>
            <w:vAlign w:val="bottom"/>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14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96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08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Revenues:</w:t>
            </w:r>
          </w:p>
        </w:tc>
        <w:tc>
          <w:tcPr>
            <w:tcW w:w="2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Leasing</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449,320</w:t>
            </w:r>
          </w:p>
        </w:tc>
        <w:tc>
          <w:tcPr>
            <w:tcW w:w="460" w:type="dxa"/>
            <w:vAlign w:val="bottom"/>
            <w:gridSpan w:val="2"/>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386,386</w:t>
            </w:r>
          </w:p>
        </w:tc>
        <w:tc>
          <w:tcPr>
            <w:tcW w:w="340" w:type="dxa"/>
            <w:vAlign w:val="bottom"/>
            <w:gridSpan w:val="2"/>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889,271</w:t>
            </w:r>
          </w:p>
        </w:tc>
        <w:tc>
          <w:tcPr>
            <w:tcW w:w="340" w:type="dxa"/>
            <w:vAlign w:val="bottom"/>
            <w:gridSpan w:val="2"/>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737,945</w:t>
            </w:r>
          </w:p>
        </w:tc>
        <w:tc>
          <w:tcPr>
            <w:tcW w:w="0" w:type="dxa"/>
            <w:vAlign w:val="bottom"/>
          </w:tcPr>
          <w:p>
            <w:pPr>
              <w:spacing w:after="0"/>
              <w:rPr>
                <w:sz w:val="1"/>
                <w:szCs w:val="1"/>
                <w:color w:val="auto"/>
              </w:rPr>
            </w:pPr>
          </w:p>
        </w:tc>
      </w:tr>
      <w:tr>
        <w:trPr>
          <w:trHeight w:val="203"/>
        </w:trPr>
        <w:tc>
          <w:tcPr>
            <w:tcW w:w="5600" w:type="dxa"/>
            <w:vAlign w:val="bottom"/>
          </w:tcPr>
          <w:p>
            <w:pPr>
              <w:ind w:left="420"/>
              <w:spacing w:after="0"/>
              <w:rPr>
                <w:sz w:val="20"/>
                <w:szCs w:val="20"/>
                <w:color w:val="auto"/>
              </w:rPr>
            </w:pPr>
            <w:r>
              <w:rPr>
                <w:rFonts w:ascii="Arial" w:cs="Arial" w:eastAsia="Arial" w:hAnsi="Arial"/>
                <w:sz w:val="15"/>
                <w:szCs w:val="15"/>
                <w:color w:val="auto"/>
              </w:rPr>
              <w:t>Delivery and installation</w:t>
            </w:r>
          </w:p>
        </w:tc>
        <w:tc>
          <w:tcPr>
            <w:tcW w:w="2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112,754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110,841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219,384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196,380</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420"/>
              <w:spacing w:after="0"/>
              <w:rPr>
                <w:sz w:val="20"/>
                <w:szCs w:val="20"/>
                <w:color w:val="auto"/>
              </w:rPr>
            </w:pPr>
            <w:r>
              <w:rPr>
                <w:rFonts w:ascii="Arial" w:cs="Arial" w:eastAsia="Arial" w:hAnsi="Arial"/>
                <w:sz w:val="15"/>
                <w:szCs w:val="15"/>
                <w:color w:val="auto"/>
              </w:rPr>
              <w:t>New units</w:t>
            </w:r>
          </w:p>
        </w:tc>
        <w:tc>
          <w:tcPr>
            <w:tcW w:w="2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9,004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9,927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19,661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15,714</w:t>
            </w:r>
          </w:p>
        </w:tc>
        <w:tc>
          <w:tcPr>
            <w:tcW w:w="0" w:type="dxa"/>
            <w:vAlign w:val="bottom"/>
          </w:tcPr>
          <w:p>
            <w:pPr>
              <w:spacing w:after="0"/>
              <w:rPr>
                <w:sz w:val="1"/>
                <w:szCs w:val="1"/>
                <w:color w:val="auto"/>
              </w:rPr>
            </w:pPr>
          </w:p>
        </w:tc>
      </w:tr>
      <w:tr>
        <w:trPr>
          <w:trHeight w:val="206"/>
        </w:trPr>
        <w:tc>
          <w:tcPr>
            <w:tcW w:w="5600" w:type="dxa"/>
            <w:vAlign w:val="bottom"/>
            <w:tcBorders>
              <w:bottom w:val="single" w:sz="8" w:color="DBDBDB"/>
            </w:tcBorders>
            <w:shd w:val="clear" w:color="auto" w:fill="DBDBDB"/>
          </w:tcPr>
          <w:p>
            <w:pPr>
              <w:ind w:left="420"/>
              <w:spacing w:after="0"/>
              <w:rPr>
                <w:sz w:val="20"/>
                <w:szCs w:val="20"/>
                <w:color w:val="auto"/>
              </w:rPr>
            </w:pPr>
            <w:r>
              <w:rPr>
                <w:rFonts w:ascii="Arial" w:cs="Arial" w:eastAsia="Arial" w:hAnsi="Arial"/>
                <w:sz w:val="15"/>
                <w:szCs w:val="15"/>
                <w:color w:val="auto"/>
              </w:rPr>
              <w:t>Rental units</w:t>
            </w:r>
          </w:p>
        </w:tc>
        <w:tc>
          <w:tcPr>
            <w:tcW w:w="2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11,011</w:t>
            </w:r>
          </w:p>
        </w:tc>
        <w:tc>
          <w:tcPr>
            <w:tcW w:w="8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15,736</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19,241</w:t>
            </w:r>
          </w:p>
        </w:tc>
        <w:tc>
          <w:tcPr>
            <w:tcW w:w="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24,022</w:t>
            </w:r>
          </w:p>
        </w:tc>
        <w:tc>
          <w:tcPr>
            <w:tcW w:w="0" w:type="dxa"/>
            <w:vAlign w:val="bottom"/>
          </w:tcPr>
          <w:p>
            <w:pPr>
              <w:spacing w:after="0"/>
              <w:rPr>
                <w:sz w:val="1"/>
                <w:szCs w:val="1"/>
                <w:color w:val="auto"/>
              </w:rPr>
            </w:pPr>
          </w:p>
        </w:tc>
      </w:tr>
      <w:tr>
        <w:trPr>
          <w:trHeight w:val="199"/>
        </w:trPr>
        <w:tc>
          <w:tcPr>
            <w:tcW w:w="5600" w:type="dxa"/>
            <w:vAlign w:val="bottom"/>
          </w:tcPr>
          <w:p>
            <w:pPr>
              <w:ind w:left="620"/>
              <w:spacing w:after="0"/>
              <w:rPr>
                <w:sz w:val="20"/>
                <w:szCs w:val="20"/>
                <w:color w:val="auto"/>
              </w:rPr>
            </w:pPr>
            <w:r>
              <w:rPr>
                <w:rFonts w:ascii="Arial" w:cs="Arial" w:eastAsia="Arial" w:hAnsi="Arial"/>
                <w:sz w:val="15"/>
                <w:szCs w:val="15"/>
                <w:color w:val="auto"/>
              </w:rPr>
              <w:t>Total revenues</w:t>
            </w:r>
          </w:p>
        </w:tc>
        <w:tc>
          <w:tcPr>
            <w:tcW w:w="2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582,089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522,890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1,147,557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974,061</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Costs:</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Leasing</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98,556</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88,111</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196,071</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168,445</w:t>
            </w:r>
          </w:p>
        </w:tc>
        <w:tc>
          <w:tcPr>
            <w:tcW w:w="0" w:type="dxa"/>
            <w:vAlign w:val="bottom"/>
          </w:tcPr>
          <w:p>
            <w:pPr>
              <w:spacing w:after="0"/>
              <w:rPr>
                <w:sz w:val="1"/>
                <w:szCs w:val="1"/>
                <w:color w:val="auto"/>
              </w:rPr>
            </w:pPr>
          </w:p>
        </w:tc>
      </w:tr>
      <w:tr>
        <w:trPr>
          <w:trHeight w:val="203"/>
        </w:trPr>
        <w:tc>
          <w:tcPr>
            <w:tcW w:w="5600" w:type="dxa"/>
            <w:vAlign w:val="bottom"/>
          </w:tcPr>
          <w:p>
            <w:pPr>
              <w:ind w:left="420"/>
              <w:spacing w:after="0"/>
              <w:rPr>
                <w:sz w:val="20"/>
                <w:szCs w:val="20"/>
                <w:color w:val="auto"/>
              </w:rPr>
            </w:pPr>
            <w:r>
              <w:rPr>
                <w:rFonts w:ascii="Arial" w:cs="Arial" w:eastAsia="Arial" w:hAnsi="Arial"/>
                <w:sz w:val="15"/>
                <w:szCs w:val="15"/>
                <w:color w:val="auto"/>
              </w:rPr>
              <w:t>Delivery and installation</w:t>
            </w:r>
          </w:p>
        </w:tc>
        <w:tc>
          <w:tcPr>
            <w:tcW w:w="2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81,349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82,537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156,356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153,117</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420"/>
              <w:spacing w:after="0"/>
              <w:rPr>
                <w:sz w:val="20"/>
                <w:szCs w:val="20"/>
                <w:color w:val="auto"/>
              </w:rPr>
            </w:pPr>
            <w:r>
              <w:rPr>
                <w:rFonts w:ascii="Arial" w:cs="Arial" w:eastAsia="Arial" w:hAnsi="Arial"/>
                <w:sz w:val="15"/>
                <w:szCs w:val="15"/>
                <w:color w:val="auto"/>
              </w:rPr>
              <w:t>New units</w:t>
            </w:r>
          </w:p>
        </w:tc>
        <w:tc>
          <w:tcPr>
            <w:tcW w:w="2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4,795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5,321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11,003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9,077</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Rental units</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5,067</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8,478</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9,521</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13,370</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Depreciation of rental equipment</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64,450</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63,230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123,606</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120,778</w:t>
            </w:r>
          </w:p>
        </w:tc>
        <w:tc>
          <w:tcPr>
            <w:tcW w:w="0" w:type="dxa"/>
            <w:vAlign w:val="bottom"/>
          </w:tcPr>
          <w:p>
            <w:pPr>
              <w:spacing w:after="0"/>
              <w:rPr>
                <w:sz w:val="1"/>
                <w:szCs w:val="1"/>
                <w:color w:val="auto"/>
              </w:rPr>
            </w:pPr>
          </w:p>
        </w:tc>
      </w:tr>
      <w:tr>
        <w:trPr>
          <w:trHeight w:val="202"/>
        </w:trPr>
        <w:tc>
          <w:tcPr>
            <w:tcW w:w="56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Gross profit</w:t>
            </w:r>
          </w:p>
        </w:tc>
        <w:tc>
          <w:tcPr>
            <w:tcW w:w="20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327,872</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275,213</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651,000</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509,274</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5"/>
                <w:szCs w:val="15"/>
                <w:color w:val="auto"/>
              </w:rPr>
              <w:t>Expenses: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146,810</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150,129</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297,702</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288,273</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17,346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14,951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34,519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30,313</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6,789</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Other income, net</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(2,838)</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(5,077)</w:t>
            </w:r>
          </w:p>
        </w:tc>
        <w:tc>
          <w:tcPr>
            <w:tcW w:w="0" w:type="dxa"/>
            <w:vAlign w:val="bottom"/>
          </w:tcPr>
          <w:p>
            <w:pPr>
              <w:spacing w:after="0"/>
              <w:rPr>
                <w:sz w:val="1"/>
                <w:szCs w:val="1"/>
                <w:color w:val="auto"/>
              </w:rPr>
            </w:pPr>
          </w:p>
        </w:tc>
      </w:tr>
      <w:tr>
        <w:trPr>
          <w:trHeight w:val="202"/>
        </w:trPr>
        <w:tc>
          <w:tcPr>
            <w:tcW w:w="56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Operating income</w:t>
            </w:r>
          </w:p>
        </w:tc>
        <w:tc>
          <w:tcPr>
            <w:tcW w:w="20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166,540</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114,100</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318,187</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195,801</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47,246</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33,153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92,112</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63,723</w:t>
            </w:r>
          </w:p>
        </w:tc>
        <w:tc>
          <w:tcPr>
            <w:tcW w:w="0" w:type="dxa"/>
            <w:vAlign w:val="bottom"/>
          </w:tcPr>
          <w:p>
            <w:pPr>
              <w:spacing w:after="0"/>
              <w:rPr>
                <w:sz w:val="1"/>
                <w:szCs w:val="1"/>
                <w:color w:val="auto"/>
              </w:rPr>
            </w:pPr>
          </w:p>
        </w:tc>
      </w:tr>
      <w:tr>
        <w:trPr>
          <w:trHeight w:val="202"/>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Income from continuing operations before income tax</w:t>
            </w:r>
          </w:p>
        </w:tc>
        <w:tc>
          <w:tcPr>
            <w:tcW w:w="20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119,294</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80,947</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226,075</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132,078</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31,565</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20,848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62,075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32,931</w:t>
            </w:r>
          </w:p>
        </w:tc>
        <w:tc>
          <w:tcPr>
            <w:tcW w:w="0" w:type="dxa"/>
            <w:vAlign w:val="bottom"/>
          </w:tcPr>
          <w:p>
            <w:pPr>
              <w:spacing w:after="0"/>
              <w:rPr>
                <w:sz w:val="1"/>
                <w:szCs w:val="1"/>
                <w:color w:val="auto"/>
              </w:rPr>
            </w:pPr>
          </w:p>
        </w:tc>
      </w:tr>
      <w:tr>
        <w:trPr>
          <w:trHeight w:val="199"/>
        </w:trPr>
        <w:tc>
          <w:tcPr>
            <w:tcW w:w="56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5"/>
                <w:szCs w:val="15"/>
                <w:color w:val="auto"/>
              </w:rPr>
              <w:t>Income from continuing operations</w:t>
            </w:r>
          </w:p>
        </w:tc>
        <w:tc>
          <w:tcPr>
            <w:tcW w:w="2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87,729</w:t>
            </w:r>
          </w:p>
        </w:tc>
        <w:tc>
          <w:tcPr>
            <w:tcW w:w="8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60,099</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164,000</w:t>
            </w:r>
          </w:p>
        </w:tc>
        <w:tc>
          <w:tcPr>
            <w:tcW w:w="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99,147</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Discontinued operations:</w:t>
            </w:r>
          </w:p>
        </w:tc>
        <w:tc>
          <w:tcPr>
            <w:tcW w:w="2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17,140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4,003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32,927</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176,078</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3,863</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45,468</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7,527</w:t>
            </w:r>
          </w:p>
        </w:tc>
        <w:tc>
          <w:tcPr>
            <w:tcW w:w="0" w:type="dxa"/>
            <w:vAlign w:val="bottom"/>
          </w:tcPr>
          <w:p>
            <w:pPr>
              <w:spacing w:after="0"/>
              <w:rPr>
                <w:sz w:val="1"/>
                <w:szCs w:val="1"/>
                <w:color w:val="auto"/>
              </w:rPr>
            </w:pPr>
          </w:p>
        </w:tc>
      </w:tr>
      <w:tr>
        <w:trPr>
          <w:trHeight w:val="199"/>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Income from discontinued operations</w:t>
            </w:r>
          </w:p>
        </w:tc>
        <w:tc>
          <w:tcPr>
            <w:tcW w:w="20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13,277</w:t>
            </w:r>
          </w:p>
        </w:tc>
        <w:tc>
          <w:tcPr>
            <w:tcW w:w="10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134,613</w:t>
            </w:r>
          </w:p>
        </w:tc>
        <w:tc>
          <w:tcPr>
            <w:tcW w:w="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25,400</w:t>
            </w:r>
          </w:p>
        </w:tc>
        <w:tc>
          <w:tcPr>
            <w:tcW w:w="0" w:type="dxa"/>
            <w:vAlign w:val="bottom"/>
          </w:tcPr>
          <w:p>
            <w:pPr>
              <w:spacing w:after="0"/>
              <w:rPr>
                <w:sz w:val="1"/>
                <w:szCs w:val="1"/>
                <w:color w:val="auto"/>
              </w:rPr>
            </w:pPr>
          </w:p>
        </w:tc>
      </w:tr>
      <w:tr>
        <w:trPr>
          <w:trHeight w:val="189"/>
        </w:trPr>
        <w:tc>
          <w:tcPr>
            <w:tcW w:w="56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5"/>
                <w:szCs w:val="15"/>
                <w:color w:val="auto"/>
              </w:rPr>
              <w:t>Net income</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87,729</w:t>
            </w:r>
          </w:p>
        </w:tc>
        <w:tc>
          <w:tcPr>
            <w:tcW w:w="8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298,613</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124,547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400" w:type="dxa"/>
            <w:vAlign w:val="bottom"/>
            <w:gridSpan w:val="5"/>
          </w:tcPr>
          <w:p>
            <w:pPr>
              <w:spacing w:after="0"/>
              <w:rPr>
                <w:sz w:val="20"/>
                <w:szCs w:val="20"/>
                <w:color w:val="auto"/>
              </w:rPr>
            </w:pPr>
            <w:r>
              <w:rPr>
                <w:rFonts w:ascii="Arial" w:cs="Arial" w:eastAsia="Arial" w:hAnsi="Arial"/>
                <w:sz w:val="15"/>
                <w:szCs w:val="15"/>
                <w:color w:val="auto"/>
              </w:rPr>
              <w:t>Earnings per share from continuing operations attributable to WillScot Mobile Mini common shareholders: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Basic</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0.44</w:t>
            </w:r>
          </w:p>
        </w:tc>
        <w:tc>
          <w:tcPr>
            <w:tcW w:w="460" w:type="dxa"/>
            <w:vAlign w:val="bottom"/>
            <w:gridSpan w:val="2"/>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0.27</w:t>
            </w:r>
          </w:p>
        </w:tc>
        <w:tc>
          <w:tcPr>
            <w:tcW w:w="340" w:type="dxa"/>
            <w:vAlign w:val="bottom"/>
            <w:gridSpan w:val="2"/>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0.80</w:t>
            </w:r>
          </w:p>
        </w:tc>
        <w:tc>
          <w:tcPr>
            <w:tcW w:w="340" w:type="dxa"/>
            <w:vAlign w:val="bottom"/>
            <w:gridSpan w:val="2"/>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0.45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5"/>
                <w:szCs w:val="15"/>
                <w:color w:val="auto"/>
              </w:rPr>
              <w:t>Diluted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0.43</w:t>
            </w:r>
          </w:p>
        </w:tc>
        <w:tc>
          <w:tcPr>
            <w:tcW w:w="460" w:type="dxa"/>
            <w:vAlign w:val="bottom"/>
            <w:gridSpan w:val="2"/>
          </w:tcPr>
          <w:p>
            <w:pPr>
              <w:jc w:val="right"/>
              <w:ind w:right="18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0.26</w:t>
            </w:r>
          </w:p>
        </w:tc>
        <w:tc>
          <w:tcPr>
            <w:tcW w:w="34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0.78</w:t>
            </w:r>
          </w:p>
        </w:tc>
        <w:tc>
          <w:tcPr>
            <w:tcW w:w="34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209"/>
        </w:trPr>
        <w:tc>
          <w:tcPr>
            <w:tcW w:w="7400" w:type="dxa"/>
            <w:vAlign w:val="bottom"/>
            <w:gridSpan w:val="5"/>
            <w:shd w:val="clear" w:color="auto" w:fill="DBDBDB"/>
          </w:tcPr>
          <w:p>
            <w:pPr>
              <w:spacing w:after="0"/>
              <w:rPr>
                <w:sz w:val="20"/>
                <w:szCs w:val="20"/>
                <w:color w:val="auto"/>
              </w:rPr>
            </w:pPr>
            <w:r>
              <w:rPr>
                <w:rFonts w:ascii="Arial" w:cs="Arial" w:eastAsia="Arial" w:hAnsi="Arial"/>
                <w:sz w:val="15"/>
                <w:szCs w:val="15"/>
                <w:color w:val="auto"/>
              </w:rPr>
              <w:t>Earnings per share from discontinued operations attributable to WillScot Mobile Mini common shareholders:</w:t>
            </w:r>
          </w:p>
        </w:tc>
        <w:tc>
          <w:tcPr>
            <w:tcW w:w="9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5"/>
                <w:szCs w:val="15"/>
                <w:color w:val="auto"/>
              </w:rPr>
              <w:t>Basic</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8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0.06</w:t>
            </w:r>
          </w:p>
        </w:tc>
        <w:tc>
          <w:tcPr>
            <w:tcW w:w="34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0.66</w:t>
            </w:r>
          </w:p>
        </w:tc>
        <w:tc>
          <w:tcPr>
            <w:tcW w:w="34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0.06</w:t>
            </w:r>
          </w:p>
        </w:tc>
        <w:tc>
          <w:tcPr>
            <w:tcW w:w="340" w:type="dxa"/>
            <w:vAlign w:val="bottom"/>
            <w:gridSpan w:val="2"/>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0.65</w:t>
            </w:r>
          </w:p>
        </w:tc>
        <w:tc>
          <w:tcPr>
            <w:tcW w:w="340" w:type="dxa"/>
            <w:vAlign w:val="bottom"/>
            <w:gridSpan w:val="2"/>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5"/>
                <w:szCs w:val="15"/>
                <w:color w:val="auto"/>
              </w:rPr>
              <w:t>Earnings per share attributable to WillScot Mobile Mini common shareholders: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Basic</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0.44</w:t>
            </w:r>
          </w:p>
        </w:tc>
        <w:tc>
          <w:tcPr>
            <w:tcW w:w="460" w:type="dxa"/>
            <w:vAlign w:val="bottom"/>
            <w:gridSpan w:val="2"/>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0.33</w:t>
            </w:r>
          </w:p>
        </w:tc>
        <w:tc>
          <w:tcPr>
            <w:tcW w:w="340" w:type="dxa"/>
            <w:vAlign w:val="bottom"/>
            <w:gridSpan w:val="2"/>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1.46</w:t>
            </w:r>
          </w:p>
        </w:tc>
        <w:tc>
          <w:tcPr>
            <w:tcW w:w="340" w:type="dxa"/>
            <w:vAlign w:val="bottom"/>
            <w:gridSpan w:val="2"/>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5"/>
                <w:szCs w:val="15"/>
                <w:color w:val="auto"/>
              </w:rPr>
              <w:t>Diluted</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0.43</w:t>
            </w:r>
          </w:p>
        </w:tc>
        <w:tc>
          <w:tcPr>
            <w:tcW w:w="460" w:type="dxa"/>
            <w:vAlign w:val="bottom"/>
            <w:gridSpan w:val="2"/>
          </w:tcPr>
          <w:p>
            <w:pPr>
              <w:jc w:val="right"/>
              <w:ind w:right="18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0.32</w:t>
            </w:r>
          </w:p>
        </w:tc>
        <w:tc>
          <w:tcPr>
            <w:tcW w:w="34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1.43</w:t>
            </w:r>
          </w:p>
        </w:tc>
        <w:tc>
          <w:tcPr>
            <w:tcW w:w="34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0.55</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Weighted average shares:</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5"/>
                <w:szCs w:val="15"/>
                <w:color w:val="auto"/>
              </w:rPr>
              <w:t>Basic</w:t>
            </w:r>
          </w:p>
        </w:tc>
        <w:tc>
          <w:tcPr>
            <w:tcW w:w="2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200,946,619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223,376,276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204,635,764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222,196,986</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204,326,162</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227,484,012</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208,233,141</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226,983,150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52070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592" w:right="339" w:bottom="1440" w:gutter="0" w:footer="0" w:header="0"/>
        </w:sectPr>
      </w:pPr>
    </w:p>
    <w:bookmarkStart w:id="4" w:name="page5"/>
    <w:bookmarkEnd w:id="4"/>
    <w:p>
      <w:pPr>
        <w:jc w:val="center"/>
        <w:spacing w:after="0" w:line="282" w:lineRule="auto"/>
        <w:rPr>
          <w:sz w:val="20"/>
          <w:szCs w:val="20"/>
          <w:color w:val="auto"/>
        </w:rPr>
      </w:pPr>
      <w:r>
        <w:rPr>
          <w:rFonts w:ascii="Arial" w:cs="Arial" w:eastAsia="Arial" w:hAnsi="Arial"/>
          <w:sz w:val="22"/>
          <w:szCs w:val="22"/>
          <w:color w:val="1D2758"/>
        </w:rPr>
        <w:t>WillScot Mobile Mini Holdings Corp. Condensed Consolidated Statements of Comprehensive Income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6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2480" w:type="dxa"/>
            <w:vAlign w:val="bottom"/>
            <w:gridSpan w:val="4"/>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Three Months Ended</w:t>
            </w:r>
          </w:p>
        </w:tc>
        <w:tc>
          <w:tcPr>
            <w:tcW w:w="10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2580" w:type="dxa"/>
            <w:vAlign w:val="bottom"/>
            <w:gridSpan w:val="4"/>
            <w:shd w:val="clear" w:color="auto" w:fill="1D2758"/>
          </w:tcPr>
          <w:p>
            <w:pPr>
              <w:jc w:val="right"/>
              <w:ind w:right="703"/>
              <w:spacing w:after="0"/>
              <w:rPr>
                <w:sz w:val="20"/>
                <w:szCs w:val="20"/>
                <w:color w:val="auto"/>
              </w:rPr>
            </w:pPr>
            <w:r>
              <w:rPr>
                <w:rFonts w:ascii="Arial" w:cs="Arial" w:eastAsia="Arial" w:hAnsi="Arial"/>
                <w:sz w:val="15"/>
                <w:szCs w:val="15"/>
                <w:b w:val="1"/>
                <w:bCs w:val="1"/>
                <w:color w:val="FFFFFF"/>
              </w:rPr>
              <w:t>Six Months Ended</w:t>
            </w:r>
          </w:p>
        </w:tc>
        <w:tc>
          <w:tcPr>
            <w:tcW w:w="0" w:type="dxa"/>
            <w:vAlign w:val="bottom"/>
          </w:tcPr>
          <w:p>
            <w:pPr>
              <w:spacing w:after="0"/>
              <w:rPr>
                <w:sz w:val="1"/>
                <w:szCs w:val="1"/>
                <w:color w:val="auto"/>
              </w:rPr>
            </w:pPr>
          </w:p>
        </w:tc>
      </w:tr>
      <w:tr>
        <w:trPr>
          <w:trHeight w:val="206"/>
        </w:trPr>
        <w:tc>
          <w:tcPr>
            <w:tcW w:w="54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1520" w:type="dxa"/>
            <w:vAlign w:val="bottom"/>
            <w:gridSpan w:val="3"/>
            <w:shd w:val="clear" w:color="auto" w:fill="1D2758"/>
          </w:tcPr>
          <w:p>
            <w:pPr>
              <w:jc w:val="right"/>
              <w:ind w:right="120"/>
              <w:spacing w:after="0"/>
              <w:rPr>
                <w:sz w:val="20"/>
                <w:szCs w:val="20"/>
                <w:color w:val="auto"/>
              </w:rPr>
            </w:pPr>
            <w:r>
              <w:rPr>
                <w:rFonts w:ascii="Arial" w:cs="Arial" w:eastAsia="Arial" w:hAnsi="Arial"/>
                <w:sz w:val="15"/>
                <w:szCs w:val="15"/>
                <w:b w:val="1"/>
                <w:bCs w:val="1"/>
                <w:color w:val="FFFFFF"/>
              </w:rPr>
              <w:t>June 30,</w:t>
            </w:r>
          </w:p>
        </w:tc>
        <w:tc>
          <w:tcPr>
            <w:tcW w:w="9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580" w:type="dxa"/>
            <w:vAlign w:val="bottom"/>
            <w:gridSpan w:val="3"/>
            <w:shd w:val="clear" w:color="auto" w:fill="1D2758"/>
          </w:tcPr>
          <w:p>
            <w:pPr>
              <w:jc w:val="right"/>
              <w:ind w:right="140"/>
              <w:spacing w:after="0"/>
              <w:rPr>
                <w:sz w:val="20"/>
                <w:szCs w:val="20"/>
                <w:color w:val="auto"/>
              </w:rPr>
            </w:pPr>
            <w:r>
              <w:rPr>
                <w:rFonts w:ascii="Arial" w:cs="Arial" w:eastAsia="Arial" w:hAnsi="Arial"/>
                <w:sz w:val="15"/>
                <w:szCs w:val="15"/>
                <w:b w:val="1"/>
                <w:bCs w:val="1"/>
                <w:color w:val="FFFFFF"/>
              </w:rPr>
              <w:t>June 30,</w:t>
            </w:r>
          </w:p>
        </w:tc>
        <w:tc>
          <w:tcPr>
            <w:tcW w:w="10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60" w:type="dxa"/>
            <w:vAlign w:val="bottom"/>
            <w:vMerge w:val="continue"/>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06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08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00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74"/>
        </w:trPr>
        <w:tc>
          <w:tcPr>
            <w:tcW w:w="546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060" w:type="dxa"/>
            <w:vAlign w:val="bottom"/>
            <w:vMerge w:val="continue"/>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960" w:type="dxa"/>
            <w:vAlign w:val="bottom"/>
            <w:vMerge w:val="continue"/>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080" w:type="dxa"/>
            <w:vAlign w:val="bottom"/>
            <w:vMerge w:val="continue"/>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0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87,729</w:t>
            </w:r>
          </w:p>
        </w:tc>
        <w:tc>
          <w:tcPr>
            <w:tcW w:w="460" w:type="dxa"/>
            <w:vAlign w:val="bottom"/>
            <w:gridSpan w:val="2"/>
            <w:shd w:val="clear" w:color="auto" w:fill="DBDBDB"/>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298,613</w:t>
            </w:r>
          </w:p>
        </w:tc>
        <w:tc>
          <w:tcPr>
            <w:tcW w:w="500" w:type="dxa"/>
            <w:vAlign w:val="bottom"/>
            <w:gridSpan w:val="2"/>
            <w:shd w:val="clear" w:color="auto" w:fill="DBDBDB"/>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124,547</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DBDBDB"/>
          </w:tcPr>
          <w:p>
            <w:pPr>
              <w:ind w:left="220"/>
              <w:spacing w:after="0" w:line="162" w:lineRule="exact"/>
              <w:rPr>
                <w:sz w:val="20"/>
                <w:szCs w:val="20"/>
                <w:color w:val="auto"/>
              </w:rPr>
            </w:pPr>
            <w:r>
              <w:rPr>
                <w:rFonts w:ascii="Arial" w:cs="Arial" w:eastAsia="Arial" w:hAnsi="Arial"/>
                <w:sz w:val="15"/>
                <w:szCs w:val="15"/>
                <w:color w:val="auto"/>
              </w:rPr>
              <w:t>Foreign currency translation adjustment, net of income tax expense of $0</w:t>
            </w:r>
          </w:p>
        </w:tc>
        <w:tc>
          <w:tcPr>
            <w:tcW w:w="300" w:type="dxa"/>
            <w:vAlign w:val="bottom"/>
            <w:shd w:val="clear" w:color="auto" w:fill="DBDBDB"/>
          </w:tcPr>
          <w:p>
            <w:pPr>
              <w:spacing w:after="0"/>
              <w:rPr>
                <w:sz w:val="14"/>
                <w:szCs w:val="14"/>
                <w:color w:val="auto"/>
              </w:rPr>
            </w:pPr>
          </w:p>
        </w:tc>
        <w:tc>
          <w:tcPr>
            <w:tcW w:w="10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5,915</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(25,628)</w:t>
            </w:r>
          </w:p>
        </w:tc>
        <w:tc>
          <w:tcPr>
            <w:tcW w:w="10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13,849</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(29,702)</w:t>
            </w:r>
          </w:p>
        </w:tc>
        <w:tc>
          <w:tcPr>
            <w:tcW w:w="0" w:type="dxa"/>
            <w:vAlign w:val="bottom"/>
          </w:tcPr>
          <w:p>
            <w:pPr>
              <w:spacing w:after="0"/>
              <w:rPr>
                <w:sz w:val="1"/>
                <w:szCs w:val="1"/>
                <w:color w:val="auto"/>
              </w:rPr>
            </w:pPr>
          </w:p>
        </w:tc>
      </w:tr>
      <w:tr>
        <w:trPr>
          <w:trHeight w:val="202"/>
        </w:trPr>
        <w:tc>
          <w:tcPr>
            <w:tcW w:w="54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 both the three and six months ended June 30, 2023 and 2022</w:t>
            </w:r>
          </w:p>
        </w:tc>
        <w:tc>
          <w:tcPr>
            <w:tcW w:w="300" w:type="dxa"/>
            <w:vAlign w:val="bottom"/>
            <w:shd w:val="clear" w:color="auto" w:fill="DBDBDB"/>
          </w:tcPr>
          <w:p>
            <w:pPr>
              <w:spacing w:after="0"/>
              <w:rPr>
                <w:sz w:val="17"/>
                <w:szCs w:val="17"/>
                <w:color w:val="auto"/>
              </w:rPr>
            </w:pPr>
          </w:p>
        </w:tc>
        <w:tc>
          <w:tcPr>
            <w:tcW w:w="106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460" w:type="dxa"/>
            <w:vAlign w:val="bottom"/>
          </w:tcPr>
          <w:p>
            <w:pPr>
              <w:ind w:left="220"/>
              <w:spacing w:after="0" w:line="159" w:lineRule="exact"/>
              <w:rPr>
                <w:sz w:val="20"/>
                <w:szCs w:val="20"/>
                <w:color w:val="auto"/>
              </w:rPr>
            </w:pPr>
            <w:r>
              <w:rPr>
                <w:rFonts w:ascii="Arial" w:cs="Arial" w:eastAsia="Arial" w:hAnsi="Arial"/>
                <w:sz w:val="15"/>
                <w:szCs w:val="15"/>
                <w:color w:val="auto"/>
              </w:rPr>
              <w:t>Net gain on derivatives, net of income tax expense of $4,268 and $394 for</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60" w:type="dxa"/>
            <w:vAlign w:val="bottom"/>
          </w:tcPr>
          <w:p>
            <w:pPr>
              <w:ind w:left="220"/>
              <w:spacing w:after="0" w:line="155" w:lineRule="exact"/>
              <w:rPr>
                <w:sz w:val="20"/>
                <w:szCs w:val="20"/>
                <w:color w:val="auto"/>
              </w:rPr>
            </w:pPr>
            <w:r>
              <w:rPr>
                <w:rFonts w:ascii="Arial" w:cs="Arial" w:eastAsia="Arial" w:hAnsi="Arial"/>
                <w:sz w:val="15"/>
                <w:szCs w:val="15"/>
                <w:color w:val="auto"/>
              </w:rPr>
              <w:t>the three months ended June 30, 2023 and 2022, respectively, and $4,046</w:t>
            </w:r>
          </w:p>
        </w:tc>
        <w:tc>
          <w:tcPr>
            <w:tcW w:w="300" w:type="dxa"/>
            <w:vAlign w:val="bottom"/>
          </w:tcPr>
          <w:p>
            <w:pPr>
              <w:spacing w:after="0"/>
              <w:rPr>
                <w:sz w:val="13"/>
                <w:szCs w:val="13"/>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5"/>
                <w:szCs w:val="15"/>
                <w:color w:val="auto"/>
              </w:rPr>
              <w:t>12,831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1,176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12,164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3,497</w:t>
            </w:r>
          </w:p>
        </w:tc>
        <w:tc>
          <w:tcPr>
            <w:tcW w:w="0" w:type="dxa"/>
            <w:vAlign w:val="bottom"/>
          </w:tcPr>
          <w:p>
            <w:pPr>
              <w:spacing w:after="0"/>
              <w:rPr>
                <w:sz w:val="1"/>
                <w:szCs w:val="1"/>
                <w:color w:val="auto"/>
              </w:rPr>
            </w:pPr>
          </w:p>
        </w:tc>
      </w:tr>
      <w:tr>
        <w:trPr>
          <w:trHeight w:val="189"/>
        </w:trPr>
        <w:tc>
          <w:tcPr>
            <w:tcW w:w="5460" w:type="dxa"/>
            <w:vAlign w:val="bottom"/>
          </w:tcPr>
          <w:p>
            <w:pPr>
              <w:ind w:left="220"/>
              <w:spacing w:after="0"/>
              <w:rPr>
                <w:sz w:val="20"/>
                <w:szCs w:val="20"/>
                <w:color w:val="auto"/>
              </w:rPr>
            </w:pPr>
            <w:r>
              <w:rPr>
                <w:rFonts w:ascii="Arial" w:cs="Arial" w:eastAsia="Arial" w:hAnsi="Arial"/>
                <w:sz w:val="15"/>
                <w:szCs w:val="15"/>
                <w:color w:val="auto"/>
              </w:rPr>
              <w:t>and $1,171 for the six months ended June 30, 2023 and 2022, respectively.</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other comprehensive income (loss)</w:t>
            </w: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18,746</w:t>
            </w:r>
          </w:p>
        </w:tc>
        <w:tc>
          <w:tcPr>
            <w:tcW w:w="8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(24,452)</w:t>
            </w: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26,013</w:t>
            </w:r>
          </w:p>
        </w:tc>
        <w:tc>
          <w:tcPr>
            <w:tcW w:w="80" w:type="dxa"/>
            <w:vAlign w:val="bottom"/>
            <w:tcBorders>
              <w:bottom w:val="single" w:sz="8" w:color="DBDBDB"/>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(26,205)</w:t>
            </w:r>
          </w:p>
        </w:tc>
        <w:tc>
          <w:tcPr>
            <w:tcW w:w="0" w:type="dxa"/>
            <w:vAlign w:val="bottom"/>
          </w:tcPr>
          <w:p>
            <w:pPr>
              <w:spacing w:after="0"/>
              <w:rPr>
                <w:sz w:val="1"/>
                <w:szCs w:val="1"/>
                <w:color w:val="auto"/>
              </w:rPr>
            </w:pPr>
          </w:p>
        </w:tc>
      </w:tr>
      <w:tr>
        <w:trPr>
          <w:trHeight w:val="199"/>
        </w:trPr>
        <w:tc>
          <w:tcPr>
            <w:tcW w:w="546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106,475</w:t>
            </w:r>
          </w:p>
        </w:tc>
        <w:tc>
          <w:tcPr>
            <w:tcW w:w="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48,924</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324,626</w:t>
            </w:r>
          </w:p>
        </w:tc>
        <w:tc>
          <w:tcPr>
            <w:tcW w:w="5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98,342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5" w:name="page6"/>
    <w:bookmarkEnd w:id="5"/>
    <w:p>
      <w:pPr>
        <w:jc w:val="center"/>
        <w:ind w:left="340" w:right="2700"/>
        <w:spacing w:after="0" w:line="282" w:lineRule="auto"/>
        <w:rPr>
          <w:sz w:val="20"/>
          <w:szCs w:val="20"/>
          <w:color w:val="auto"/>
        </w:rPr>
      </w:pPr>
      <w:r>
        <w:rPr>
          <w:rFonts w:ascii="Arial" w:cs="Arial" w:eastAsia="Arial" w:hAnsi="Arial"/>
          <w:sz w:val="22"/>
          <w:szCs w:val="22"/>
          <w:color w:val="1D2758"/>
        </w:rPr>
        <w:t>WillScot Mobile Mini Holdings Corp. Condensed Consolidated Statements of Changes in Equity (Unaudited)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40" w:type="dxa"/>
            <w:vAlign w:val="bottom"/>
            <w:shd w:val="clear" w:color="auto" w:fill="1D2758"/>
          </w:tcPr>
          <w:p>
            <w:pPr>
              <w:spacing w:after="0"/>
              <w:rPr>
                <w:sz w:val="17"/>
                <w:szCs w:val="17"/>
                <w:color w:val="auto"/>
              </w:rPr>
            </w:pPr>
          </w:p>
        </w:tc>
        <w:tc>
          <w:tcPr>
            <w:tcW w:w="3420" w:type="dxa"/>
            <w:vAlign w:val="bottom"/>
            <w:gridSpan w:val="5"/>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Six Months Ended June 30, 2023</w:t>
            </w:r>
          </w:p>
        </w:tc>
        <w:tc>
          <w:tcPr>
            <w:tcW w:w="14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40" w:type="dxa"/>
            <w:vAlign w:val="bottom"/>
            <w:shd w:val="clear" w:color="auto" w:fill="1D2758"/>
          </w:tcPr>
          <w:p>
            <w:pPr>
              <w:spacing w:after="0"/>
              <w:rPr>
                <w:sz w:val="15"/>
                <w:szCs w:val="15"/>
                <w:color w:val="auto"/>
              </w:rPr>
            </w:pPr>
          </w:p>
        </w:tc>
        <w:tc>
          <w:tcPr>
            <w:tcW w:w="2020" w:type="dxa"/>
            <w:vAlign w:val="bottom"/>
            <w:gridSpan w:val="2"/>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Accumulated</w:t>
            </w:r>
          </w:p>
        </w:tc>
        <w:tc>
          <w:tcPr>
            <w:tcW w:w="24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940" w:type="dxa"/>
            <w:vAlign w:val="bottom"/>
            <w:vMerge w:val="restart"/>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68"/>
        </w:trPr>
        <w:tc>
          <w:tcPr>
            <w:tcW w:w="4240" w:type="dxa"/>
            <w:vAlign w:val="bottom"/>
            <w:shd w:val="clear" w:color="auto" w:fill="1D2758"/>
          </w:tcPr>
          <w:p>
            <w:pPr>
              <w:spacing w:after="0"/>
              <w:rPr>
                <w:sz w:val="14"/>
                <w:szCs w:val="14"/>
                <w:color w:val="auto"/>
              </w:rPr>
            </w:pPr>
          </w:p>
        </w:tc>
        <w:tc>
          <w:tcPr>
            <w:tcW w:w="2020" w:type="dxa"/>
            <w:vAlign w:val="bottom"/>
            <w:gridSpan w:val="2"/>
            <w:vMerge w:val="continue"/>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120" w:type="dxa"/>
            <w:vAlign w:val="bottom"/>
            <w:shd w:val="clear" w:color="auto" w:fill="1D2758"/>
          </w:tcPr>
          <w:p>
            <w:pPr>
              <w:jc w:val="center"/>
              <w:ind w:right="43"/>
              <w:spacing w:after="0" w:line="168" w:lineRule="exact"/>
              <w:rPr>
                <w:sz w:val="20"/>
                <w:szCs w:val="20"/>
                <w:color w:val="auto"/>
              </w:rPr>
            </w:pPr>
            <w:r>
              <w:rPr>
                <w:rFonts w:ascii="Arial" w:cs="Arial" w:eastAsia="Arial" w:hAnsi="Arial"/>
                <w:sz w:val="15"/>
                <w:szCs w:val="15"/>
                <w:b w:val="1"/>
                <w:bCs w:val="1"/>
                <w:color w:val="FFFFFF"/>
                <w:w w:val="99"/>
              </w:rPr>
              <w:t>Other</w:t>
            </w:r>
          </w:p>
        </w:tc>
        <w:tc>
          <w:tcPr>
            <w:tcW w:w="24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9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4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Shares</w:t>
            </w:r>
          </w:p>
        </w:tc>
        <w:tc>
          <w:tcPr>
            <w:tcW w:w="8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980" w:type="dxa"/>
            <w:vAlign w:val="bottom"/>
            <w:shd w:val="clear" w:color="auto" w:fill="1D2758"/>
          </w:tcPr>
          <w:p>
            <w:pPr>
              <w:jc w:val="right"/>
              <w:ind w:right="103"/>
              <w:spacing w:after="0" w:line="142" w:lineRule="exact"/>
              <w:rPr>
                <w:sz w:val="20"/>
                <w:szCs w:val="20"/>
                <w:color w:val="auto"/>
              </w:rPr>
            </w:pPr>
            <w:r>
              <w:rPr>
                <w:rFonts w:ascii="Arial" w:cs="Arial" w:eastAsia="Arial" w:hAnsi="Arial"/>
                <w:sz w:val="15"/>
                <w:szCs w:val="15"/>
                <w:b w:val="1"/>
                <w:bCs w:val="1"/>
                <w:color w:val="FFFFFF"/>
              </w:rPr>
              <w:t>Additional</w:t>
            </w:r>
          </w:p>
        </w:tc>
        <w:tc>
          <w:tcPr>
            <w:tcW w:w="126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Comprehensive</w:t>
            </w:r>
          </w:p>
        </w:tc>
        <w:tc>
          <w:tcPr>
            <w:tcW w:w="1160" w:type="dxa"/>
            <w:vAlign w:val="bottom"/>
            <w:gridSpan w:val="2"/>
            <w:shd w:val="clear" w:color="auto" w:fill="1D2758"/>
          </w:tcPr>
          <w:p>
            <w:pPr>
              <w:jc w:val="right"/>
              <w:ind w:right="3"/>
              <w:spacing w:after="0" w:line="142" w:lineRule="exact"/>
              <w:rPr>
                <w:sz w:val="20"/>
                <w:szCs w:val="20"/>
                <w:color w:val="auto"/>
              </w:rPr>
            </w:pPr>
            <w:r>
              <w:rPr>
                <w:rFonts w:ascii="Arial" w:cs="Arial" w:eastAsia="Arial" w:hAnsi="Arial"/>
                <w:sz w:val="15"/>
                <w:szCs w:val="15"/>
                <w:b w:val="1"/>
                <w:bCs w:val="1"/>
                <w:color w:val="FFFFFF"/>
              </w:rPr>
              <w:t>Accumulated</w:t>
            </w:r>
          </w:p>
        </w:tc>
        <w:tc>
          <w:tcPr>
            <w:tcW w:w="1160" w:type="dxa"/>
            <w:vAlign w:val="bottom"/>
            <w:gridSpan w:val="2"/>
            <w:shd w:val="clear" w:color="auto" w:fill="1D2758"/>
          </w:tcPr>
          <w:p>
            <w:pPr>
              <w:jc w:val="center"/>
              <w:spacing w:after="0" w:line="142"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06"/>
        </w:trPr>
        <w:tc>
          <w:tcPr>
            <w:tcW w:w="4240" w:type="dxa"/>
            <w:vAlign w:val="bottom"/>
            <w:vMerge w:val="continue"/>
            <w:shd w:val="clear" w:color="auto" w:fill="1D2758"/>
          </w:tcPr>
          <w:p>
            <w:pPr>
              <w:spacing w:after="0"/>
              <w:rPr>
                <w:sz w:val="17"/>
                <w:szCs w:val="17"/>
                <w:color w:val="auto"/>
              </w:rPr>
            </w:pPr>
          </w:p>
        </w:tc>
        <w:tc>
          <w:tcPr>
            <w:tcW w:w="1140" w:type="dxa"/>
            <w:vAlign w:val="bottom"/>
            <w:vMerge w:val="continue"/>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Paid-in-Capital</w:t>
            </w:r>
          </w:p>
        </w:tc>
        <w:tc>
          <w:tcPr>
            <w:tcW w:w="140" w:type="dxa"/>
            <w:vAlign w:val="bottom"/>
            <w:shd w:val="clear" w:color="auto" w:fill="1D2758"/>
          </w:tcPr>
          <w:p>
            <w:pPr>
              <w:spacing w:after="0"/>
              <w:rPr>
                <w:sz w:val="17"/>
                <w:szCs w:val="17"/>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Loss</w:t>
            </w: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7"/>
                <w:szCs w:val="17"/>
                <w:color w:val="auto"/>
              </w:rPr>
            </w:pPr>
          </w:p>
        </w:tc>
        <w:tc>
          <w:tcPr>
            <w:tcW w:w="9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2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207,952</w:t>
            </w:r>
          </w:p>
        </w:tc>
        <w:tc>
          <w:tcPr>
            <w:tcW w:w="88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w:t>
            </w:r>
          </w:p>
        </w:tc>
        <w:tc>
          <w:tcPr>
            <w:tcW w:w="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2,886,951</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(1,251,550)</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1,565,300</w:t>
            </w:r>
          </w:p>
        </w:tc>
        <w:tc>
          <w:tcPr>
            <w:tcW w:w="0" w:type="dxa"/>
            <w:vAlign w:val="bottom"/>
          </w:tcPr>
          <w:p>
            <w:pPr>
              <w:spacing w:after="0"/>
              <w:rPr>
                <w:sz w:val="1"/>
                <w:szCs w:val="1"/>
                <w:color w:val="auto"/>
              </w:rPr>
            </w:pPr>
          </w:p>
        </w:tc>
      </w:tr>
      <w:tr>
        <w:trPr>
          <w:trHeight w:val="203"/>
        </w:trPr>
        <w:tc>
          <w:tcPr>
            <w:tcW w:w="4240" w:type="dxa"/>
            <w:vAlign w:val="bottom"/>
          </w:tcPr>
          <w:p>
            <w:pPr>
              <w:ind w:left="240"/>
              <w:spacing w:after="0"/>
              <w:rPr>
                <w:sz w:val="20"/>
                <w:szCs w:val="20"/>
                <w:color w:val="auto"/>
              </w:rPr>
            </w:pPr>
            <w:r>
              <w:rPr>
                <w:rFonts w:ascii="Arial" w:cs="Arial" w:eastAsia="Arial" w:hAnsi="Arial"/>
                <w:sz w:val="15"/>
                <w:szCs w:val="15"/>
                <w:color w:val="auto"/>
              </w:rPr>
              <w:t>Net income</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210,884</w:t>
            </w:r>
          </w:p>
        </w:tc>
        <w:tc>
          <w:tcPr>
            <w:tcW w:w="2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210,884</w:t>
            </w:r>
          </w:p>
        </w:tc>
        <w:tc>
          <w:tcPr>
            <w:tcW w:w="0" w:type="dxa"/>
            <w:vAlign w:val="bottom"/>
          </w:tcPr>
          <w:p>
            <w:pPr>
              <w:spacing w:after="0"/>
              <w:rPr>
                <w:sz w:val="1"/>
                <w:szCs w:val="1"/>
                <w:color w:val="auto"/>
              </w:rPr>
            </w:pPr>
          </w:p>
        </w:tc>
      </w:tr>
      <w:tr>
        <w:trPr>
          <w:trHeight w:val="209"/>
        </w:trPr>
        <w:tc>
          <w:tcPr>
            <w:tcW w:w="4240" w:type="dxa"/>
            <w:vAlign w:val="bottom"/>
            <w:shd w:val="clear" w:color="auto" w:fill="DBDBDB"/>
          </w:tcPr>
          <w:p>
            <w:pPr>
              <w:ind w:left="240"/>
              <w:spacing w:after="0"/>
              <w:rPr>
                <w:sz w:val="20"/>
                <w:szCs w:val="20"/>
                <w:color w:val="auto"/>
              </w:rPr>
            </w:pPr>
            <w:r>
              <w:rPr>
                <w:rFonts w:ascii="Arial" w:cs="Arial" w:eastAsia="Arial" w:hAnsi="Arial"/>
                <w:sz w:val="15"/>
                <w:szCs w:val="15"/>
                <w:color w:val="auto"/>
              </w:rPr>
              <w:t>Other comprehensive income</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7,267</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7,267</w:t>
            </w:r>
          </w:p>
        </w:tc>
        <w:tc>
          <w:tcPr>
            <w:tcW w:w="0" w:type="dxa"/>
            <w:vAlign w:val="bottom"/>
          </w:tcPr>
          <w:p>
            <w:pPr>
              <w:spacing w:after="0"/>
              <w:rPr>
                <w:sz w:val="1"/>
                <w:szCs w:val="1"/>
                <w:color w:val="auto"/>
              </w:rPr>
            </w:pPr>
          </w:p>
        </w:tc>
      </w:tr>
      <w:tr>
        <w:trPr>
          <w:trHeight w:val="159"/>
        </w:trPr>
        <w:tc>
          <w:tcPr>
            <w:tcW w:w="4240" w:type="dxa"/>
            <w:vAlign w:val="bottom"/>
          </w:tcPr>
          <w:p>
            <w:pPr>
              <w:ind w:left="240"/>
              <w:spacing w:after="0" w:line="159" w:lineRule="exact"/>
              <w:rPr>
                <w:sz w:val="20"/>
                <w:szCs w:val="20"/>
                <w:color w:val="auto"/>
              </w:rPr>
            </w:pPr>
            <w:r>
              <w:rPr>
                <w:rFonts w:ascii="Arial" w:cs="Arial" w:eastAsia="Arial" w:hAnsi="Arial"/>
                <w:sz w:val="15"/>
                <w:szCs w:val="15"/>
                <w:color w:val="auto"/>
              </w:rPr>
              <w:t>Withholding taxes on net share settlement of stock-based</w:t>
            </w: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(10,058)</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(10,058)</w:t>
            </w:r>
          </w:p>
        </w:tc>
        <w:tc>
          <w:tcPr>
            <w:tcW w:w="0" w:type="dxa"/>
            <w:vAlign w:val="bottom"/>
          </w:tcPr>
          <w:p>
            <w:pPr>
              <w:spacing w:after="0"/>
              <w:rPr>
                <w:sz w:val="1"/>
                <w:szCs w:val="1"/>
                <w:color w:val="auto"/>
              </w:rPr>
            </w:pPr>
          </w:p>
        </w:tc>
      </w:tr>
      <w:tr>
        <w:trPr>
          <w:trHeight w:val="199"/>
        </w:trPr>
        <w:tc>
          <w:tcPr>
            <w:tcW w:w="4240" w:type="dxa"/>
            <w:vAlign w:val="bottom"/>
          </w:tcPr>
          <w:p>
            <w:pPr>
              <w:ind w:left="240"/>
              <w:spacing w:after="0"/>
              <w:rPr>
                <w:sz w:val="20"/>
                <w:szCs w:val="20"/>
                <w:color w:val="auto"/>
              </w:rPr>
            </w:pPr>
            <w:r>
              <w:rPr>
                <w:rFonts w:ascii="Arial" w:cs="Arial" w:eastAsia="Arial" w:hAnsi="Arial"/>
                <w:sz w:val="15"/>
                <w:szCs w:val="15"/>
                <w:color w:val="auto"/>
              </w:rPr>
              <w:t>compensation</w:t>
            </w:r>
          </w:p>
        </w:tc>
        <w:tc>
          <w:tcPr>
            <w:tcW w:w="11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DBDBDB"/>
          </w:tcPr>
          <w:p>
            <w:pPr>
              <w:ind w:left="240"/>
              <w:spacing w:after="0" w:line="162" w:lineRule="exact"/>
              <w:rPr>
                <w:sz w:val="20"/>
                <w:szCs w:val="20"/>
                <w:color w:val="auto"/>
              </w:rPr>
            </w:pPr>
            <w:r>
              <w:rPr>
                <w:rFonts w:ascii="Arial" w:cs="Arial" w:eastAsia="Arial" w:hAnsi="Arial"/>
                <w:sz w:val="15"/>
                <w:szCs w:val="15"/>
                <w:color w:val="auto"/>
              </w:rPr>
              <w:t>Stock-based compensation and issuance of Common</w:t>
            </w:r>
          </w:p>
        </w:tc>
        <w:tc>
          <w:tcPr>
            <w:tcW w:w="11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355</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8,150</w:t>
            </w:r>
          </w:p>
        </w:tc>
        <w:tc>
          <w:tcPr>
            <w:tcW w:w="140" w:type="dxa"/>
            <w:vAlign w:val="bottom"/>
            <w:shd w:val="clear" w:color="auto" w:fill="DBDBDB"/>
          </w:tcPr>
          <w:p>
            <w:pPr>
              <w:spacing w:after="0"/>
              <w:rPr>
                <w:sz w:val="14"/>
                <w:szCs w:val="14"/>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8,150</w:t>
            </w:r>
          </w:p>
        </w:tc>
        <w:tc>
          <w:tcPr>
            <w:tcW w:w="0" w:type="dxa"/>
            <w:vAlign w:val="bottom"/>
          </w:tcPr>
          <w:p>
            <w:pPr>
              <w:spacing w:after="0"/>
              <w:rPr>
                <w:sz w:val="1"/>
                <w:szCs w:val="1"/>
                <w:color w:val="auto"/>
              </w:rPr>
            </w:pPr>
          </w:p>
        </w:tc>
      </w:tr>
      <w:tr>
        <w:trPr>
          <w:trHeight w:val="202"/>
        </w:trPr>
        <w:tc>
          <w:tcPr>
            <w:tcW w:w="4240" w:type="dxa"/>
            <w:vAlign w:val="bottom"/>
            <w:shd w:val="clear" w:color="auto" w:fill="DBDBDB"/>
          </w:tcPr>
          <w:p>
            <w:pPr>
              <w:ind w:left="240"/>
              <w:spacing w:after="0"/>
              <w:rPr>
                <w:sz w:val="20"/>
                <w:szCs w:val="20"/>
                <w:color w:val="auto"/>
              </w:rPr>
            </w:pPr>
            <w:r>
              <w:rPr>
                <w:rFonts w:ascii="Arial" w:cs="Arial" w:eastAsia="Arial" w:hAnsi="Arial"/>
                <w:sz w:val="15"/>
                <w:szCs w:val="15"/>
                <w:color w:val="auto"/>
              </w:rPr>
              <w:t>Stock from vesting</w:t>
            </w:r>
          </w:p>
        </w:tc>
        <w:tc>
          <w:tcPr>
            <w:tcW w:w="114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40"/>
              <w:spacing w:after="0"/>
              <w:rPr>
                <w:sz w:val="20"/>
                <w:szCs w:val="20"/>
                <w:color w:val="auto"/>
              </w:rPr>
            </w:pPr>
            <w:r>
              <w:rPr>
                <w:rFonts w:ascii="Arial" w:cs="Arial" w:eastAsia="Arial" w:hAnsi="Arial"/>
                <w:sz w:val="15"/>
                <w:szCs w:val="15"/>
                <w:color w:val="auto"/>
              </w:rPr>
              <w:t>Repurchase and cancellation of Common Stock</w:t>
            </w:r>
          </w:p>
        </w:tc>
        <w:tc>
          <w:tcPr>
            <w:tcW w:w="1140" w:type="dxa"/>
            <w:vAlign w:val="bottom"/>
          </w:tcPr>
          <w:p>
            <w:pPr>
              <w:jc w:val="right"/>
              <w:spacing w:after="0"/>
              <w:rPr>
                <w:sz w:val="20"/>
                <w:szCs w:val="20"/>
                <w:color w:val="auto"/>
              </w:rPr>
            </w:pPr>
            <w:r>
              <w:rPr>
                <w:rFonts w:ascii="Arial" w:cs="Arial" w:eastAsia="Arial" w:hAnsi="Arial"/>
                <w:sz w:val="15"/>
                <w:szCs w:val="15"/>
                <w:color w:val="auto"/>
              </w:rPr>
              <w:t>(4,589)</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(217,687)</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(217,687)</w:t>
            </w:r>
          </w:p>
        </w:tc>
        <w:tc>
          <w:tcPr>
            <w:tcW w:w="0" w:type="dxa"/>
            <w:vAlign w:val="bottom"/>
          </w:tcPr>
          <w:p>
            <w:pPr>
              <w:spacing w:after="0"/>
              <w:rPr>
                <w:sz w:val="1"/>
                <w:szCs w:val="1"/>
                <w:color w:val="auto"/>
              </w:rPr>
            </w:pPr>
          </w:p>
        </w:tc>
      </w:tr>
      <w:tr>
        <w:trPr>
          <w:trHeight w:val="209"/>
        </w:trPr>
        <w:tc>
          <w:tcPr>
            <w:tcW w:w="4240" w:type="dxa"/>
            <w:vAlign w:val="bottom"/>
            <w:shd w:val="clear" w:color="auto" w:fill="DBDBDB"/>
          </w:tcPr>
          <w:p>
            <w:pPr>
              <w:ind w:left="240"/>
              <w:spacing w:after="0"/>
              <w:rPr>
                <w:sz w:val="20"/>
                <w:szCs w:val="20"/>
                <w:color w:val="auto"/>
              </w:rPr>
            </w:pPr>
            <w:r>
              <w:rPr>
                <w:rFonts w:ascii="Arial" w:cs="Arial" w:eastAsia="Arial" w:hAnsi="Arial"/>
                <w:sz w:val="15"/>
                <w:szCs w:val="15"/>
                <w:color w:val="auto"/>
              </w:rPr>
              <w:t>Issuance of Common Stock from the exercise of options</w:t>
            </w: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w:t>
            </w:r>
          </w:p>
        </w:tc>
        <w:tc>
          <w:tcPr>
            <w:tcW w:w="88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68</w:t>
            </w:r>
          </w:p>
        </w:tc>
        <w:tc>
          <w:tcPr>
            <w:tcW w:w="1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5"/>
                <w:szCs w:val="15"/>
                <w:color w:val="auto"/>
              </w:rPr>
              <w:t>Balance at March 31, 2023</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203,723</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2,667,424</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(62,855)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(1,040,666)</w:t>
            </w:r>
          </w:p>
        </w:tc>
        <w:tc>
          <w:tcPr>
            <w:tcW w:w="2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1,563,924</w:t>
            </w:r>
          </w:p>
        </w:tc>
        <w:tc>
          <w:tcPr>
            <w:tcW w:w="0" w:type="dxa"/>
            <w:vAlign w:val="bottom"/>
          </w:tcPr>
          <w:p>
            <w:pPr>
              <w:spacing w:after="0"/>
              <w:rPr>
                <w:sz w:val="1"/>
                <w:szCs w:val="1"/>
                <w:color w:val="auto"/>
              </w:rPr>
            </w:pPr>
          </w:p>
        </w:tc>
      </w:tr>
      <w:tr>
        <w:trPr>
          <w:trHeight w:val="209"/>
        </w:trPr>
        <w:tc>
          <w:tcPr>
            <w:tcW w:w="4240" w:type="dxa"/>
            <w:vAlign w:val="bottom"/>
            <w:shd w:val="clear" w:color="auto" w:fill="DBDBDB"/>
          </w:tcPr>
          <w:p>
            <w:pPr>
              <w:ind w:left="24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87,729</w:t>
            </w:r>
          </w:p>
        </w:tc>
        <w:tc>
          <w:tcPr>
            <w:tcW w:w="22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87,729</w:t>
            </w:r>
          </w:p>
        </w:tc>
        <w:tc>
          <w:tcPr>
            <w:tcW w:w="0" w:type="dxa"/>
            <w:vAlign w:val="bottom"/>
          </w:tcPr>
          <w:p>
            <w:pPr>
              <w:spacing w:after="0"/>
              <w:rPr>
                <w:sz w:val="1"/>
                <w:szCs w:val="1"/>
                <w:color w:val="auto"/>
              </w:rPr>
            </w:pPr>
          </w:p>
        </w:tc>
      </w:tr>
      <w:tr>
        <w:trPr>
          <w:trHeight w:val="203"/>
        </w:trPr>
        <w:tc>
          <w:tcPr>
            <w:tcW w:w="4240" w:type="dxa"/>
            <w:vAlign w:val="bottom"/>
          </w:tcPr>
          <w:p>
            <w:pPr>
              <w:ind w:left="240"/>
              <w:spacing w:after="0"/>
              <w:rPr>
                <w:sz w:val="20"/>
                <w:szCs w:val="20"/>
                <w:color w:val="auto"/>
              </w:rPr>
            </w:pPr>
            <w:r>
              <w:rPr>
                <w:rFonts w:ascii="Arial" w:cs="Arial" w:eastAsia="Arial" w:hAnsi="Arial"/>
                <w:sz w:val="15"/>
                <w:szCs w:val="15"/>
                <w:color w:val="auto"/>
              </w:rPr>
              <w:t>Other comprehensive income</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18,746</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18,746</w:t>
            </w:r>
          </w:p>
        </w:tc>
        <w:tc>
          <w:tcPr>
            <w:tcW w:w="0" w:type="dxa"/>
            <w:vAlign w:val="bottom"/>
          </w:tcPr>
          <w:p>
            <w:pPr>
              <w:spacing w:after="0"/>
              <w:rPr>
                <w:sz w:val="1"/>
                <w:szCs w:val="1"/>
                <w:color w:val="auto"/>
              </w:rPr>
            </w:pPr>
          </w:p>
        </w:tc>
      </w:tr>
      <w:tr>
        <w:trPr>
          <w:trHeight w:val="162"/>
        </w:trPr>
        <w:tc>
          <w:tcPr>
            <w:tcW w:w="4240" w:type="dxa"/>
            <w:vAlign w:val="bottom"/>
            <w:shd w:val="clear" w:color="auto" w:fill="DBDBDB"/>
          </w:tcPr>
          <w:p>
            <w:pPr>
              <w:ind w:left="240"/>
              <w:spacing w:after="0" w:line="162" w:lineRule="exact"/>
              <w:rPr>
                <w:sz w:val="20"/>
                <w:szCs w:val="20"/>
                <w:color w:val="auto"/>
              </w:rPr>
            </w:pPr>
            <w:r>
              <w:rPr>
                <w:rFonts w:ascii="Arial" w:cs="Arial" w:eastAsia="Arial" w:hAnsi="Arial"/>
                <w:sz w:val="15"/>
                <w:szCs w:val="15"/>
                <w:color w:val="auto"/>
              </w:rPr>
              <w:t>Stock-based compensation and issuance of Common</w:t>
            </w:r>
          </w:p>
        </w:tc>
        <w:tc>
          <w:tcPr>
            <w:tcW w:w="11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35</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9,348</w:t>
            </w:r>
          </w:p>
        </w:tc>
        <w:tc>
          <w:tcPr>
            <w:tcW w:w="140" w:type="dxa"/>
            <w:vAlign w:val="bottom"/>
            <w:shd w:val="clear" w:color="auto" w:fill="DBDBDB"/>
          </w:tcPr>
          <w:p>
            <w:pPr>
              <w:spacing w:after="0"/>
              <w:rPr>
                <w:sz w:val="14"/>
                <w:szCs w:val="14"/>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9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9,348</w:t>
            </w:r>
          </w:p>
        </w:tc>
        <w:tc>
          <w:tcPr>
            <w:tcW w:w="0" w:type="dxa"/>
            <w:vAlign w:val="bottom"/>
          </w:tcPr>
          <w:p>
            <w:pPr>
              <w:spacing w:after="0"/>
              <w:rPr>
                <w:sz w:val="1"/>
                <w:szCs w:val="1"/>
                <w:color w:val="auto"/>
              </w:rPr>
            </w:pPr>
          </w:p>
        </w:tc>
      </w:tr>
      <w:tr>
        <w:trPr>
          <w:trHeight w:val="202"/>
        </w:trPr>
        <w:tc>
          <w:tcPr>
            <w:tcW w:w="4240" w:type="dxa"/>
            <w:vAlign w:val="bottom"/>
            <w:shd w:val="clear" w:color="auto" w:fill="DBDBDB"/>
          </w:tcPr>
          <w:p>
            <w:pPr>
              <w:ind w:left="240"/>
              <w:spacing w:after="0"/>
              <w:rPr>
                <w:sz w:val="20"/>
                <w:szCs w:val="20"/>
                <w:color w:val="auto"/>
              </w:rPr>
            </w:pPr>
            <w:r>
              <w:rPr>
                <w:rFonts w:ascii="Arial" w:cs="Arial" w:eastAsia="Arial" w:hAnsi="Arial"/>
                <w:sz w:val="15"/>
                <w:szCs w:val="15"/>
                <w:color w:val="auto"/>
              </w:rPr>
              <w:t>Stock from vesting</w:t>
            </w:r>
          </w:p>
        </w:tc>
        <w:tc>
          <w:tcPr>
            <w:tcW w:w="114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40"/>
              <w:spacing w:after="0"/>
              <w:rPr>
                <w:sz w:val="20"/>
                <w:szCs w:val="20"/>
                <w:color w:val="auto"/>
              </w:rPr>
            </w:pPr>
            <w:r>
              <w:rPr>
                <w:rFonts w:ascii="Arial" w:cs="Arial" w:eastAsia="Arial" w:hAnsi="Arial"/>
                <w:sz w:val="15"/>
                <w:szCs w:val="15"/>
                <w:color w:val="auto"/>
              </w:rPr>
              <w:t>Repurchase and cancellation of Common Stock</w:t>
            </w:r>
          </w:p>
        </w:tc>
        <w:tc>
          <w:tcPr>
            <w:tcW w:w="1140" w:type="dxa"/>
            <w:vAlign w:val="bottom"/>
          </w:tcPr>
          <w:p>
            <w:pPr>
              <w:jc w:val="right"/>
              <w:spacing w:after="0"/>
              <w:rPr>
                <w:sz w:val="20"/>
                <w:szCs w:val="20"/>
                <w:color w:val="auto"/>
              </w:rPr>
            </w:pPr>
            <w:r>
              <w:rPr>
                <w:rFonts w:ascii="Arial" w:cs="Arial" w:eastAsia="Arial" w:hAnsi="Arial"/>
                <w:sz w:val="15"/>
                <w:szCs w:val="15"/>
                <w:color w:val="auto"/>
              </w:rPr>
              <w:t>(5,406)</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(241,545)</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(241,546)</w:t>
            </w:r>
          </w:p>
        </w:tc>
        <w:tc>
          <w:tcPr>
            <w:tcW w:w="0" w:type="dxa"/>
            <w:vAlign w:val="bottom"/>
          </w:tcPr>
          <w:p>
            <w:pPr>
              <w:spacing w:after="0"/>
              <w:rPr>
                <w:sz w:val="1"/>
                <w:szCs w:val="1"/>
                <w:color w:val="auto"/>
              </w:rPr>
            </w:pPr>
          </w:p>
        </w:tc>
      </w:tr>
      <w:tr>
        <w:trPr>
          <w:trHeight w:val="209"/>
        </w:trPr>
        <w:tc>
          <w:tcPr>
            <w:tcW w:w="4240" w:type="dxa"/>
            <w:vAlign w:val="bottom"/>
            <w:shd w:val="clear" w:color="auto" w:fill="DBDBDB"/>
          </w:tcPr>
          <w:p>
            <w:pPr>
              <w:ind w:left="240"/>
              <w:spacing w:after="0"/>
              <w:rPr>
                <w:sz w:val="20"/>
                <w:szCs w:val="20"/>
                <w:color w:val="auto"/>
              </w:rPr>
            </w:pPr>
            <w:r>
              <w:rPr>
                <w:rFonts w:ascii="Arial" w:cs="Arial" w:eastAsia="Arial" w:hAnsi="Arial"/>
                <w:sz w:val="15"/>
                <w:szCs w:val="15"/>
                <w:color w:val="auto"/>
              </w:rPr>
              <w:t>Issuance of Common Stock from the exercise of options</w:t>
            </w: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24</w:t>
            </w:r>
          </w:p>
        </w:tc>
        <w:tc>
          <w:tcPr>
            <w:tcW w:w="88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344</w:t>
            </w:r>
          </w:p>
        </w:tc>
        <w:tc>
          <w:tcPr>
            <w:tcW w:w="1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344</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5"/>
                <w:szCs w:val="15"/>
                <w:color w:val="auto"/>
              </w:rPr>
              <w:t>Balance at June 30, 2023</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198,376</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2,435,571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(44,109)</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(952,937)</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1,438,545</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6"/>
        </w:trPr>
        <w:tc>
          <w:tcPr>
            <w:tcW w:w="4300" w:type="dxa"/>
            <w:vAlign w:val="bottom"/>
            <w:shd w:val="clear" w:color="auto" w:fill="1D2758"/>
          </w:tcPr>
          <w:p>
            <w:pPr>
              <w:spacing w:after="0"/>
              <w:rPr>
                <w:sz w:val="17"/>
                <w:szCs w:val="17"/>
                <w:color w:val="auto"/>
              </w:rPr>
            </w:pPr>
          </w:p>
        </w:tc>
        <w:tc>
          <w:tcPr>
            <w:tcW w:w="3380" w:type="dxa"/>
            <w:vAlign w:val="bottom"/>
            <w:gridSpan w:val="5"/>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Six Months Ended June 30, 2022</w:t>
            </w:r>
          </w:p>
        </w:tc>
        <w:tc>
          <w:tcPr>
            <w:tcW w:w="140" w:type="dxa"/>
            <w:vAlign w:val="bottom"/>
            <w:shd w:val="clear" w:color="auto" w:fill="1D2758"/>
          </w:tcPr>
          <w:p>
            <w:pPr>
              <w:spacing w:after="0"/>
              <w:rPr>
                <w:sz w:val="17"/>
                <w:szCs w:val="17"/>
                <w:color w:val="auto"/>
              </w:rPr>
            </w:pPr>
          </w:p>
        </w:tc>
        <w:tc>
          <w:tcPr>
            <w:tcW w:w="114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300" w:type="dxa"/>
            <w:vAlign w:val="bottom"/>
            <w:shd w:val="clear" w:color="auto" w:fill="1D2758"/>
          </w:tcPr>
          <w:p>
            <w:pPr>
              <w:spacing w:after="0"/>
              <w:rPr>
                <w:sz w:val="14"/>
                <w:szCs w:val="14"/>
                <w:color w:val="auto"/>
              </w:rPr>
            </w:pPr>
          </w:p>
        </w:tc>
        <w:tc>
          <w:tcPr>
            <w:tcW w:w="2000" w:type="dxa"/>
            <w:vAlign w:val="bottom"/>
            <w:gridSpan w:val="2"/>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140" w:type="dxa"/>
            <w:vAlign w:val="bottom"/>
            <w:shd w:val="clear" w:color="auto" w:fill="1D2758"/>
          </w:tcPr>
          <w:p>
            <w:pPr>
              <w:jc w:val="center"/>
              <w:ind w:right="63"/>
              <w:spacing w:after="0" w:line="168" w:lineRule="exact"/>
              <w:rPr>
                <w:sz w:val="20"/>
                <w:szCs w:val="20"/>
                <w:color w:val="auto"/>
              </w:rPr>
            </w:pPr>
            <w:r>
              <w:rPr>
                <w:rFonts w:ascii="Arial" w:cs="Arial" w:eastAsia="Arial" w:hAnsi="Arial"/>
                <w:sz w:val="15"/>
                <w:szCs w:val="15"/>
                <w:b w:val="1"/>
                <w:bCs w:val="1"/>
                <w:color w:val="FFFFFF"/>
              </w:rPr>
              <w:t>Accumulated</w:t>
            </w:r>
          </w:p>
        </w:tc>
        <w:tc>
          <w:tcPr>
            <w:tcW w:w="20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920" w:type="dxa"/>
            <w:vAlign w:val="bottom"/>
            <w:vMerge w:val="restart"/>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4300" w:type="dxa"/>
            <w:vAlign w:val="bottom"/>
            <w:shd w:val="clear" w:color="auto" w:fill="1D2758"/>
          </w:tcPr>
          <w:p>
            <w:pPr>
              <w:spacing w:after="0"/>
              <w:rPr>
                <w:sz w:val="13"/>
                <w:szCs w:val="13"/>
                <w:color w:val="auto"/>
              </w:rPr>
            </w:pPr>
          </w:p>
        </w:tc>
        <w:tc>
          <w:tcPr>
            <w:tcW w:w="2000" w:type="dxa"/>
            <w:vAlign w:val="bottom"/>
            <w:gridSpan w:val="2"/>
            <w:vMerge w:val="continue"/>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98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14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w w:val="99"/>
              </w:rPr>
              <w:t>Other</w:t>
            </w:r>
          </w:p>
        </w:tc>
        <w:tc>
          <w:tcPr>
            <w:tcW w:w="200" w:type="dxa"/>
            <w:vAlign w:val="bottom"/>
            <w:shd w:val="clear" w:color="auto" w:fill="1D2758"/>
          </w:tcPr>
          <w:p>
            <w:pPr>
              <w:spacing w:after="0"/>
              <w:rPr>
                <w:sz w:val="13"/>
                <w:szCs w:val="13"/>
                <w:color w:val="auto"/>
              </w:rPr>
            </w:pPr>
          </w:p>
        </w:tc>
        <w:tc>
          <w:tcPr>
            <w:tcW w:w="920" w:type="dxa"/>
            <w:vAlign w:val="bottom"/>
            <w:shd w:val="clear" w:color="auto" w:fill="1D2758"/>
          </w:tcPr>
          <w:p>
            <w:pPr>
              <w:spacing w:after="0"/>
              <w:rPr>
                <w:sz w:val="13"/>
                <w:szCs w:val="13"/>
                <w:color w:val="auto"/>
              </w:rPr>
            </w:pPr>
          </w:p>
        </w:tc>
        <w:tc>
          <w:tcPr>
            <w:tcW w:w="240" w:type="dxa"/>
            <w:vAlign w:val="bottom"/>
            <w:shd w:val="clear" w:color="auto" w:fill="1D2758"/>
          </w:tcPr>
          <w:p>
            <w:pPr>
              <w:spacing w:after="0"/>
              <w:rPr>
                <w:sz w:val="13"/>
                <w:szCs w:val="13"/>
                <w:color w:val="auto"/>
              </w:rPr>
            </w:pPr>
          </w:p>
        </w:tc>
        <w:tc>
          <w:tcPr>
            <w:tcW w:w="92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2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Shares</w:t>
            </w:r>
          </w:p>
        </w:tc>
        <w:tc>
          <w:tcPr>
            <w:tcW w:w="8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980" w:type="dxa"/>
            <w:vAlign w:val="bottom"/>
            <w:shd w:val="clear" w:color="auto" w:fill="1D2758"/>
          </w:tcPr>
          <w:p>
            <w:pPr>
              <w:jc w:val="right"/>
              <w:ind w:right="103"/>
              <w:spacing w:after="0" w:line="155" w:lineRule="exact"/>
              <w:rPr>
                <w:sz w:val="20"/>
                <w:szCs w:val="20"/>
                <w:color w:val="auto"/>
              </w:rPr>
            </w:pPr>
            <w:r>
              <w:rPr>
                <w:rFonts w:ascii="Arial" w:cs="Arial" w:eastAsia="Arial" w:hAnsi="Arial"/>
                <w:sz w:val="15"/>
                <w:szCs w:val="15"/>
                <w:b w:val="1"/>
                <w:bCs w:val="1"/>
                <w:color w:val="FFFFFF"/>
              </w:rPr>
              <w:t>Additional</w:t>
            </w:r>
          </w:p>
        </w:tc>
        <w:tc>
          <w:tcPr>
            <w:tcW w:w="1280" w:type="dxa"/>
            <w:vAlign w:val="bottom"/>
            <w:gridSpan w:val="2"/>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Comprehensive</w:t>
            </w:r>
          </w:p>
        </w:tc>
        <w:tc>
          <w:tcPr>
            <w:tcW w:w="1120" w:type="dxa"/>
            <w:vAlign w:val="bottom"/>
            <w:gridSpan w:val="2"/>
            <w:shd w:val="clear" w:color="auto" w:fill="1D2758"/>
          </w:tcPr>
          <w:p>
            <w:pPr>
              <w:jc w:val="right"/>
              <w:spacing w:after="0" w:line="155" w:lineRule="exact"/>
              <w:rPr>
                <w:sz w:val="20"/>
                <w:szCs w:val="20"/>
                <w:color w:val="auto"/>
              </w:rPr>
            </w:pPr>
            <w:r>
              <w:rPr>
                <w:rFonts w:ascii="Arial" w:cs="Arial" w:eastAsia="Arial" w:hAnsi="Arial"/>
                <w:sz w:val="15"/>
                <w:szCs w:val="15"/>
                <w:b w:val="1"/>
                <w:bCs w:val="1"/>
                <w:color w:val="FFFFFF"/>
              </w:rPr>
              <w:t>Accumulated</w:t>
            </w:r>
          </w:p>
        </w:tc>
        <w:tc>
          <w:tcPr>
            <w:tcW w:w="1160" w:type="dxa"/>
            <w:vAlign w:val="bottom"/>
            <w:gridSpan w:val="2"/>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06"/>
        </w:trPr>
        <w:tc>
          <w:tcPr>
            <w:tcW w:w="4300" w:type="dxa"/>
            <w:vAlign w:val="bottom"/>
            <w:vMerge w:val="continue"/>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Paid-in-Capital</w:t>
            </w:r>
          </w:p>
        </w:tc>
        <w:tc>
          <w:tcPr>
            <w:tcW w:w="140" w:type="dxa"/>
            <w:vAlign w:val="bottom"/>
            <w:shd w:val="clear" w:color="auto" w:fill="1D2758"/>
          </w:tcPr>
          <w:p>
            <w:pPr>
              <w:spacing w:after="0"/>
              <w:rPr>
                <w:sz w:val="17"/>
                <w:szCs w:val="17"/>
                <w:color w:val="auto"/>
              </w:rPr>
            </w:pPr>
          </w:p>
        </w:tc>
        <w:tc>
          <w:tcPr>
            <w:tcW w:w="114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Loss</w:t>
            </w:r>
          </w:p>
        </w:tc>
        <w:tc>
          <w:tcPr>
            <w:tcW w:w="20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Deficit</w:t>
            </w: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3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223,940</w:t>
            </w:r>
          </w:p>
        </w:tc>
        <w:tc>
          <w:tcPr>
            <w:tcW w:w="88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c>
          <w:tcPr>
            <w:tcW w:w="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3,616,902</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(1,591,090)</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03"/>
        </w:trPr>
        <w:tc>
          <w:tcPr>
            <w:tcW w:w="4300" w:type="dxa"/>
            <w:vAlign w:val="bottom"/>
          </w:tcPr>
          <w:p>
            <w:pPr>
              <w:ind w:left="240"/>
              <w:spacing w:after="0"/>
              <w:rPr>
                <w:sz w:val="20"/>
                <w:szCs w:val="20"/>
                <w:color w:val="auto"/>
              </w:rPr>
            </w:pPr>
            <w:r>
              <w:rPr>
                <w:rFonts w:ascii="Arial" w:cs="Arial" w:eastAsia="Arial" w:hAnsi="Arial"/>
                <w:sz w:val="15"/>
                <w:szCs w:val="15"/>
                <w:color w:val="auto"/>
              </w:rPr>
              <w:t>Net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51,171</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51,171</w:t>
            </w:r>
          </w:p>
        </w:tc>
        <w:tc>
          <w:tcPr>
            <w:tcW w:w="0" w:type="dxa"/>
            <w:vAlign w:val="bottom"/>
          </w:tcPr>
          <w:p>
            <w:pPr>
              <w:spacing w:after="0"/>
              <w:rPr>
                <w:sz w:val="1"/>
                <w:szCs w:val="1"/>
                <w:color w:val="auto"/>
              </w:rPr>
            </w:pPr>
          </w:p>
        </w:tc>
      </w:tr>
      <w:tr>
        <w:trPr>
          <w:trHeight w:val="209"/>
        </w:trPr>
        <w:tc>
          <w:tcPr>
            <w:tcW w:w="43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Other comprehensive loss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2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59"/>
        </w:trPr>
        <w:tc>
          <w:tcPr>
            <w:tcW w:w="4300" w:type="dxa"/>
            <w:vAlign w:val="bottom"/>
          </w:tcPr>
          <w:p>
            <w:pPr>
              <w:ind w:left="240"/>
              <w:spacing w:after="0" w:line="159"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(12,295)</w:t>
            </w:r>
          </w:p>
        </w:tc>
        <w:tc>
          <w:tcPr>
            <w:tcW w:w="140" w:type="dxa"/>
            <w:vAlign w:val="bottom"/>
          </w:tcPr>
          <w:p>
            <w:pPr>
              <w:spacing w:after="0"/>
              <w:rPr>
                <w:sz w:val="13"/>
                <w:szCs w:val="13"/>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r>
        <w:trPr>
          <w:trHeight w:val="199"/>
        </w:trPr>
        <w:tc>
          <w:tcPr>
            <w:tcW w:w="4300" w:type="dxa"/>
            <w:vAlign w:val="bottom"/>
          </w:tcPr>
          <w:p>
            <w:pPr>
              <w:ind w:left="240"/>
              <w:spacing w:after="0"/>
              <w:rPr>
                <w:sz w:val="20"/>
                <w:szCs w:val="20"/>
                <w:color w:val="auto"/>
              </w:rPr>
            </w:pPr>
            <w:r>
              <w:rPr>
                <w:rFonts w:ascii="Arial" w:cs="Arial" w:eastAsia="Arial" w:hAnsi="Arial"/>
                <w:sz w:val="15"/>
                <w:szCs w:val="15"/>
                <w:color w:val="auto"/>
              </w:rPr>
              <w:t>compensation</w:t>
            </w:r>
          </w:p>
        </w:tc>
        <w:tc>
          <w:tcPr>
            <w:tcW w:w="1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DBDBDB"/>
          </w:tcPr>
          <w:p>
            <w:pPr>
              <w:ind w:left="240"/>
              <w:spacing w:after="0" w:line="162"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498</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6,395</w:t>
            </w:r>
          </w:p>
        </w:tc>
        <w:tc>
          <w:tcPr>
            <w:tcW w:w="140" w:type="dxa"/>
            <w:vAlign w:val="bottom"/>
            <w:shd w:val="clear" w:color="auto" w:fill="DBDBDB"/>
          </w:tcPr>
          <w:p>
            <w:pPr>
              <w:spacing w:after="0"/>
              <w:rPr>
                <w:sz w:val="14"/>
                <w:szCs w:val="14"/>
                <w:color w:val="auto"/>
              </w:rPr>
            </w:pPr>
          </w:p>
        </w:tc>
        <w:tc>
          <w:tcPr>
            <w:tcW w:w="11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6,395</w:t>
            </w:r>
          </w:p>
        </w:tc>
        <w:tc>
          <w:tcPr>
            <w:tcW w:w="0" w:type="dxa"/>
            <w:vAlign w:val="bottom"/>
          </w:tcPr>
          <w:p>
            <w:pPr>
              <w:spacing w:after="0"/>
              <w:rPr>
                <w:sz w:val="1"/>
                <w:szCs w:val="1"/>
                <w:color w:val="auto"/>
              </w:rPr>
            </w:pPr>
          </w:p>
        </w:tc>
      </w:tr>
      <w:tr>
        <w:trPr>
          <w:trHeight w:val="202"/>
        </w:trPr>
        <w:tc>
          <w:tcPr>
            <w:tcW w:w="43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40" w:type="dxa"/>
            <w:vAlign w:val="bottom"/>
            <w:vMerge w:val="continue"/>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300" w:type="dxa"/>
            <w:vAlign w:val="bottom"/>
          </w:tcPr>
          <w:p>
            <w:pPr>
              <w:ind w:left="240"/>
              <w:spacing w:after="0" w:line="159" w:lineRule="exact"/>
              <w:rPr>
                <w:sz w:val="20"/>
                <w:szCs w:val="20"/>
                <w:color w:val="auto"/>
              </w:rPr>
            </w:pPr>
            <w:r>
              <w:rPr>
                <w:rFonts w:ascii="Arial" w:cs="Arial" w:eastAsia="Arial" w:hAnsi="Arial"/>
                <w:sz w:val="15"/>
                <w:szCs w:val="15"/>
                <w:color w:val="auto"/>
              </w:rPr>
              <w:t>Repurchase and cancellation of Common Stock and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(2,064)</w:t>
            </w:r>
          </w:p>
        </w:tc>
        <w:tc>
          <w:tcPr>
            <w:tcW w:w="8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(77,409)</w:t>
            </w:r>
          </w:p>
        </w:tc>
        <w:tc>
          <w:tcPr>
            <w:tcW w:w="140" w:type="dxa"/>
            <w:vAlign w:val="bottom"/>
          </w:tcPr>
          <w:p>
            <w:pPr>
              <w:spacing w:after="0"/>
              <w:rPr>
                <w:sz w:val="13"/>
                <w:szCs w:val="13"/>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(77,409)</w:t>
            </w:r>
          </w:p>
        </w:tc>
        <w:tc>
          <w:tcPr>
            <w:tcW w:w="0" w:type="dxa"/>
            <w:vAlign w:val="bottom"/>
          </w:tcPr>
          <w:p>
            <w:pPr>
              <w:spacing w:after="0"/>
              <w:rPr>
                <w:sz w:val="1"/>
                <w:szCs w:val="1"/>
                <w:color w:val="auto"/>
              </w:rPr>
            </w:pPr>
          </w:p>
        </w:tc>
      </w:tr>
      <w:tr>
        <w:trPr>
          <w:trHeight w:val="199"/>
        </w:trPr>
        <w:tc>
          <w:tcPr>
            <w:tcW w:w="4300" w:type="dxa"/>
            <w:vAlign w:val="bottom"/>
          </w:tcPr>
          <w:p>
            <w:pPr>
              <w:ind w:left="240"/>
              <w:spacing w:after="0"/>
              <w:rPr>
                <w:sz w:val="20"/>
                <w:szCs w:val="20"/>
                <w:color w:val="auto"/>
              </w:rPr>
            </w:pPr>
            <w:r>
              <w:rPr>
                <w:rFonts w:ascii="Arial" w:cs="Arial" w:eastAsia="Arial" w:hAnsi="Arial"/>
                <w:sz w:val="15"/>
                <w:szCs w:val="15"/>
                <w:color w:val="auto"/>
              </w:rPr>
              <w:t>warrants</w:t>
            </w:r>
          </w:p>
        </w:tc>
        <w:tc>
          <w:tcPr>
            <w:tcW w:w="1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DBDBDB"/>
          </w:tcPr>
          <w:p>
            <w:pPr>
              <w:ind w:left="240"/>
              <w:spacing w:after="0" w:line="162" w:lineRule="exact"/>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800</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3,313</w:t>
            </w:r>
          </w:p>
        </w:tc>
        <w:tc>
          <w:tcPr>
            <w:tcW w:w="140" w:type="dxa"/>
            <w:vAlign w:val="bottom"/>
            <w:shd w:val="clear" w:color="auto" w:fill="DBDBDB"/>
          </w:tcPr>
          <w:p>
            <w:pPr>
              <w:spacing w:after="0"/>
              <w:rPr>
                <w:sz w:val="14"/>
                <w:szCs w:val="14"/>
                <w:color w:val="auto"/>
              </w:rPr>
            </w:pPr>
          </w:p>
        </w:tc>
        <w:tc>
          <w:tcPr>
            <w:tcW w:w="11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202"/>
        </w:trPr>
        <w:tc>
          <w:tcPr>
            <w:tcW w:w="43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and warrants</w:t>
            </w: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vMerge w:val="continue"/>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120" w:type="dxa"/>
            <w:vAlign w:val="bottom"/>
          </w:tcPr>
          <w:p>
            <w:pPr>
              <w:jc w:val="right"/>
              <w:spacing w:after="0"/>
              <w:rPr>
                <w:sz w:val="20"/>
                <w:szCs w:val="20"/>
                <w:color w:val="auto"/>
              </w:rPr>
            </w:pPr>
            <w:r>
              <w:rPr>
                <w:rFonts w:ascii="Arial" w:cs="Arial" w:eastAsia="Arial" w:hAnsi="Arial"/>
                <w:sz w:val="15"/>
                <w:szCs w:val="15"/>
                <w:color w:val="auto"/>
              </w:rPr>
              <w:t>223,174</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22</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3,536,906</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(30,824)</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(1,539,919)</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1,966,185</w:t>
            </w:r>
          </w:p>
        </w:tc>
        <w:tc>
          <w:tcPr>
            <w:tcW w:w="0" w:type="dxa"/>
            <w:vAlign w:val="bottom"/>
          </w:tcPr>
          <w:p>
            <w:pPr>
              <w:spacing w:after="0"/>
              <w:rPr>
                <w:sz w:val="1"/>
                <w:szCs w:val="1"/>
                <w:color w:val="auto"/>
              </w:rPr>
            </w:pPr>
          </w:p>
        </w:tc>
      </w:tr>
      <w:tr>
        <w:trPr>
          <w:trHeight w:val="209"/>
        </w:trPr>
        <w:tc>
          <w:tcPr>
            <w:tcW w:w="43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Net income</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24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73,376</w:t>
            </w:r>
          </w:p>
        </w:tc>
        <w:tc>
          <w:tcPr>
            <w:tcW w:w="0" w:type="dxa"/>
            <w:vAlign w:val="bottom"/>
          </w:tcPr>
          <w:p>
            <w:pPr>
              <w:spacing w:after="0"/>
              <w:rPr>
                <w:sz w:val="1"/>
                <w:szCs w:val="1"/>
                <w:color w:val="auto"/>
              </w:rPr>
            </w:pPr>
          </w:p>
        </w:tc>
      </w:tr>
      <w:tr>
        <w:trPr>
          <w:trHeight w:val="203"/>
        </w:trPr>
        <w:tc>
          <w:tcPr>
            <w:tcW w:w="4300" w:type="dxa"/>
            <w:vAlign w:val="bottom"/>
          </w:tcPr>
          <w:p>
            <w:pPr>
              <w:ind w:left="240"/>
              <w:spacing w:after="0"/>
              <w:rPr>
                <w:sz w:val="20"/>
                <w:szCs w:val="20"/>
                <w:color w:val="auto"/>
              </w:rPr>
            </w:pPr>
            <w:r>
              <w:rPr>
                <w:rFonts w:ascii="Arial" w:cs="Arial" w:eastAsia="Arial" w:hAnsi="Arial"/>
                <w:sz w:val="15"/>
                <w:szCs w:val="15"/>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(24,452)</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(24,452)</w:t>
            </w:r>
          </w:p>
        </w:tc>
        <w:tc>
          <w:tcPr>
            <w:tcW w:w="0" w:type="dxa"/>
            <w:vAlign w:val="bottom"/>
          </w:tcPr>
          <w:p>
            <w:pPr>
              <w:spacing w:after="0"/>
              <w:rPr>
                <w:sz w:val="1"/>
                <w:szCs w:val="1"/>
                <w:color w:val="auto"/>
              </w:rPr>
            </w:pPr>
          </w:p>
        </w:tc>
      </w:tr>
      <w:tr>
        <w:trPr>
          <w:trHeight w:val="162"/>
        </w:trPr>
        <w:tc>
          <w:tcPr>
            <w:tcW w:w="4300" w:type="dxa"/>
            <w:vAlign w:val="bottom"/>
            <w:shd w:val="clear" w:color="auto" w:fill="DBDBDB"/>
          </w:tcPr>
          <w:p>
            <w:pPr>
              <w:ind w:left="240"/>
              <w:spacing w:after="0" w:line="162"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(1,075)</w:t>
            </w:r>
          </w:p>
        </w:tc>
        <w:tc>
          <w:tcPr>
            <w:tcW w:w="140" w:type="dxa"/>
            <w:vAlign w:val="bottom"/>
            <w:shd w:val="clear" w:color="auto" w:fill="DBDBDB"/>
          </w:tcPr>
          <w:p>
            <w:pPr>
              <w:spacing w:after="0"/>
              <w:rPr>
                <w:sz w:val="14"/>
                <w:szCs w:val="14"/>
                <w:color w:val="auto"/>
              </w:rPr>
            </w:pPr>
          </w:p>
        </w:tc>
        <w:tc>
          <w:tcPr>
            <w:tcW w:w="11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(1,075)</w:t>
            </w:r>
          </w:p>
        </w:tc>
        <w:tc>
          <w:tcPr>
            <w:tcW w:w="0" w:type="dxa"/>
            <w:vAlign w:val="bottom"/>
          </w:tcPr>
          <w:p>
            <w:pPr>
              <w:spacing w:after="0"/>
              <w:rPr>
                <w:sz w:val="1"/>
                <w:szCs w:val="1"/>
                <w:color w:val="auto"/>
              </w:rPr>
            </w:pPr>
          </w:p>
        </w:tc>
      </w:tr>
      <w:tr>
        <w:trPr>
          <w:trHeight w:val="202"/>
        </w:trPr>
        <w:tc>
          <w:tcPr>
            <w:tcW w:w="43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compensation</w:t>
            </w:r>
          </w:p>
        </w:tc>
        <w:tc>
          <w:tcPr>
            <w:tcW w:w="112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40" w:type="dxa"/>
            <w:vAlign w:val="bottom"/>
            <w:vMerge w:val="continue"/>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300" w:type="dxa"/>
            <w:vAlign w:val="bottom"/>
          </w:tcPr>
          <w:p>
            <w:pPr>
              <w:ind w:left="240"/>
              <w:spacing w:after="0" w:line="159"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70</w:t>
            </w:r>
          </w:p>
        </w:tc>
        <w:tc>
          <w:tcPr>
            <w:tcW w:w="8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9,292</w:t>
            </w:r>
          </w:p>
        </w:tc>
        <w:tc>
          <w:tcPr>
            <w:tcW w:w="140" w:type="dxa"/>
            <w:vAlign w:val="bottom"/>
          </w:tcPr>
          <w:p>
            <w:pPr>
              <w:spacing w:after="0"/>
              <w:rPr>
                <w:sz w:val="13"/>
                <w:szCs w:val="13"/>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color w:val="auto"/>
              </w:rPr>
              <w:t>9,292</w:t>
            </w:r>
          </w:p>
        </w:tc>
        <w:tc>
          <w:tcPr>
            <w:tcW w:w="0" w:type="dxa"/>
            <w:vAlign w:val="bottom"/>
          </w:tcPr>
          <w:p>
            <w:pPr>
              <w:spacing w:after="0"/>
              <w:rPr>
                <w:sz w:val="1"/>
                <w:szCs w:val="1"/>
                <w:color w:val="auto"/>
              </w:rPr>
            </w:pPr>
          </w:p>
        </w:tc>
      </w:tr>
      <w:tr>
        <w:trPr>
          <w:trHeight w:val="199"/>
        </w:trPr>
        <w:tc>
          <w:tcPr>
            <w:tcW w:w="4300" w:type="dxa"/>
            <w:vAlign w:val="bottom"/>
          </w:tcPr>
          <w:p>
            <w:pPr>
              <w:ind w:left="24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DBDBDB"/>
          </w:tcPr>
          <w:p>
            <w:pPr>
              <w:ind w:left="240"/>
              <w:spacing w:after="0" w:line="162" w:lineRule="exact"/>
              <w:rPr>
                <w:sz w:val="20"/>
                <w:szCs w:val="20"/>
                <w:color w:val="auto"/>
              </w:rPr>
            </w:pPr>
            <w:r>
              <w:rPr>
                <w:rFonts w:ascii="Arial" w:cs="Arial" w:eastAsia="Arial" w:hAnsi="Arial"/>
                <w:sz w:val="15"/>
                <w:szCs w:val="15"/>
                <w:color w:val="auto"/>
              </w:rPr>
              <w:t>Repurchase and cancellation of Common Stock and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(7,222)</w:t>
            </w:r>
          </w:p>
        </w:tc>
        <w:tc>
          <w:tcPr>
            <w:tcW w:w="880" w:type="dxa"/>
            <w:vAlign w:val="bottom"/>
            <w:shd w:val="clear" w:color="auto" w:fill="DBDBDB"/>
          </w:tcPr>
          <w:p>
            <w:pPr>
              <w:spacing w:after="0"/>
              <w:rPr>
                <w:sz w:val="14"/>
                <w:szCs w:val="14"/>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(249,515)</w:t>
            </w:r>
          </w:p>
        </w:tc>
        <w:tc>
          <w:tcPr>
            <w:tcW w:w="140" w:type="dxa"/>
            <w:vAlign w:val="bottom"/>
            <w:shd w:val="clear" w:color="auto" w:fill="DBDBDB"/>
          </w:tcPr>
          <w:p>
            <w:pPr>
              <w:spacing w:after="0"/>
              <w:rPr>
                <w:sz w:val="14"/>
                <w:szCs w:val="14"/>
                <w:color w:val="auto"/>
              </w:rPr>
            </w:pPr>
          </w:p>
        </w:tc>
        <w:tc>
          <w:tcPr>
            <w:tcW w:w="11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(249,515)</w:t>
            </w:r>
          </w:p>
        </w:tc>
        <w:tc>
          <w:tcPr>
            <w:tcW w:w="0" w:type="dxa"/>
            <w:vAlign w:val="bottom"/>
          </w:tcPr>
          <w:p>
            <w:pPr>
              <w:spacing w:after="0"/>
              <w:rPr>
                <w:sz w:val="1"/>
                <w:szCs w:val="1"/>
                <w:color w:val="auto"/>
              </w:rPr>
            </w:pPr>
          </w:p>
        </w:tc>
      </w:tr>
      <w:tr>
        <w:trPr>
          <w:trHeight w:val="202"/>
        </w:trPr>
        <w:tc>
          <w:tcPr>
            <w:tcW w:w="4300" w:type="dxa"/>
            <w:vAlign w:val="bottom"/>
            <w:shd w:val="clear" w:color="auto" w:fill="DBDBDB"/>
          </w:tcPr>
          <w:p>
            <w:pPr>
              <w:ind w:left="240"/>
              <w:spacing w:after="0"/>
              <w:rPr>
                <w:sz w:val="20"/>
                <w:szCs w:val="20"/>
                <w:color w:val="auto"/>
              </w:rPr>
            </w:pPr>
            <w:r>
              <w:rPr>
                <w:rFonts w:ascii="Arial" w:cs="Arial" w:eastAsia="Arial" w:hAnsi="Arial"/>
                <w:sz w:val="15"/>
                <w:szCs w:val="15"/>
                <w:color w:val="auto"/>
              </w:rPr>
              <w:t>warrants</w:t>
            </w:r>
          </w:p>
        </w:tc>
        <w:tc>
          <w:tcPr>
            <w:tcW w:w="1120" w:type="dxa"/>
            <w:vAlign w:val="bottom"/>
            <w:vMerge w:val="continue"/>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8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40" w:type="dxa"/>
            <w:vAlign w:val="bottom"/>
            <w:vMerge w:val="continue"/>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300" w:type="dxa"/>
            <w:vAlign w:val="bottom"/>
          </w:tcPr>
          <w:p>
            <w:pPr>
              <w:ind w:left="240"/>
              <w:spacing w:after="0" w:line="159" w:lineRule="exact"/>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69</w:t>
            </w:r>
          </w:p>
        </w:tc>
        <w:tc>
          <w:tcPr>
            <w:tcW w:w="8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139</w:t>
            </w:r>
          </w:p>
        </w:tc>
        <w:tc>
          <w:tcPr>
            <w:tcW w:w="140" w:type="dxa"/>
            <w:vAlign w:val="bottom"/>
          </w:tcPr>
          <w:p>
            <w:pPr>
              <w:spacing w:after="0"/>
              <w:rPr>
                <w:sz w:val="13"/>
                <w:szCs w:val="13"/>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89"/>
        </w:trPr>
        <w:tc>
          <w:tcPr>
            <w:tcW w:w="4300" w:type="dxa"/>
            <w:vAlign w:val="bottom"/>
          </w:tcPr>
          <w:p>
            <w:pPr>
              <w:ind w:left="240"/>
              <w:spacing w:after="0"/>
              <w:rPr>
                <w:sz w:val="20"/>
                <w:szCs w:val="20"/>
                <w:color w:val="auto"/>
              </w:rPr>
            </w:pPr>
            <w:r>
              <w:rPr>
                <w:rFonts w:ascii="Arial" w:cs="Arial" w:eastAsia="Arial" w:hAnsi="Arial"/>
                <w:sz w:val="15"/>
                <w:szCs w:val="15"/>
                <w:color w:val="auto"/>
              </w:rPr>
              <w:t>and warrants</w:t>
            </w:r>
          </w:p>
        </w:tc>
        <w:tc>
          <w:tcPr>
            <w:tcW w:w="1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2022</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216,091</w:t>
            </w:r>
          </w:p>
        </w:tc>
        <w:tc>
          <w:tcPr>
            <w:tcW w:w="880" w:type="dxa"/>
            <w:vAlign w:val="bottom"/>
            <w:tcBorders>
              <w:bottom w:val="single" w:sz="8" w:color="auto"/>
            </w:tcBorders>
            <w:shd w:val="clear" w:color="auto" w:fill="DBDBDB"/>
          </w:tcPr>
          <w:p>
            <w:pPr>
              <w:jc w:val="right"/>
              <w:ind w:right="703"/>
              <w:spacing w:after="0"/>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w:t>
            </w:r>
          </w:p>
        </w:tc>
        <w:tc>
          <w:tcPr>
            <w:tcW w:w="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3,295,747</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(1,466,543)</w:t>
            </w:r>
          </w:p>
        </w:tc>
        <w:tc>
          <w:tcPr>
            <w:tcW w:w="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1,773,950</w:t>
            </w:r>
          </w:p>
        </w:tc>
        <w:tc>
          <w:tcPr>
            <w:tcW w:w="0" w:type="dxa"/>
            <w:vAlign w:val="bottom"/>
          </w:tcPr>
          <w:p>
            <w:pPr>
              <w:spacing w:after="0"/>
              <w:rPr>
                <w:sz w:val="1"/>
                <w:szCs w:val="1"/>
                <w:color w:val="auto"/>
              </w:rPr>
            </w:pPr>
          </w:p>
        </w:tc>
      </w:tr>
      <w:tr>
        <w:trPr>
          <w:trHeight w:val="20"/>
        </w:trPr>
        <w:tc>
          <w:tcPr>
            <w:tcW w:w="430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Mobile Mini Holdings Corp.</w:t>
      </w:r>
    </w:p>
    <w:p>
      <w:pPr>
        <w:jc w:val="center"/>
        <w:spacing w:after="0" w:line="220" w:lineRule="auto"/>
        <w:rPr>
          <w:sz w:val="20"/>
          <w:szCs w:val="20"/>
          <w:color w:val="auto"/>
        </w:rPr>
      </w:pPr>
      <w:r>
        <w:rPr>
          <w:rFonts w:ascii="Arial" w:cs="Arial" w:eastAsia="Arial" w:hAnsi="Arial"/>
          <w:sz w:val="22"/>
          <w:szCs w:val="22"/>
          <w:color w:val="1D2758"/>
        </w:rPr>
        <w:t>Condensed Consolidated Statements of Cash Flows</w:t>
      </w:r>
    </w:p>
    <w:p>
      <w:pPr>
        <w:jc w:val="center"/>
        <w:spacing w:after="0"/>
        <w:rPr>
          <w:sz w:val="20"/>
          <w:szCs w:val="20"/>
          <w:color w:val="auto"/>
        </w:rPr>
      </w:pPr>
      <w:r>
        <w:rPr>
          <w:rFonts w:ascii="Arial" w:cs="Arial" w:eastAsia="Arial" w:hAnsi="Arial"/>
          <w:sz w:val="22"/>
          <w:szCs w:val="22"/>
          <w:color w:val="1D2758"/>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0" w:type="dxa"/>
            <w:vAlign w:val="bottom"/>
            <w:gridSpan w:val="4"/>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Six Months Ended June 30,</w:t>
            </w:r>
          </w:p>
        </w:tc>
        <w:tc>
          <w:tcPr>
            <w:tcW w:w="7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40" w:type="dxa"/>
            <w:vAlign w:val="bottom"/>
            <w:vMerge w:val="continue"/>
            <w:shd w:val="clear" w:color="auto" w:fill="1D2758"/>
          </w:tcPr>
          <w:p>
            <w:pPr>
              <w:spacing w:after="0"/>
              <w:rPr>
                <w:sz w:val="18"/>
                <w:szCs w:val="18"/>
                <w:color w:val="auto"/>
              </w:rPr>
            </w:pPr>
          </w:p>
        </w:tc>
        <w:tc>
          <w:tcPr>
            <w:tcW w:w="10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720" w:type="dxa"/>
            <w:vAlign w:val="bottom"/>
            <w:shd w:val="clear" w:color="auto" w:fill="1D2758"/>
          </w:tcPr>
          <w:p>
            <w:pPr>
              <w:spacing w:after="0"/>
              <w:rPr>
                <w:sz w:val="18"/>
                <w:szCs w:val="18"/>
                <w:color w:val="auto"/>
              </w:rPr>
            </w:pPr>
          </w:p>
        </w:tc>
        <w:tc>
          <w:tcPr>
            <w:tcW w:w="1200" w:type="dxa"/>
            <w:vAlign w:val="bottom"/>
            <w:gridSpan w:val="2"/>
            <w:vMerge w:val="restart"/>
            <w:shd w:val="clear" w:color="auto" w:fill="1D2758"/>
          </w:tcPr>
          <w:p>
            <w:pPr>
              <w:jc w:val="right"/>
              <w:ind w:right="20"/>
              <w:spacing w:after="0"/>
              <w:rPr>
                <w:sz w:val="20"/>
                <w:szCs w:val="20"/>
                <w:color w:val="auto"/>
              </w:rPr>
            </w:pPr>
            <w:r>
              <w:rPr>
                <w:rFonts w:ascii="Arial" w:cs="Arial" w:eastAsia="Arial" w:hAnsi="Arial"/>
                <w:sz w:val="15"/>
                <w:szCs w:val="15"/>
                <w:b w:val="1"/>
                <w:bCs w:val="1"/>
                <w:color w:val="FFFFFF"/>
              </w:rPr>
              <w:t>2022</w:t>
            </w:r>
          </w:p>
        </w:tc>
        <w:tc>
          <w:tcPr>
            <w:tcW w:w="7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540" w:type="dxa"/>
            <w:vAlign w:val="bottom"/>
            <w:shd w:val="clear" w:color="auto" w:fill="1D2758"/>
          </w:tcPr>
          <w:p>
            <w:pPr>
              <w:spacing w:after="0"/>
              <w:rPr>
                <w:sz w:val="14"/>
                <w:szCs w:val="14"/>
                <w:color w:val="auto"/>
              </w:rPr>
            </w:pPr>
          </w:p>
        </w:tc>
        <w:tc>
          <w:tcPr>
            <w:tcW w:w="1080" w:type="dxa"/>
            <w:vAlign w:val="bottom"/>
            <w:vMerge w:val="continue"/>
            <w:shd w:val="clear" w:color="auto" w:fill="1D2758"/>
          </w:tcPr>
          <w:p>
            <w:pPr>
              <w:spacing w:after="0"/>
              <w:rPr>
                <w:sz w:val="14"/>
                <w:szCs w:val="14"/>
                <w:color w:val="auto"/>
              </w:rPr>
            </w:pPr>
          </w:p>
        </w:tc>
        <w:tc>
          <w:tcPr>
            <w:tcW w:w="720" w:type="dxa"/>
            <w:vAlign w:val="bottom"/>
            <w:shd w:val="clear" w:color="auto" w:fill="1D2758"/>
          </w:tcPr>
          <w:p>
            <w:pPr>
              <w:spacing w:after="0"/>
              <w:rPr>
                <w:sz w:val="14"/>
                <w:szCs w:val="14"/>
                <w:color w:val="auto"/>
              </w:rPr>
            </w:pPr>
          </w:p>
        </w:tc>
        <w:tc>
          <w:tcPr>
            <w:tcW w:w="1200" w:type="dxa"/>
            <w:vAlign w:val="bottom"/>
            <w:gridSpan w:val="2"/>
            <w:vMerge w:val="continue"/>
            <w:shd w:val="clear" w:color="auto" w:fill="1D2758"/>
          </w:tcPr>
          <w:p>
            <w:pPr>
              <w:spacing w:after="0"/>
              <w:rPr>
                <w:sz w:val="14"/>
                <w:szCs w:val="14"/>
                <w:color w:val="auto"/>
              </w:rPr>
            </w:pPr>
          </w:p>
        </w:tc>
        <w:tc>
          <w:tcPr>
            <w:tcW w:w="70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0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298,613</w:t>
            </w:r>
          </w:p>
        </w:tc>
        <w:tc>
          <w:tcPr>
            <w:tcW w:w="120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124,547</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10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158,125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168,050</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22,193</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18,865</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Gain on sale of discontinued operations</w:t>
            </w:r>
          </w:p>
        </w:tc>
        <w:tc>
          <w:tcPr>
            <w:tcW w:w="10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(176,078)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(11,691)</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(14,195)</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10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5,501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6,975</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Stock-based compensation expense</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17,498</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15,687</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Deferred income tax expense</w:t>
            </w:r>
          </w:p>
        </w:tc>
        <w:tc>
          <w:tcPr>
            <w:tcW w:w="10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90,675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31,072</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Loss on foreign currency forward contract</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7,715</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Unrealized currency losses, net</w:t>
            </w:r>
          </w:p>
        </w:tc>
        <w:tc>
          <w:tcPr>
            <w:tcW w:w="10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(1,030)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Other</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2,176</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1,916</w:t>
            </w:r>
          </w:p>
        </w:tc>
        <w:tc>
          <w:tcPr>
            <w:tcW w:w="0" w:type="dxa"/>
            <w:vAlign w:val="bottom"/>
          </w:tcPr>
          <w:p>
            <w:pPr>
              <w:spacing w:after="0"/>
              <w:rPr>
                <w:sz w:val="1"/>
                <w:szCs w:val="1"/>
                <w:color w:val="auto"/>
              </w:rPr>
            </w:pPr>
          </w:p>
        </w:tc>
      </w:tr>
      <w:tr>
        <w:trPr>
          <w:trHeight w:val="203"/>
        </w:trPr>
        <w:tc>
          <w:tcPr>
            <w:tcW w:w="754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Trade receivables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(48,641)</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(60,737)</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10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(2,273)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(9,293)</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Prepaid expenses and other assets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(2,211)</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(13,907)</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10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(19,705)</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34,756</w:t>
            </w:r>
          </w:p>
        </w:tc>
        <w:tc>
          <w:tcPr>
            <w:tcW w:w="0" w:type="dxa"/>
            <w:vAlign w:val="bottom"/>
          </w:tcPr>
          <w:p>
            <w:pPr>
              <w:spacing w:after="0"/>
              <w:rPr>
                <w:sz w:val="1"/>
                <w:szCs w:val="1"/>
                <w:color w:val="auto"/>
              </w:rPr>
            </w:pPr>
          </w:p>
        </w:tc>
      </w:tr>
      <w:tr>
        <w:trPr>
          <w:trHeight w:val="206"/>
        </w:trPr>
        <w:tc>
          <w:tcPr>
            <w:tcW w:w="7540" w:type="dxa"/>
            <w:vAlign w:val="bottom"/>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10,016</w:t>
            </w: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29,252</w:t>
            </w:r>
          </w:p>
        </w:tc>
        <w:tc>
          <w:tcPr>
            <w:tcW w:w="0" w:type="dxa"/>
            <w:vAlign w:val="bottom"/>
          </w:tcPr>
          <w:p>
            <w:pPr>
              <w:spacing w:after="0"/>
              <w:rPr>
                <w:sz w:val="1"/>
                <w:szCs w:val="1"/>
                <w:color w:val="auto"/>
              </w:rPr>
            </w:pPr>
          </w:p>
        </w:tc>
      </w:tr>
      <w:tr>
        <w:trPr>
          <w:trHeight w:val="199"/>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108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350,920</w:t>
            </w: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333,853</w:t>
            </w: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discontinued operations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403,992</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Acquisitions, net of cash acquired</w:t>
            </w:r>
          </w:p>
        </w:tc>
        <w:tc>
          <w:tcPr>
            <w:tcW w:w="10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(149,421)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(103,927)</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25,254</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35,080</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10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(102,709)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(225,389)</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for settlement of foreign currency forward contract</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Proceeds from the sale of property, plant and equipment</w:t>
            </w:r>
          </w:p>
        </w:tc>
        <w:tc>
          <w:tcPr>
            <w:tcW w:w="10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265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751</w:t>
            </w:r>
          </w:p>
        </w:tc>
        <w:tc>
          <w:tcPr>
            <w:tcW w:w="0" w:type="dxa"/>
            <w:vAlign w:val="bottom"/>
          </w:tcPr>
          <w:p>
            <w:pPr>
              <w:spacing w:after="0"/>
              <w:rPr>
                <w:sz w:val="1"/>
                <w:szCs w:val="1"/>
                <w:color w:val="auto"/>
              </w:rPr>
            </w:pPr>
          </w:p>
        </w:tc>
      </w:tr>
      <w:tr>
        <w:trPr>
          <w:trHeight w:val="206"/>
        </w:trPr>
        <w:tc>
          <w:tcPr>
            <w:tcW w:w="754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10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(11,189)</w:t>
            </w:r>
          </w:p>
        </w:tc>
        <w:tc>
          <w:tcPr>
            <w:tcW w:w="8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(20,253)</w:t>
            </w:r>
          </w:p>
        </w:tc>
        <w:tc>
          <w:tcPr>
            <w:tcW w:w="0" w:type="dxa"/>
            <w:vAlign w:val="bottom"/>
          </w:tcPr>
          <w:p>
            <w:pPr>
              <w:spacing w:after="0"/>
              <w:rPr>
                <w:sz w:val="1"/>
                <w:szCs w:val="1"/>
                <w:color w:val="auto"/>
              </w:rPr>
            </w:pPr>
          </w:p>
        </w:tc>
      </w:tr>
      <w:tr>
        <w:trPr>
          <w:trHeight w:val="199"/>
        </w:trPr>
        <w:tc>
          <w:tcPr>
            <w:tcW w:w="7540" w:type="dxa"/>
            <w:vAlign w:val="bottom"/>
          </w:tcPr>
          <w:p>
            <w:pPr>
              <w:ind w:left="640"/>
              <w:spacing w:after="0"/>
              <w:rPr>
                <w:sz w:val="20"/>
                <w:szCs w:val="20"/>
                <w:color w:val="auto"/>
              </w:rPr>
            </w:pPr>
            <w:r>
              <w:rPr>
                <w:rFonts w:ascii="Arial" w:cs="Arial" w:eastAsia="Arial" w:hAnsi="Arial"/>
                <w:sz w:val="15"/>
                <w:szCs w:val="15"/>
                <w:color w:val="auto"/>
              </w:rPr>
              <w:t>Net cash provided by (used in) investing activities</w:t>
            </w:r>
          </w:p>
        </w:tc>
        <w:tc>
          <w:tcPr>
            <w:tcW w:w="10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158,477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(313,738)</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Financing activities: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10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412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3,452</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Repurchase and cancellation of Common Stock and warrants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(456,297)</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(319,225)</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Receipts from borrowings</w:t>
            </w:r>
          </w:p>
        </w:tc>
        <w:tc>
          <w:tcPr>
            <w:tcW w:w="10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628,538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454,322</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financing costs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(8,021)</w:t>
            </w:r>
          </w:p>
        </w:tc>
        <w:tc>
          <w:tcPr>
            <w:tcW w:w="0" w:type="dxa"/>
            <w:vAlign w:val="bottom"/>
          </w:tcPr>
          <w:p>
            <w:pPr>
              <w:spacing w:after="0"/>
              <w:rPr>
                <w:sz w:val="1"/>
                <w:szCs w:val="1"/>
                <w:color w:val="auto"/>
              </w:rPr>
            </w:pPr>
          </w:p>
        </w:tc>
      </w:tr>
      <w:tr>
        <w:trPr>
          <w:trHeight w:val="203"/>
        </w:trPr>
        <w:tc>
          <w:tcPr>
            <w:tcW w:w="7540" w:type="dxa"/>
            <w:vAlign w:val="bottom"/>
          </w:tcPr>
          <w:p>
            <w:pPr>
              <w:ind w:left="440"/>
              <w:spacing w:after="0"/>
              <w:rPr>
                <w:sz w:val="20"/>
                <w:szCs w:val="20"/>
                <w:color w:val="auto"/>
              </w:rPr>
            </w:pPr>
            <w:r>
              <w:rPr>
                <w:rFonts w:ascii="Arial" w:cs="Arial" w:eastAsia="Arial" w:hAnsi="Arial"/>
                <w:sz w:val="15"/>
                <w:szCs w:val="15"/>
                <w:color w:val="auto"/>
              </w:rPr>
              <w:t>Repayment of borrowings</w:t>
            </w:r>
          </w:p>
        </w:tc>
        <w:tc>
          <w:tcPr>
            <w:tcW w:w="10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(674,719)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(127,607)</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Principal payments on finance lease obligations</w:t>
            </w: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(8,133)</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(10,353)</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Taxes paid on employee stock awards</w:t>
            </w: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(10,058)</w:t>
            </w:r>
          </w:p>
        </w:tc>
        <w:tc>
          <w:tcPr>
            <w:tcW w:w="80" w:type="dxa"/>
            <w:vAlign w:val="bottom"/>
            <w:tcBorders>
              <w:bottom w:val="single" w:sz="8" w:color="DBDBDB"/>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(13,370)</w:t>
            </w:r>
          </w:p>
        </w:tc>
        <w:tc>
          <w:tcPr>
            <w:tcW w:w="0" w:type="dxa"/>
            <w:vAlign w:val="bottom"/>
          </w:tcPr>
          <w:p>
            <w:pPr>
              <w:spacing w:after="0"/>
              <w:rPr>
                <w:sz w:val="1"/>
                <w:szCs w:val="1"/>
                <w:color w:val="auto"/>
              </w:rPr>
            </w:pPr>
          </w:p>
        </w:tc>
      </w:tr>
      <w:tr>
        <w:trPr>
          <w:trHeight w:val="20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financing activities</w:t>
            </w:r>
          </w:p>
        </w:tc>
        <w:tc>
          <w:tcPr>
            <w:tcW w:w="10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(520,257)</w:t>
            </w: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(20,802)</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746</w:t>
            </w:r>
          </w:p>
        </w:tc>
        <w:tc>
          <w:tcPr>
            <w:tcW w:w="80" w:type="dxa"/>
            <w:vAlign w:val="bottom"/>
            <w:tcBorders>
              <w:bottom w:val="single" w:sz="8" w:color="DBDBDB"/>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202"/>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10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(10,114)</w:t>
            </w: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(993)</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17,774</w:t>
            </w:r>
          </w:p>
        </w:tc>
        <w:tc>
          <w:tcPr>
            <w:tcW w:w="80" w:type="dxa"/>
            <w:vAlign w:val="bottom"/>
            <w:tcBorders>
              <w:bottom w:val="single" w:sz="8" w:color="DBDBDB"/>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12,699</w:t>
            </w:r>
          </w:p>
        </w:tc>
        <w:tc>
          <w:tcPr>
            <w:tcW w:w="0" w:type="dxa"/>
            <w:vAlign w:val="bottom"/>
          </w:tcPr>
          <w:p>
            <w:pPr>
              <w:spacing w:after="0"/>
              <w:rPr>
                <w:sz w:val="1"/>
                <w:szCs w:val="1"/>
                <w:color w:val="auto"/>
              </w:rPr>
            </w:pPr>
          </w:p>
        </w:tc>
      </w:tr>
      <w:tr>
        <w:trPr>
          <w:trHeight w:val="21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108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7,660</w:t>
            </w:r>
          </w:p>
        </w:tc>
        <w:tc>
          <w:tcPr>
            <w:tcW w:w="1200" w:type="dxa"/>
            <w:vAlign w:val="bottom"/>
            <w:gridSpan w:val="2"/>
            <w:shd w:val="clear" w:color="auto" w:fill="DBDBDB"/>
          </w:tcPr>
          <w:p>
            <w:pPr>
              <w:jc w:val="right"/>
              <w:ind w:right="1000"/>
              <w:spacing w:after="0"/>
              <w:rPr>
                <w:sz w:val="20"/>
                <w:szCs w:val="20"/>
                <w:color w:val="auto"/>
              </w:rPr>
            </w:pPr>
            <w:r>
              <w:rPr>
                <w:rFonts w:ascii="Arial" w:cs="Arial" w:eastAsia="Arial" w:hAnsi="Arial"/>
                <w:sz w:val="15"/>
                <w:szCs w:val="15"/>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11,706</w:t>
            </w:r>
          </w:p>
        </w:tc>
        <w:tc>
          <w:tcPr>
            <w:tcW w:w="0" w:type="dxa"/>
            <w:vAlign w:val="bottom"/>
          </w:tcPr>
          <w:p>
            <w:pPr>
              <w:spacing w:after="0"/>
              <w:rPr>
                <w:sz w:val="1"/>
                <w:szCs w:val="1"/>
                <w:color w:val="auto"/>
              </w:rPr>
            </w:pP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Supplemental cash flow information:</w:t>
            </w:r>
          </w:p>
        </w:tc>
        <w:tc>
          <w:tcPr>
            <w:tcW w:w="10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20"/>
              <w:spacing w:after="0"/>
              <w:rPr>
                <w:sz w:val="20"/>
                <w:szCs w:val="20"/>
                <w:color w:val="auto"/>
              </w:rPr>
            </w:pPr>
            <w:r>
              <w:rPr>
                <w:rFonts w:ascii="Arial" w:cs="Arial" w:eastAsia="Arial" w:hAnsi="Arial"/>
                <w:sz w:val="15"/>
                <w:szCs w:val="15"/>
                <w:color w:val="auto"/>
              </w:rPr>
              <w:t>Interest paid, net</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86,123</w:t>
            </w:r>
          </w:p>
        </w:tc>
        <w:tc>
          <w:tcPr>
            <w:tcW w:w="120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59,980</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taxes paid, net</w:t>
            </w:r>
          </w:p>
        </w:tc>
        <w:tc>
          <w:tcPr>
            <w:tcW w:w="108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15,055</w:t>
            </w:r>
          </w:p>
        </w:tc>
        <w:tc>
          <w:tcPr>
            <w:tcW w:w="1200" w:type="dxa"/>
            <w:vAlign w:val="bottom"/>
            <w:gridSpan w:val="2"/>
            <w:shd w:val="clear" w:color="auto" w:fill="DBDBDB"/>
          </w:tcPr>
          <w:p>
            <w:pPr>
              <w:jc w:val="right"/>
              <w:ind w:right="1000"/>
              <w:spacing w:after="0"/>
              <w:rPr>
                <w:sz w:val="20"/>
                <w:szCs w:val="20"/>
                <w:color w:val="auto"/>
              </w:rPr>
            </w:pPr>
            <w:r>
              <w:rPr>
                <w:rFonts w:ascii="Arial" w:cs="Arial" w:eastAsia="Arial" w:hAnsi="Arial"/>
                <w:sz w:val="15"/>
                <w:szCs w:val="15"/>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10,608</w:t>
            </w:r>
          </w:p>
        </w:tc>
        <w:tc>
          <w:tcPr>
            <w:tcW w:w="0" w:type="dxa"/>
            <w:vAlign w:val="bottom"/>
          </w:tcPr>
          <w:p>
            <w:pPr>
              <w:spacing w:after="0"/>
              <w:rPr>
                <w:sz w:val="1"/>
                <w:szCs w:val="1"/>
                <w:color w:val="auto"/>
              </w:rPr>
            </w:pPr>
          </w:p>
        </w:tc>
      </w:tr>
      <w:tr>
        <w:trPr>
          <w:trHeight w:val="203"/>
        </w:trPr>
        <w:tc>
          <w:tcPr>
            <w:tcW w:w="7540" w:type="dxa"/>
            <w:vAlign w:val="bottom"/>
          </w:tcPr>
          <w:p>
            <w:pPr>
              <w:ind w:left="220"/>
              <w:spacing w:after="0"/>
              <w:rPr>
                <w:sz w:val="20"/>
                <w:szCs w:val="20"/>
                <w:color w:val="auto"/>
              </w:rPr>
            </w:pPr>
            <w:r>
              <w:rPr>
                <w:rFonts w:ascii="Arial" w:cs="Arial" w:eastAsia="Arial" w:hAnsi="Arial"/>
                <w:sz w:val="15"/>
                <w:szCs w:val="15"/>
                <w:color w:val="auto"/>
              </w:rPr>
              <w:t>Assets acquired under capital leases</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24,379</w:t>
            </w:r>
          </w:p>
        </w:tc>
        <w:tc>
          <w:tcPr>
            <w:tcW w:w="120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17,065</w:t>
            </w:r>
          </w:p>
        </w:tc>
        <w:tc>
          <w:tcPr>
            <w:tcW w:w="0" w:type="dxa"/>
            <w:vAlign w:val="bottom"/>
          </w:tcPr>
          <w:p>
            <w:pPr>
              <w:spacing w:after="0"/>
              <w:rPr>
                <w:sz w:val="1"/>
                <w:szCs w:val="1"/>
                <w:color w:val="auto"/>
              </w:rPr>
            </w:pPr>
          </w:p>
        </w:tc>
      </w:tr>
      <w:tr>
        <w:trPr>
          <w:trHeight w:val="20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108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18,740</w:t>
            </w:r>
          </w:p>
        </w:tc>
        <w:tc>
          <w:tcPr>
            <w:tcW w:w="1200" w:type="dxa"/>
            <w:vAlign w:val="bottom"/>
            <w:gridSpan w:val="2"/>
            <w:shd w:val="clear" w:color="auto" w:fill="DBDBDB"/>
          </w:tcPr>
          <w:p>
            <w:pPr>
              <w:jc w:val="right"/>
              <w:ind w:right="1000"/>
              <w:spacing w:after="0"/>
              <w:rPr>
                <w:sz w:val="20"/>
                <w:szCs w:val="20"/>
                <w:color w:val="auto"/>
              </w:rPr>
            </w:pPr>
            <w:r>
              <w:rPr>
                <w:rFonts w:ascii="Arial" w:cs="Arial" w:eastAsia="Arial" w:hAnsi="Arial"/>
                <w:sz w:val="15"/>
                <w:szCs w:val="15"/>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39,949</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Notes to the Condensed Consolidated Financial Statements (Unaudited)</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1D2758"/>
        </w:rPr>
        <w:t>NOTE 1 - Summary of Significant Accounting Policies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7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WillScot Mobile Mini Holdings Corp. (“WillScot Mobile Mini” and, together with its subsidiaries, the “Company”) is a leading business services provider specializing in innovative flexible work space and portable storage solutions in the United States (“US”), Canada, and Mexico. The Company leases, sells, delivers and installs modular space solutions and portable storage products through an integrated network of branch locations that spans North America.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7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w:t>
      </w:r>
    </w:p>
    <w:p>
      <w:pPr>
        <w:spacing w:after="0" w:line="3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3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results of operations for the three and six months ended June 30, 2023 are not necessarily indicative of the results to be expected for the full year. For further information, refer to the consolidated financial statements and notes included in the Company's Annual Report on Form 10-K for the year ended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Reclassifications</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Standards</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 xml:space="preserve">In October 2021, the Financial Accounting Standards Board ("FASB") issued Accounting Standards Update No. 2021-08, </w:t>
      </w:r>
      <w:r>
        <w:rPr>
          <w:rFonts w:ascii="Arial" w:cs="Arial" w:eastAsia="Arial" w:hAnsi="Arial"/>
          <w:sz w:val="15"/>
          <w:szCs w:val="15"/>
          <w:i w:val="1"/>
          <w:iCs w:val="1"/>
          <w:color w:val="auto"/>
        </w:rPr>
        <w:t>Business Combinations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805): Accounting for Contract Assets and Contract Liabilities from Contracts with Customers </w:t>
      </w:r>
      <w:r>
        <w:rPr>
          <w:rFonts w:ascii="Arial" w:cs="Arial" w:eastAsia="Arial" w:hAnsi="Arial"/>
          <w:sz w:val="15"/>
          <w:szCs w:val="15"/>
          <w:color w:val="auto"/>
        </w:rPr>
        <w:t>("ASU 2021-08"). ASU 2021-08 requires that an acquirer recognize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measure contract assets and liabilities acquired in a business combination in accordance with FASB Accounting Standards Codification 606,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("ASC 606"). The Company adopted ASU 2021-08 on January 1, 2023 on a prospective basis. The adoption of this ASU did not have a</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 impact on the Company's financial statements or related disclosures.</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1D2758"/>
        </w:rPr>
        <w:t>NOTE 2 - Acquisitions</w:t>
      </w:r>
    </w:p>
    <w:p>
      <w:pPr>
        <w:spacing w:after="0" w:line="112"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WillScot Mobile Mini is the holding company for the Williams Scotsman and Mobile Mini family of companies, which resulted from the combination of WillScot Corporation (“WillScot”) and Mobile Mini, Inc. (“Mobile Mini”) through a merger that occurred on July 1, 2020 (the "Merger").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62"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5"/>
          <w:szCs w:val="15"/>
          <w:color w:val="auto"/>
        </w:rPr>
        <w:t>During the six months ended June 30, 2023, the Company acquired certain assets and liabilities of five regional and local storage and modular companies, which consisted primarily of approximately 1,800 storage units and 700 modular units, for $ 149.4 million in cash, net of cash acquired. The accompanying consolidated financial statements include $147.9 million of rental equipment and $4.5 million of land held for sale as of June 30, 2023 as a result of these acquisitions. A sale of the acquired land is expected to close before the end of the year.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 Costs</w:t>
      </w:r>
    </w:p>
    <w:p>
      <w:pPr>
        <w:spacing w:after="0" w:line="7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Company recorded $2.2 million and $5.2 million in integration costs related to asset acquisitions and the Merger within selling, general and administrative expense ("SG&amp;A") during the three months ended June 30, 2023 and 2022, respectively, and $6.1 million and $9.3 million in integration costs related to acquisitions and the Merger during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1D2758"/>
        </w:rPr>
        <w:t>NOTE 3 - Discontinued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Tank and Pump Divestiture</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On September 30, 2022, the Company sold its former Tank and Pump segment for $321.9 million. Exiting the former Tank and Pump segment represented the Company’s strategic shift to concentrate its operations on its core modular and storage businesses. The criteria for discontinued operations presentation were met during the third quarter of 2022 and results for the former Tank and Pump segment are reported in income from discontinued operations within the consolidated statements of operations for periods presented prior to September 30, 2022.</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UK Storage Solutions Divestiture</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On December 12, 2022, the Company entered into a stock purchase agreement to sell its former UK Storage Solutions segment. The sale transaction was completed on January 31, 2023. Total cash consideration for the transaction was $418.1 million. Exiting the former UK Storage Solutions segment represented the Company’s strategic shift to concentrate its operations on its core modular and storage businesses in North America. The criteria for discontinued operations presentation were met during the fourth quarter of 2022 and results for the former UK Storage Solutions segment are reported in income from discontinued operations within the consolidated statements of operations for all periods presented. The carrying value of the former UK Storage Solutions segment's assets and liabilities are presented within assets and liabilities held for sale on the consolidated balance sheet as of December 31, 2022.</w:t>
      </w:r>
    </w:p>
    <w:p>
      <w:pPr>
        <w:spacing w:after="0" w:line="3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following tables present the results of the former Tank and Pump segment and the former UK Storage Solutions segment as reported in income from discontinued operations within the consolidated statements of operations, and the carrying value of the former UK Storage Solutions segment's assets and liabilities as presented within assets and liabilities held for sale on the consolidated balance sheet.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2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266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Six Months Ended June 30, 2023</w:t>
            </w:r>
          </w:p>
        </w:tc>
        <w:tc>
          <w:tcPr>
            <w:tcW w:w="0" w:type="dxa"/>
            <w:vAlign w:val="bottom"/>
          </w:tcPr>
          <w:p>
            <w:pPr>
              <w:spacing w:after="0"/>
              <w:rPr>
                <w:sz w:val="1"/>
                <w:szCs w:val="1"/>
                <w:color w:val="auto"/>
              </w:rPr>
            </w:pPr>
          </w:p>
        </w:tc>
      </w:tr>
      <w:tr>
        <w:trPr>
          <w:trHeight w:val="206"/>
        </w:trPr>
        <w:tc>
          <w:tcPr>
            <w:tcW w:w="84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17"/>
                <w:szCs w:val="17"/>
                <w:color w:val="auto"/>
              </w:rPr>
            </w:pPr>
          </w:p>
        </w:tc>
        <w:tc>
          <w:tcPr>
            <w:tcW w:w="266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UK Storage Solutions</w:t>
            </w:r>
          </w:p>
        </w:tc>
        <w:tc>
          <w:tcPr>
            <w:tcW w:w="0" w:type="dxa"/>
            <w:vAlign w:val="bottom"/>
          </w:tcPr>
          <w:p>
            <w:pPr>
              <w:spacing w:after="0"/>
              <w:rPr>
                <w:sz w:val="1"/>
                <w:szCs w:val="1"/>
                <w:color w:val="auto"/>
              </w:rPr>
            </w:pPr>
          </w:p>
        </w:tc>
      </w:tr>
      <w:tr>
        <w:trPr>
          <w:trHeight w:val="206"/>
        </w:trPr>
        <w:tc>
          <w:tcPr>
            <w:tcW w:w="8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60" w:type="dxa"/>
            <w:vAlign w:val="bottom"/>
            <w:shd w:val="clear" w:color="auto" w:fill="DBDBDB"/>
          </w:tcPr>
          <w:p>
            <w:pPr>
              <w:spacing w:after="0"/>
              <w:rPr>
                <w:sz w:val="17"/>
                <w:szCs w:val="17"/>
                <w:color w:val="auto"/>
              </w:rPr>
            </w:pPr>
          </w:p>
        </w:tc>
        <w:tc>
          <w:tcPr>
            <w:tcW w:w="26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6,389</w:t>
            </w:r>
          </w:p>
        </w:tc>
        <w:tc>
          <w:tcPr>
            <w:tcW w:w="0" w:type="dxa"/>
            <w:vAlign w:val="bottom"/>
          </w:tcPr>
          <w:p>
            <w:pPr>
              <w:spacing w:after="0"/>
              <w:rPr>
                <w:sz w:val="1"/>
                <w:szCs w:val="1"/>
                <w:color w:val="auto"/>
              </w:rPr>
            </w:pPr>
          </w:p>
        </w:tc>
      </w:tr>
      <w:tr>
        <w:trPr>
          <w:trHeight w:val="203"/>
        </w:trPr>
        <w:tc>
          <w:tcPr>
            <w:tcW w:w="842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1,802</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6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60" w:type="dxa"/>
            <w:vAlign w:val="bottom"/>
            <w:tcBorders>
              <w:bottom w:val="single" w:sz="8" w:color="auto"/>
            </w:tcBorders>
            <w:shd w:val="clear" w:color="auto" w:fill="DBDBDB"/>
          </w:tcPr>
          <w:p>
            <w:pPr>
              <w:spacing w:after="0"/>
              <w:rPr>
                <w:sz w:val="18"/>
                <w:szCs w:val="18"/>
                <w:color w:val="auto"/>
              </w:rPr>
            </w:pPr>
          </w:p>
        </w:tc>
        <w:tc>
          <w:tcPr>
            <w:tcW w:w="2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196"/>
        </w:trPr>
        <w:tc>
          <w:tcPr>
            <w:tcW w:w="842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8,694</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6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60" w:type="dxa"/>
            <w:vAlign w:val="bottom"/>
            <w:shd w:val="clear" w:color="auto" w:fill="DBDBDB"/>
          </w:tcPr>
          <w:p>
            <w:pPr>
              <w:spacing w:after="0"/>
              <w:rPr>
                <w:sz w:val="18"/>
                <w:szCs w:val="18"/>
                <w:color w:val="auto"/>
              </w:rPr>
            </w:pPr>
          </w:p>
        </w:tc>
        <w:tc>
          <w:tcPr>
            <w:tcW w:w="2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1,407</w:t>
            </w:r>
          </w:p>
        </w:tc>
        <w:tc>
          <w:tcPr>
            <w:tcW w:w="0" w:type="dxa"/>
            <w:vAlign w:val="bottom"/>
          </w:tcPr>
          <w:p>
            <w:pPr>
              <w:spacing w:after="0"/>
              <w:rPr>
                <w:sz w:val="1"/>
                <w:szCs w:val="1"/>
                <w:color w:val="auto"/>
              </w:rPr>
            </w:pPr>
          </w:p>
        </w:tc>
      </w:tr>
      <w:tr>
        <w:trPr>
          <w:trHeight w:val="203"/>
        </w:trPr>
        <w:tc>
          <w:tcPr>
            <w:tcW w:w="842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6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96"/>
        </w:trPr>
        <w:tc>
          <w:tcPr>
            <w:tcW w:w="842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60" w:type="dxa"/>
            <w:vAlign w:val="bottom"/>
            <w:tcBorders>
              <w:bottom w:val="single" w:sz="8" w:color="auto"/>
            </w:tcBorders>
            <w:shd w:val="clear" w:color="auto" w:fill="DBDBDB"/>
          </w:tcPr>
          <w:p>
            <w:pPr>
              <w:spacing w:after="0"/>
              <w:rPr>
                <w:sz w:val="17"/>
                <w:szCs w:val="17"/>
                <w:color w:val="auto"/>
              </w:rPr>
            </w:pPr>
          </w:p>
        </w:tc>
        <w:tc>
          <w:tcPr>
            <w:tcW w:w="2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w:t>
            </w:r>
          </w:p>
        </w:tc>
        <w:tc>
          <w:tcPr>
            <w:tcW w:w="0" w:type="dxa"/>
            <w:vAlign w:val="bottom"/>
          </w:tcPr>
          <w:p>
            <w:pPr>
              <w:spacing w:after="0"/>
              <w:rPr>
                <w:sz w:val="1"/>
                <w:szCs w:val="1"/>
                <w:color w:val="auto"/>
              </w:rPr>
            </w:pPr>
          </w:p>
        </w:tc>
      </w:tr>
      <w:tr>
        <w:trPr>
          <w:trHeight w:val="196"/>
        </w:trPr>
        <w:tc>
          <w:tcPr>
            <w:tcW w:w="8420" w:type="dxa"/>
            <w:vAlign w:val="bottom"/>
          </w:tcPr>
          <w:p>
            <w:pPr>
              <w:ind w:left="320"/>
              <w:spacing w:after="0"/>
              <w:rPr>
                <w:sz w:val="20"/>
                <w:szCs w:val="20"/>
                <w:color w:val="auto"/>
              </w:rPr>
            </w:pPr>
            <w:r>
              <w:rPr>
                <w:rFonts w:ascii="Arial" w:cs="Arial" w:eastAsia="Arial" w:hAnsi="Arial"/>
                <w:sz w:val="15"/>
                <w:szCs w:val="15"/>
                <w:color w:val="auto"/>
              </w:rPr>
              <w:t>Gross profit</w:t>
            </w:r>
          </w:p>
        </w:tc>
        <w:tc>
          <w:tcPr>
            <w:tcW w:w="1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5,544</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Expenses:</w:t>
            </w:r>
          </w:p>
        </w:tc>
        <w:tc>
          <w:tcPr>
            <w:tcW w:w="16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1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1,486</w:t>
            </w:r>
          </w:p>
        </w:tc>
        <w:tc>
          <w:tcPr>
            <w:tcW w:w="0" w:type="dxa"/>
            <w:vAlign w:val="bottom"/>
          </w:tcPr>
          <w:p>
            <w:pPr>
              <w:spacing w:after="0"/>
              <w:rPr>
                <w:sz w:val="1"/>
                <w:szCs w:val="1"/>
                <w:color w:val="auto"/>
              </w:rPr>
            </w:pPr>
          </w:p>
        </w:tc>
      </w:tr>
      <w:tr>
        <w:trPr>
          <w:trHeight w:val="206"/>
        </w:trPr>
        <w:tc>
          <w:tcPr>
            <w:tcW w:w="84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Other income, net</w:t>
            </w:r>
          </w:p>
        </w:tc>
        <w:tc>
          <w:tcPr>
            <w:tcW w:w="160" w:type="dxa"/>
            <w:vAlign w:val="bottom"/>
            <w:tcBorders>
              <w:bottom w:val="single" w:sz="8" w:color="auto"/>
            </w:tcBorders>
            <w:shd w:val="clear" w:color="auto" w:fill="DBDBDB"/>
          </w:tcPr>
          <w:p>
            <w:pPr>
              <w:spacing w:after="0"/>
              <w:rPr>
                <w:sz w:val="17"/>
                <w:szCs w:val="17"/>
                <w:color w:val="auto"/>
              </w:rPr>
            </w:pPr>
          </w:p>
        </w:tc>
        <w:tc>
          <w:tcPr>
            <w:tcW w:w="2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842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1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4,059</w:t>
            </w:r>
          </w:p>
        </w:tc>
        <w:tc>
          <w:tcPr>
            <w:tcW w:w="0" w:type="dxa"/>
            <w:vAlign w:val="bottom"/>
          </w:tcPr>
          <w:p>
            <w:pPr>
              <w:spacing w:after="0"/>
              <w:rPr>
                <w:sz w:val="1"/>
                <w:szCs w:val="1"/>
                <w:color w:val="auto"/>
              </w:rPr>
            </w:pPr>
          </w:p>
        </w:tc>
      </w:tr>
      <w:tr>
        <w:trPr>
          <w:trHeight w:val="206"/>
        </w:trPr>
        <w:tc>
          <w:tcPr>
            <w:tcW w:w="84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160" w:type="dxa"/>
            <w:vAlign w:val="bottom"/>
            <w:tcBorders>
              <w:bottom w:val="single" w:sz="8" w:color="auto"/>
            </w:tcBorders>
            <w:shd w:val="clear" w:color="auto" w:fill="DBDBDB"/>
          </w:tcPr>
          <w:p>
            <w:pPr>
              <w:spacing w:after="0"/>
              <w:rPr>
                <w:sz w:val="17"/>
                <w:szCs w:val="17"/>
                <w:color w:val="auto"/>
              </w:rPr>
            </w:pPr>
          </w:p>
        </w:tc>
        <w:tc>
          <w:tcPr>
            <w:tcW w:w="2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9"/>
        </w:trPr>
        <w:tc>
          <w:tcPr>
            <w:tcW w:w="842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1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5"/>
                <w:szCs w:val="15"/>
                <w:color w:val="auto"/>
              </w:rPr>
              <w:t>4,003</w:t>
            </w: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160" w:type="dxa"/>
            <w:vAlign w:val="bottom"/>
            <w:shd w:val="clear" w:color="auto" w:fill="DBDBDB"/>
          </w:tcPr>
          <w:p>
            <w:pPr>
              <w:spacing w:after="0"/>
              <w:rPr>
                <w:sz w:val="18"/>
                <w:szCs w:val="18"/>
                <w:color w:val="auto"/>
              </w:rPr>
            </w:pPr>
          </w:p>
        </w:tc>
        <w:tc>
          <w:tcPr>
            <w:tcW w:w="2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175,708</w:t>
            </w: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c>
          <w:tcPr>
            <w:tcW w:w="0" w:type="dxa"/>
            <w:vAlign w:val="bottom"/>
          </w:tcPr>
          <w:p>
            <w:pPr>
              <w:spacing w:after="0"/>
              <w:rPr>
                <w:sz w:val="1"/>
                <w:szCs w:val="1"/>
                <w:color w:val="auto"/>
              </w:rPr>
            </w:pPr>
          </w:p>
        </w:tc>
      </w:tr>
      <w:tr>
        <w:trPr>
          <w:trHeight w:val="224"/>
        </w:trPr>
        <w:tc>
          <w:tcPr>
            <w:tcW w:w="8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134,243</w:t>
            </w:r>
          </w:p>
        </w:tc>
        <w:tc>
          <w:tcPr>
            <w:tcW w:w="0" w:type="dxa"/>
            <w:vAlign w:val="bottom"/>
          </w:tcPr>
          <w:p>
            <w:pPr>
              <w:spacing w:after="0"/>
              <w:rPr>
                <w:sz w:val="1"/>
                <w:szCs w:val="1"/>
                <w:color w:val="auto"/>
              </w:rPr>
            </w:pPr>
          </w:p>
        </w:tc>
      </w:tr>
      <w:tr>
        <w:trPr>
          <w:trHeight w:val="20"/>
        </w:trPr>
        <w:tc>
          <w:tcPr>
            <w:tcW w:w="84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5"/>
                <w:szCs w:val="15"/>
                <w:color w:val="auto"/>
              </w:rPr>
              <w:t>Other selected data:</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26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4,124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In January 2023, a $0.4 million adjustment was made to the gain on sale of the former Tank and Pump segment due to the final contractual working capital adjustment. Including this adjustment, the total gain on sale of discontinued operations was $176.1 million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120" w:type="dxa"/>
            <w:vAlign w:val="bottom"/>
            <w:gridSpan w:val="6"/>
            <w:shd w:val="clear" w:color="auto" w:fill="1D2758"/>
          </w:tcPr>
          <w:p>
            <w:pPr>
              <w:jc w:val="right"/>
              <w:ind w:right="240"/>
              <w:spacing w:after="0"/>
              <w:rPr>
                <w:sz w:val="20"/>
                <w:szCs w:val="20"/>
                <w:color w:val="auto"/>
              </w:rPr>
            </w:pPr>
            <w:r>
              <w:rPr>
                <w:rFonts w:ascii="Arial" w:cs="Arial" w:eastAsia="Arial" w:hAnsi="Arial"/>
                <w:sz w:val="15"/>
                <w:szCs w:val="15"/>
                <w:b w:val="1"/>
                <w:bCs w:val="1"/>
                <w:color w:val="FFFFFF"/>
              </w:rPr>
              <w:t>Three Months Ended June 30, 2022</w:t>
            </w:r>
          </w:p>
        </w:tc>
        <w:tc>
          <w:tcPr>
            <w:tcW w:w="13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7"/>
                <w:szCs w:val="17"/>
                <w:color w:val="auto"/>
              </w:rPr>
            </w:pPr>
          </w:p>
        </w:tc>
        <w:tc>
          <w:tcPr>
            <w:tcW w:w="160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Tank and Pump</w:t>
            </w:r>
          </w:p>
        </w:tc>
        <w:tc>
          <w:tcPr>
            <w:tcW w:w="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700" w:type="dxa"/>
            <w:vAlign w:val="bottom"/>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UK Storage Solutions</w:t>
            </w:r>
          </w:p>
        </w:tc>
        <w:tc>
          <w:tcPr>
            <w:tcW w:w="100" w:type="dxa"/>
            <w:vAlign w:val="bottom"/>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4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22,078</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20,156</w:t>
            </w:r>
          </w:p>
        </w:tc>
        <w:tc>
          <w:tcPr>
            <w:tcW w:w="620" w:type="dxa"/>
            <w:vAlign w:val="bottom"/>
            <w:gridSpan w:val="2"/>
            <w:shd w:val="clear" w:color="auto" w:fill="DBDBDB"/>
          </w:tcPr>
          <w:p>
            <w:pPr>
              <w:jc w:val="right"/>
              <w:ind w:right="4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42,234</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9,219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5,342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14,561</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678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1,167</w:t>
            </w:r>
          </w:p>
        </w:tc>
        <w:tc>
          <w:tcPr>
            <w:tcW w:w="0" w:type="dxa"/>
            <w:vAlign w:val="bottom"/>
          </w:tcPr>
          <w:p>
            <w:pPr>
              <w:spacing w:after="0"/>
              <w:rPr>
                <w:sz w:val="1"/>
                <w:szCs w:val="1"/>
                <w:color w:val="auto"/>
              </w:rPr>
            </w:pPr>
          </w:p>
        </w:tc>
      </w:tr>
      <w:tr>
        <w:trPr>
          <w:trHeight w:val="206"/>
        </w:trPr>
        <w:tc>
          <w:tcPr>
            <w:tcW w:w="558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40" w:type="dxa"/>
            <w:vAlign w:val="bottom"/>
            <w:tcBorders>
              <w:bottom w:val="single" w:sz="8" w:color="auto"/>
            </w:tcBorders>
            <w:shd w:val="clear" w:color="auto" w:fill="DBDBDB"/>
          </w:tcPr>
          <w:p>
            <w:pPr>
              <w:spacing w:after="0"/>
              <w:rPr>
                <w:sz w:val="17"/>
                <w:szCs w:val="17"/>
                <w:color w:val="auto"/>
              </w:rPr>
            </w:pPr>
          </w:p>
        </w:tc>
        <w:tc>
          <w:tcPr>
            <w:tcW w:w="16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110</w:t>
            </w: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679</w:t>
            </w:r>
          </w:p>
        </w:tc>
        <w:tc>
          <w:tcPr>
            <w:tcW w:w="10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789</w:t>
            </w:r>
          </w:p>
        </w:tc>
        <w:tc>
          <w:tcPr>
            <w:tcW w:w="0" w:type="dxa"/>
            <w:vAlign w:val="bottom"/>
          </w:tcPr>
          <w:p>
            <w:pPr>
              <w:spacing w:after="0"/>
              <w:rPr>
                <w:sz w:val="1"/>
                <w:szCs w:val="1"/>
                <w:color w:val="auto"/>
              </w:rPr>
            </w:pPr>
          </w:p>
        </w:tc>
      </w:tr>
      <w:tr>
        <w:trPr>
          <w:trHeight w:val="199"/>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32,085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26,666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58,751</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4,608</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4,193</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8,801</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7,640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3,410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11,050</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496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322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818</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477</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Depreciation of rental equipment</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2,793</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1,154</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3,947</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40" w:type="dxa"/>
            <w:vAlign w:val="bottom"/>
            <w:shd w:val="clear" w:color="auto" w:fill="DBDBDB"/>
          </w:tcPr>
          <w:p>
            <w:pPr>
              <w:spacing w:after="0"/>
              <w:rPr>
                <w:sz w:val="17"/>
                <w:szCs w:val="17"/>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16,571</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17,087</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33,658</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6,289</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5,652</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11,941</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2,413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1,690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4,103</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240" w:type="dxa"/>
            <w:vAlign w:val="bottom"/>
            <w:shd w:val="clear" w:color="auto" w:fill="DBDBDB"/>
          </w:tcPr>
          <w:p>
            <w:pPr>
              <w:spacing w:after="0"/>
              <w:rPr>
                <w:sz w:val="17"/>
                <w:szCs w:val="17"/>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7,868</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9,694</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17,562</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40" w:type="dxa"/>
            <w:vAlign w:val="bottom"/>
            <w:shd w:val="clear" w:color="auto" w:fill="DBDBDB"/>
          </w:tcPr>
          <w:p>
            <w:pPr>
              <w:spacing w:after="0"/>
              <w:rPr>
                <w:sz w:val="17"/>
                <w:szCs w:val="17"/>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7,678</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9,462</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17,140</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1,997</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1,866</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3,863</w:t>
            </w:r>
          </w:p>
        </w:tc>
        <w:tc>
          <w:tcPr>
            <w:tcW w:w="0" w:type="dxa"/>
            <w:vAlign w:val="bottom"/>
          </w:tcPr>
          <w:p>
            <w:pPr>
              <w:spacing w:after="0"/>
              <w:rPr>
                <w:sz w:val="1"/>
                <w:szCs w:val="1"/>
                <w:color w:val="auto"/>
              </w:rPr>
            </w:pPr>
          </w:p>
        </w:tc>
      </w:tr>
      <w:tr>
        <w:trPr>
          <w:trHeight w:val="21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5,681</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7,596</w:t>
            </w:r>
          </w:p>
        </w:tc>
        <w:tc>
          <w:tcPr>
            <w:tcW w:w="620" w:type="dxa"/>
            <w:vAlign w:val="bottom"/>
            <w:gridSpan w:val="2"/>
            <w:shd w:val="clear" w:color="auto" w:fill="DBDBDB"/>
          </w:tcPr>
          <w:p>
            <w:pPr>
              <w:jc w:val="right"/>
              <w:ind w:right="4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13,277</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5"/>
                <w:szCs w:val="15"/>
                <w:color w:val="auto"/>
              </w:rPr>
              <w:t>Other selected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12,462</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12,230</w:t>
            </w:r>
          </w:p>
        </w:tc>
        <w:tc>
          <w:tcPr>
            <w:tcW w:w="620" w:type="dxa"/>
            <w:vAlign w:val="bottom"/>
            <w:gridSpan w:val="2"/>
            <w:shd w:val="clear" w:color="auto" w:fill="DBDBDB"/>
          </w:tcPr>
          <w:p>
            <w:pPr>
              <w:jc w:val="right"/>
              <w:ind w:right="4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24,692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060" w:type="dxa"/>
            <w:vAlign w:val="bottom"/>
            <w:gridSpan w:val="6"/>
            <w:shd w:val="clear" w:color="auto" w:fill="1D2758"/>
          </w:tcPr>
          <w:p>
            <w:pPr>
              <w:jc w:val="right"/>
              <w:ind w:right="260"/>
              <w:spacing w:after="0"/>
              <w:rPr>
                <w:sz w:val="20"/>
                <w:szCs w:val="20"/>
                <w:color w:val="auto"/>
              </w:rPr>
            </w:pPr>
            <w:r>
              <w:rPr>
                <w:rFonts w:ascii="Arial" w:cs="Arial" w:eastAsia="Arial" w:hAnsi="Arial"/>
                <w:sz w:val="15"/>
                <w:szCs w:val="15"/>
                <w:b w:val="1"/>
                <w:bCs w:val="1"/>
                <w:color w:val="FFFFFF"/>
              </w:rPr>
              <w:t>Six Months Ended June 30, 2022</w:t>
            </w:r>
          </w:p>
        </w:tc>
        <w:tc>
          <w:tcPr>
            <w:tcW w:w="13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7"/>
                <w:szCs w:val="17"/>
                <w:color w:val="auto"/>
              </w:rPr>
            </w:pPr>
          </w:p>
        </w:tc>
        <w:tc>
          <w:tcPr>
            <w:tcW w:w="160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Tank and Pump</w:t>
            </w:r>
          </w:p>
        </w:tc>
        <w:tc>
          <w:tcPr>
            <w:tcW w:w="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700" w:type="dxa"/>
            <w:vAlign w:val="bottom"/>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UK Storage Solutions</w:t>
            </w:r>
          </w:p>
        </w:tc>
        <w:tc>
          <w:tcPr>
            <w:tcW w:w="10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4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43,140</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40,727</w:t>
            </w: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83,867</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17,544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11,809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29,353</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617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1,977</w:t>
            </w:r>
          </w:p>
        </w:tc>
        <w:tc>
          <w:tcPr>
            <w:tcW w:w="0" w:type="dxa"/>
            <w:vAlign w:val="bottom"/>
          </w:tcPr>
          <w:p>
            <w:pPr>
              <w:spacing w:after="0"/>
              <w:rPr>
                <w:sz w:val="1"/>
                <w:szCs w:val="1"/>
                <w:color w:val="auto"/>
              </w:rPr>
            </w:pPr>
          </w:p>
        </w:tc>
      </w:tr>
      <w:tr>
        <w:trPr>
          <w:trHeight w:val="206"/>
        </w:trPr>
        <w:tc>
          <w:tcPr>
            <w:tcW w:w="558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40" w:type="dxa"/>
            <w:vAlign w:val="bottom"/>
            <w:tcBorders>
              <w:bottom w:val="single" w:sz="8" w:color="auto"/>
            </w:tcBorders>
            <w:shd w:val="clear" w:color="auto" w:fill="DBDBDB"/>
          </w:tcPr>
          <w:p>
            <w:pPr>
              <w:spacing w:after="0"/>
              <w:rPr>
                <w:sz w:val="17"/>
                <w:szCs w:val="17"/>
                <w:color w:val="auto"/>
              </w:rPr>
            </w:pPr>
          </w:p>
        </w:tc>
        <w:tc>
          <w:tcPr>
            <w:tcW w:w="16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324</w:t>
            </w: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953</w:t>
            </w:r>
          </w:p>
        </w:tc>
        <w:tc>
          <w:tcPr>
            <w:tcW w:w="10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199"/>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62,368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54,106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116,474</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8,915</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8,430</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17,345</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14,651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7,334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21,985</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1,003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385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1,388</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72</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657</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729</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Depreciation of rental equipment</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6,323</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8,615</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40" w:type="dxa"/>
            <w:vAlign w:val="bottom"/>
            <w:shd w:val="clear" w:color="auto" w:fill="DBDBDB"/>
          </w:tcPr>
          <w:p>
            <w:pPr>
              <w:spacing w:after="0"/>
              <w:rPr>
                <w:sz w:val="17"/>
                <w:szCs w:val="17"/>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31,404</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35,008</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66,412</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12,501</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11,769</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24,270</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4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4,829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3,515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8,344</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24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expense (income), net</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240" w:type="dxa"/>
            <w:vAlign w:val="bottom"/>
            <w:shd w:val="clear" w:color="auto" w:fill="DBDBDB"/>
          </w:tcPr>
          <w:p>
            <w:pPr>
              <w:spacing w:after="0"/>
              <w:rPr>
                <w:sz w:val="17"/>
                <w:szCs w:val="17"/>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14,054</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19,717</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33,771</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368</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40" w:type="dxa"/>
            <w:vAlign w:val="bottom"/>
            <w:shd w:val="clear" w:color="auto" w:fill="DBDBDB"/>
          </w:tcPr>
          <w:p>
            <w:pPr>
              <w:spacing w:after="0"/>
              <w:rPr>
                <w:sz w:val="17"/>
                <w:szCs w:val="17"/>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13,686</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19,241</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32,927</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3,510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4,017</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7,527</w:t>
            </w:r>
          </w:p>
        </w:tc>
        <w:tc>
          <w:tcPr>
            <w:tcW w:w="0" w:type="dxa"/>
            <w:vAlign w:val="bottom"/>
          </w:tcPr>
          <w:p>
            <w:pPr>
              <w:spacing w:after="0"/>
              <w:rPr>
                <w:sz w:val="1"/>
                <w:szCs w:val="1"/>
                <w:color w:val="auto"/>
              </w:rPr>
            </w:pPr>
          </w:p>
        </w:tc>
      </w:tr>
      <w:tr>
        <w:trPr>
          <w:trHeight w:val="21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10,176</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15,224</w:t>
            </w: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25,400</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5"/>
                <w:szCs w:val="15"/>
                <w:color w:val="auto"/>
              </w:rPr>
              <w:t>Other selected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23,968</w:t>
            </w:r>
          </w:p>
        </w:tc>
        <w:tc>
          <w:tcPr>
            <w:tcW w:w="200" w:type="dxa"/>
            <w:vAlign w:val="bottom"/>
            <w:gridSpan w:val="2"/>
            <w:shd w:val="clear" w:color="auto" w:fill="DBDBDB"/>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24,774</w:t>
            </w: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6"/>
        </w:trPr>
        <w:tc>
          <w:tcPr>
            <w:tcW w:w="834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24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83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246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UK Storage Solutions</w:t>
            </w:r>
          </w:p>
        </w:tc>
      </w:tr>
      <w:tr>
        <w:trPr>
          <w:trHeight w:val="206"/>
        </w:trPr>
        <w:tc>
          <w:tcPr>
            <w:tcW w:w="8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2460" w:type="dxa"/>
            <w:vAlign w:val="bottom"/>
            <w:shd w:val="clear" w:color="auto" w:fill="DBDBDB"/>
          </w:tcPr>
          <w:p>
            <w:pPr>
              <w:spacing w:after="0"/>
              <w:rPr>
                <w:sz w:val="17"/>
                <w:szCs w:val="17"/>
                <w:color w:val="auto"/>
              </w:rPr>
            </w:pP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60" w:type="dxa"/>
            <w:vAlign w:val="bottom"/>
          </w:tcPr>
          <w:p>
            <w:pPr>
              <w:jc w:val="right"/>
              <w:spacing w:after="0"/>
              <w:rPr>
                <w:sz w:val="20"/>
                <w:szCs w:val="20"/>
                <w:color w:val="auto"/>
              </w:rPr>
            </w:pPr>
            <w:r>
              <w:rPr>
                <w:rFonts w:ascii="Arial" w:cs="Arial" w:eastAsia="Arial" w:hAnsi="Arial"/>
                <w:sz w:val="15"/>
                <w:szCs w:val="15"/>
                <w:color w:val="auto"/>
              </w:rPr>
              <w:t>10,384</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receivables, net of allowances for doubtful accounts of $300</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15,991</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3,058</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1,787</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165,853</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Property, plant and equipment, net</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20,645</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15,134</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Goodwill</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58,144</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6,414</w:t>
            </w:r>
          </w:p>
        </w:tc>
      </w:tr>
      <w:tr>
        <w:trPr>
          <w:trHeight w:val="206"/>
        </w:trPr>
        <w:tc>
          <w:tcPr>
            <w:tcW w:w="83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Other non-current assets</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1,832</w:t>
            </w:r>
          </w:p>
        </w:tc>
      </w:tr>
      <w:tr>
        <w:trPr>
          <w:trHeight w:val="202"/>
        </w:trPr>
        <w:tc>
          <w:tcPr>
            <w:tcW w:w="8340" w:type="dxa"/>
            <w:vAlign w:val="bottom"/>
          </w:tcPr>
          <w:p>
            <w:pPr>
              <w:ind w:left="20"/>
              <w:spacing w:after="0"/>
              <w:rPr>
                <w:sz w:val="20"/>
                <w:szCs w:val="20"/>
                <w:color w:val="auto"/>
              </w:rPr>
            </w:pPr>
            <w:r>
              <w:rPr>
                <w:rFonts w:ascii="Arial" w:cs="Arial" w:eastAsia="Arial" w:hAnsi="Arial"/>
                <w:sz w:val="15"/>
                <w:szCs w:val="15"/>
                <w:color w:val="auto"/>
              </w:rPr>
              <w:t>Total assets held for sale</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60" w:type="dxa"/>
            <w:vAlign w:val="bottom"/>
          </w:tcPr>
          <w:p>
            <w:pPr>
              <w:jc w:val="right"/>
              <w:spacing w:after="0"/>
              <w:rPr>
                <w:sz w:val="20"/>
                <w:szCs w:val="20"/>
                <w:color w:val="auto"/>
              </w:rPr>
            </w:pPr>
            <w:r>
              <w:rPr>
                <w:rFonts w:ascii="Arial" w:cs="Arial" w:eastAsia="Arial" w:hAnsi="Arial"/>
                <w:sz w:val="15"/>
                <w:szCs w:val="15"/>
                <w:color w:val="auto"/>
              </w:rPr>
              <w:t>299,242</w:t>
            </w:r>
          </w:p>
        </w:tc>
      </w:tr>
      <w:tr>
        <w:trPr>
          <w:trHeight w:val="20"/>
        </w:trPr>
        <w:tc>
          <w:tcPr>
            <w:tcW w:w="83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8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Liabilities</w:t>
            </w:r>
          </w:p>
        </w:tc>
        <w:tc>
          <w:tcPr>
            <w:tcW w:w="10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2460" w:type="dxa"/>
            <w:vAlign w:val="bottom"/>
            <w:shd w:val="clear" w:color="auto" w:fill="DBDBDB"/>
          </w:tcPr>
          <w:p>
            <w:pPr>
              <w:spacing w:after="0"/>
              <w:rPr>
                <w:sz w:val="14"/>
                <w:szCs w:val="14"/>
                <w:color w:val="auto"/>
              </w:rPr>
            </w:pP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60" w:type="dxa"/>
            <w:vAlign w:val="bottom"/>
          </w:tcPr>
          <w:p>
            <w:pPr>
              <w:jc w:val="right"/>
              <w:spacing w:after="0"/>
              <w:rPr>
                <w:sz w:val="20"/>
                <w:szCs w:val="20"/>
                <w:color w:val="auto"/>
              </w:rPr>
            </w:pPr>
            <w:r>
              <w:rPr>
                <w:rFonts w:ascii="Arial" w:cs="Arial" w:eastAsia="Arial" w:hAnsi="Arial"/>
                <w:sz w:val="15"/>
                <w:szCs w:val="15"/>
                <w:color w:val="auto"/>
              </w:rPr>
              <w:t>4,515</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expenses</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3,273</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1,009</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6,850</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Deferred tax liabilities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29,737</w:t>
            </w:r>
          </w:p>
        </w:tc>
      </w:tr>
      <w:tr>
        <w:trPr>
          <w:trHeight w:val="209"/>
        </w:trPr>
        <w:tc>
          <w:tcPr>
            <w:tcW w:w="8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Operating lease liabilities</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15,192</w:t>
            </w:r>
          </w:p>
        </w:tc>
      </w:tr>
      <w:tr>
        <w:trPr>
          <w:trHeight w:val="203"/>
        </w:trPr>
        <w:tc>
          <w:tcPr>
            <w:tcW w:w="8340" w:type="dxa"/>
            <w:vAlign w:val="bottom"/>
          </w:tcPr>
          <w:p>
            <w:pPr>
              <w:ind w:left="220"/>
              <w:spacing w:after="0"/>
              <w:rPr>
                <w:sz w:val="20"/>
                <w:szCs w:val="20"/>
                <w:color w:val="auto"/>
              </w:rPr>
            </w:pPr>
            <w:r>
              <w:rPr>
                <w:rFonts w:ascii="Arial" w:cs="Arial" w:eastAsia="Arial" w:hAnsi="Arial"/>
                <w:sz w:val="15"/>
                <w:szCs w:val="15"/>
                <w:color w:val="auto"/>
              </w:rPr>
              <w:t>Other non-current liabilities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6,278</w:t>
            </w:r>
          </w:p>
        </w:tc>
      </w:tr>
      <w:tr>
        <w:trPr>
          <w:trHeight w:val="222"/>
        </w:trPr>
        <w:tc>
          <w:tcPr>
            <w:tcW w:w="8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liabilities held for sale</w:t>
            </w:r>
          </w:p>
        </w:tc>
        <w:tc>
          <w:tcPr>
            <w:tcW w:w="440" w:type="dxa"/>
            <w:vAlign w:val="bottom"/>
            <w:gridSpan w:val="2"/>
            <w:shd w:val="clear" w:color="auto" w:fill="DBDBDB"/>
          </w:tcPr>
          <w:p>
            <w:pPr>
              <w:jc w:val="right"/>
              <w:ind w:right="240"/>
              <w:spacing w:after="0"/>
              <w:rPr>
                <w:sz w:val="20"/>
                <w:szCs w:val="20"/>
                <w:color w:val="auto"/>
              </w:rPr>
            </w:pPr>
            <w:r>
              <w:rPr>
                <w:rFonts w:ascii="Arial" w:cs="Arial" w:eastAsia="Arial" w:hAnsi="Arial"/>
                <w:sz w:val="15"/>
                <w:szCs w:val="15"/>
                <w:color w:val="auto"/>
              </w:rPr>
              <w:t>$</w:t>
            </w: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66,854</w:t>
            </w:r>
          </w:p>
        </w:tc>
      </w:tr>
      <w:tr>
        <w:trPr>
          <w:trHeight w:val="20"/>
        </w:trPr>
        <w:tc>
          <w:tcPr>
            <w:tcW w:w="83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six months ended June 30, 2022, significant operating and investing items related to the former Tank and Pump segment were as follows: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38670" cy="237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60" w:type="dxa"/>
            <w:vAlign w:val="bottom"/>
          </w:tcPr>
          <w:p>
            <w:pPr>
              <w:jc w:val="right"/>
              <w:ind w:right="123"/>
              <w:spacing w:after="0"/>
              <w:rPr>
                <w:sz w:val="20"/>
                <w:szCs w:val="20"/>
                <w:color w:val="auto"/>
              </w:rPr>
            </w:pPr>
            <w:r>
              <w:rPr>
                <w:rFonts w:ascii="Arial" w:cs="Arial" w:eastAsia="Arial" w:hAnsi="Arial"/>
                <w:sz w:val="15"/>
                <w:szCs w:val="15"/>
                <w:b w:val="1"/>
                <w:bCs w:val="1"/>
                <w:color w:val="FFFFFF"/>
              </w:rPr>
              <w:t>Six Months Ended June 30, 2022</w:t>
            </w:r>
          </w:p>
        </w:tc>
      </w:tr>
      <w:tr>
        <w:trPr>
          <w:trHeight w:val="206"/>
        </w:trPr>
        <w:tc>
          <w:tcPr>
            <w:tcW w:w="6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2520" w:type="dxa"/>
            <w:vAlign w:val="bottom"/>
            <w:shd w:val="clear" w:color="auto" w:fill="DBDBDB"/>
          </w:tcPr>
          <w:p>
            <w:pPr>
              <w:spacing w:after="0"/>
              <w:rPr>
                <w:sz w:val="17"/>
                <w:szCs w:val="17"/>
                <w:color w:val="auto"/>
              </w:rPr>
            </w:pPr>
          </w:p>
        </w:tc>
        <w:tc>
          <w:tcPr>
            <w:tcW w:w="2660" w:type="dxa"/>
            <w:vAlign w:val="bottom"/>
            <w:shd w:val="clear" w:color="auto" w:fill="DBDBDB"/>
          </w:tcPr>
          <w:p>
            <w:pPr>
              <w:spacing w:after="0"/>
              <w:rPr>
                <w:sz w:val="17"/>
                <w:szCs w:val="17"/>
                <w:color w:val="auto"/>
              </w:rPr>
            </w:pPr>
          </w:p>
        </w:tc>
      </w:tr>
      <w:tr>
        <w:trPr>
          <w:trHeight w:val="203"/>
        </w:trPr>
        <w:tc>
          <w:tcPr>
            <w:tcW w:w="60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2520" w:type="dxa"/>
            <w:vAlign w:val="bottom"/>
          </w:tcPr>
          <w:p>
            <w:pPr>
              <w:jc w:val="right"/>
              <w:spacing w:after="0"/>
              <w:rPr>
                <w:sz w:val="20"/>
                <w:szCs w:val="20"/>
                <w:color w:val="auto"/>
              </w:rPr>
            </w:pPr>
            <w:r>
              <w:rPr>
                <w:rFonts w:ascii="Arial" w:cs="Arial" w:eastAsia="Arial" w:hAnsi="Arial"/>
                <w:sz w:val="15"/>
                <w:szCs w:val="15"/>
                <w:color w:val="auto"/>
              </w:rPr>
              <w:t>$</w:t>
            </w:r>
          </w:p>
        </w:tc>
        <w:tc>
          <w:tcPr>
            <w:tcW w:w="2660" w:type="dxa"/>
            <w:vAlign w:val="bottom"/>
          </w:tcPr>
          <w:p>
            <w:pPr>
              <w:jc w:val="right"/>
              <w:spacing w:after="0"/>
              <w:rPr>
                <w:sz w:val="20"/>
                <w:szCs w:val="20"/>
                <w:color w:val="auto"/>
              </w:rPr>
            </w:pPr>
            <w:r>
              <w:rPr>
                <w:rFonts w:ascii="Arial" w:cs="Arial" w:eastAsia="Arial" w:hAnsi="Arial"/>
                <w:sz w:val="15"/>
                <w:szCs w:val="15"/>
                <w:color w:val="auto"/>
              </w:rPr>
              <w:t>11,152</w:t>
            </w:r>
          </w:p>
        </w:tc>
      </w:tr>
      <w:tr>
        <w:trPr>
          <w:trHeight w:val="209"/>
        </w:trPr>
        <w:tc>
          <w:tcPr>
            <w:tcW w:w="6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2520" w:type="dxa"/>
            <w:vAlign w:val="bottom"/>
            <w:shd w:val="clear" w:color="auto" w:fill="DBDBDB"/>
          </w:tcPr>
          <w:p>
            <w:pPr>
              <w:spacing w:after="0"/>
              <w:rPr>
                <w:sz w:val="18"/>
                <w:szCs w:val="18"/>
                <w:color w:val="auto"/>
              </w:rPr>
            </w:pPr>
          </w:p>
        </w:tc>
        <w:tc>
          <w:tcPr>
            <w:tcW w:w="2660" w:type="dxa"/>
            <w:vAlign w:val="bottom"/>
            <w:shd w:val="clear" w:color="auto" w:fill="DBDBDB"/>
          </w:tcPr>
          <w:p>
            <w:pPr>
              <w:spacing w:after="0"/>
              <w:rPr>
                <w:sz w:val="18"/>
                <w:szCs w:val="18"/>
                <w:color w:val="auto"/>
              </w:rPr>
            </w:pPr>
          </w:p>
        </w:tc>
      </w:tr>
      <w:tr>
        <w:trPr>
          <w:trHeight w:val="203"/>
        </w:trPr>
        <w:tc>
          <w:tcPr>
            <w:tcW w:w="606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2520" w:type="dxa"/>
            <w:vAlign w:val="bottom"/>
          </w:tcPr>
          <w:p>
            <w:pPr>
              <w:jc w:val="right"/>
              <w:spacing w:after="0"/>
              <w:rPr>
                <w:sz w:val="20"/>
                <w:szCs w:val="20"/>
                <w:color w:val="auto"/>
              </w:rPr>
            </w:pPr>
            <w:r>
              <w:rPr>
                <w:rFonts w:ascii="Arial" w:cs="Arial" w:eastAsia="Arial" w:hAnsi="Arial"/>
                <w:sz w:val="15"/>
                <w:szCs w:val="15"/>
                <w:color w:val="auto"/>
              </w:rPr>
              <w:t>$</w:t>
            </w:r>
          </w:p>
        </w:tc>
        <w:tc>
          <w:tcPr>
            <w:tcW w:w="2660" w:type="dxa"/>
            <w:vAlign w:val="bottom"/>
          </w:tcPr>
          <w:p>
            <w:pPr>
              <w:jc w:val="right"/>
              <w:spacing w:after="0"/>
              <w:rPr>
                <w:sz w:val="20"/>
                <w:szCs w:val="20"/>
                <w:color w:val="auto"/>
              </w:rPr>
            </w:pPr>
            <w:r>
              <w:rPr>
                <w:rFonts w:ascii="Arial" w:cs="Arial" w:eastAsia="Arial" w:hAnsi="Arial"/>
                <w:sz w:val="15"/>
                <w:szCs w:val="15"/>
                <w:color w:val="auto"/>
              </w:rPr>
              <w:t>325</w:t>
            </w:r>
          </w:p>
        </w:tc>
      </w:tr>
      <w:tr>
        <w:trPr>
          <w:trHeight w:val="209"/>
        </w:trPr>
        <w:tc>
          <w:tcPr>
            <w:tcW w:w="6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(13,658)</w:t>
            </w:r>
          </w:p>
        </w:tc>
      </w:tr>
      <w:tr>
        <w:trPr>
          <w:trHeight w:val="201"/>
        </w:trPr>
        <w:tc>
          <w:tcPr>
            <w:tcW w:w="60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520" w:type="dxa"/>
            <w:vAlign w:val="bottom"/>
          </w:tcPr>
          <w:p>
            <w:pPr>
              <w:jc w:val="right"/>
              <w:spacing w:after="0"/>
              <w:rPr>
                <w:sz w:val="20"/>
                <w:szCs w:val="20"/>
                <w:color w:val="auto"/>
              </w:rPr>
            </w:pPr>
            <w:r>
              <w:rPr>
                <w:rFonts w:ascii="Arial" w:cs="Arial" w:eastAsia="Arial" w:hAnsi="Arial"/>
                <w:sz w:val="15"/>
                <w:szCs w:val="15"/>
                <w:color w:val="auto"/>
              </w:rPr>
              <w:t>$</w:t>
            </w:r>
          </w:p>
        </w:tc>
        <w:tc>
          <w:tcPr>
            <w:tcW w:w="2660" w:type="dxa"/>
            <w:vAlign w:val="bottom"/>
          </w:tcPr>
          <w:p>
            <w:pPr>
              <w:jc w:val="right"/>
              <w:spacing w:after="0"/>
              <w:rPr>
                <w:sz w:val="20"/>
                <w:szCs w:val="20"/>
                <w:color w:val="auto"/>
              </w:rPr>
            </w:pPr>
            <w:r>
              <w:rPr>
                <w:rFonts w:ascii="Arial" w:cs="Arial" w:eastAsia="Arial" w:hAnsi="Arial"/>
                <w:sz w:val="15"/>
                <w:szCs w:val="15"/>
                <w:color w:val="auto"/>
              </w:rPr>
              <w:t>(170)</w:t>
            </w:r>
          </w:p>
        </w:tc>
      </w:tr>
    </w:tbl>
    <w:p>
      <w:pPr>
        <w:spacing w:after="0" w:line="13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following table presents a reconciliation of Income from discontinued operations before income tax to Adjusted EBITDA from discontinued operations for the former Tank and Pump segment for the three and six months ended June 30, 2022. See Note 16 for further information regarding Adjusted EBITDA.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5"/>
                <w:szCs w:val="15"/>
                <w:color w:val="auto"/>
              </w:rPr>
            </w:pPr>
          </w:p>
        </w:tc>
        <w:tc>
          <w:tcPr>
            <w:tcW w:w="2100" w:type="dxa"/>
            <w:vAlign w:val="bottom"/>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Three Months Ended June</w:t>
            </w:r>
          </w:p>
        </w:tc>
        <w:tc>
          <w:tcPr>
            <w:tcW w:w="1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2120" w:type="dxa"/>
            <w:vAlign w:val="bottom"/>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Six Months Ended June 30,</w:t>
            </w:r>
          </w:p>
        </w:tc>
        <w:tc>
          <w:tcPr>
            <w:tcW w:w="0" w:type="dxa"/>
            <w:vAlign w:val="bottom"/>
          </w:tcPr>
          <w:p>
            <w:pPr>
              <w:spacing w:after="0"/>
              <w:rPr>
                <w:sz w:val="1"/>
                <w:szCs w:val="1"/>
                <w:color w:val="auto"/>
              </w:rPr>
            </w:pPr>
          </w:p>
        </w:tc>
      </w:tr>
      <w:tr>
        <w:trPr>
          <w:trHeight w:val="206"/>
        </w:trPr>
        <w:tc>
          <w:tcPr>
            <w:tcW w:w="670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2100" w:type="dxa"/>
            <w:vAlign w:val="bottom"/>
            <w:shd w:val="clear" w:color="auto" w:fill="1D2758"/>
          </w:tcPr>
          <w:p>
            <w:pPr>
              <w:jc w:val="right"/>
              <w:ind w:right="723"/>
              <w:spacing w:after="0"/>
              <w:rPr>
                <w:sz w:val="20"/>
                <w:szCs w:val="20"/>
                <w:color w:val="auto"/>
              </w:rPr>
            </w:pPr>
            <w:r>
              <w:rPr>
                <w:rFonts w:ascii="Arial" w:cs="Arial" w:eastAsia="Arial" w:hAnsi="Arial"/>
                <w:sz w:val="15"/>
                <w:szCs w:val="15"/>
                <w:b w:val="1"/>
                <w:bCs w:val="1"/>
                <w:color w:val="FFFFFF"/>
              </w:rPr>
              <w:t>30, 2022</w:t>
            </w:r>
          </w:p>
        </w:tc>
        <w:tc>
          <w:tcPr>
            <w:tcW w:w="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212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206"/>
        </w:trPr>
        <w:tc>
          <w:tcPr>
            <w:tcW w:w="6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5,681</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10,176</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Income tax expense from discontinued operations</w:t>
            </w:r>
          </w:p>
        </w:tc>
        <w:tc>
          <w:tcPr>
            <w:tcW w:w="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1,997</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3,510</w:t>
            </w:r>
          </w:p>
        </w:tc>
        <w:tc>
          <w:tcPr>
            <w:tcW w:w="0" w:type="dxa"/>
            <w:vAlign w:val="bottom"/>
          </w:tcPr>
          <w:p>
            <w:pPr>
              <w:spacing w:after="0"/>
              <w:rPr>
                <w:sz w:val="1"/>
                <w:szCs w:val="1"/>
                <w:color w:val="auto"/>
              </w:rPr>
            </w:pPr>
          </w:p>
        </w:tc>
      </w:tr>
      <w:tr>
        <w:trPr>
          <w:trHeight w:val="202"/>
        </w:trPr>
        <w:tc>
          <w:tcPr>
            <w:tcW w:w="6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 before income tax</w:t>
            </w:r>
          </w:p>
        </w:tc>
        <w:tc>
          <w:tcPr>
            <w:tcW w:w="120" w:type="dxa"/>
            <w:vAlign w:val="bottom"/>
            <w:shd w:val="clear" w:color="auto" w:fill="DBDBDB"/>
          </w:tcPr>
          <w:p>
            <w:pPr>
              <w:spacing w:after="0"/>
              <w:rPr>
                <w:sz w:val="17"/>
                <w:szCs w:val="17"/>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7,678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13,686</w:t>
            </w:r>
          </w:p>
        </w:tc>
        <w:tc>
          <w:tcPr>
            <w:tcW w:w="0" w:type="dxa"/>
            <w:vAlign w:val="bottom"/>
          </w:tcPr>
          <w:p>
            <w:pPr>
              <w:spacing w:after="0"/>
              <w:rPr>
                <w:sz w:val="1"/>
                <w:szCs w:val="1"/>
                <w:color w:val="auto"/>
              </w:rPr>
            </w:pPr>
          </w:p>
        </w:tc>
      </w:tr>
      <w:tr>
        <w:trPr>
          <w:trHeight w:val="203"/>
        </w:trPr>
        <w:tc>
          <w:tcPr>
            <w:tcW w:w="67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09"/>
        </w:trPr>
        <w:tc>
          <w:tcPr>
            <w:tcW w:w="6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5,206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11,152</w:t>
            </w:r>
          </w:p>
        </w:tc>
        <w:tc>
          <w:tcPr>
            <w:tcW w:w="0" w:type="dxa"/>
            <w:vAlign w:val="bottom"/>
          </w:tcPr>
          <w:p>
            <w:pPr>
              <w:spacing w:after="0"/>
              <w:rPr>
                <w:sz w:val="1"/>
                <w:szCs w:val="1"/>
                <w:color w:val="auto"/>
              </w:rPr>
            </w:pPr>
          </w:p>
        </w:tc>
      </w:tr>
      <w:tr>
        <w:trPr>
          <w:trHeight w:val="203"/>
        </w:trPr>
        <w:tc>
          <w:tcPr>
            <w:tcW w:w="670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1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06"/>
        </w:trPr>
        <w:tc>
          <w:tcPr>
            <w:tcW w:w="6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shd w:val="clear" w:color="auto" w:fill="DBDBDB"/>
          </w:tcPr>
          <w:p>
            <w:pPr>
              <w:spacing w:after="0"/>
              <w:rPr>
                <w:sz w:val="17"/>
                <w:szCs w:val="17"/>
                <w:color w:val="auto"/>
              </w:rPr>
            </w:pP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(747)</w:t>
            </w:r>
          </w:p>
        </w:tc>
        <w:tc>
          <w:tcPr>
            <w:tcW w:w="10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(1,477)</w:t>
            </w:r>
          </w:p>
        </w:tc>
        <w:tc>
          <w:tcPr>
            <w:tcW w:w="0" w:type="dxa"/>
            <w:vAlign w:val="bottom"/>
          </w:tcPr>
          <w:p>
            <w:pPr>
              <w:spacing w:after="0"/>
              <w:rPr>
                <w:sz w:val="1"/>
                <w:szCs w:val="1"/>
                <w:color w:val="auto"/>
              </w:rPr>
            </w:pPr>
          </w:p>
        </w:tc>
      </w:tr>
      <w:tr>
        <w:trPr>
          <w:trHeight w:val="202"/>
        </w:trPr>
        <w:tc>
          <w:tcPr>
            <w:tcW w:w="6700" w:type="dxa"/>
            <w:vAlign w:val="bottom"/>
          </w:tcPr>
          <w:p>
            <w:pPr>
              <w:ind w:left="20"/>
              <w:spacing w:after="0"/>
              <w:rPr>
                <w:sz w:val="20"/>
                <w:szCs w:val="20"/>
                <w:color w:val="auto"/>
              </w:rPr>
            </w:pPr>
            <w:r>
              <w:rPr>
                <w:rFonts w:ascii="Arial" w:cs="Arial" w:eastAsia="Arial" w:hAnsi="Arial"/>
                <w:sz w:val="15"/>
                <w:szCs w:val="15"/>
                <w:color w:val="auto"/>
              </w:rPr>
              <w:t>Adjusted EBITDA from discontinued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100" w:type="dxa"/>
            <w:vAlign w:val="bottom"/>
          </w:tcPr>
          <w:p>
            <w:pPr>
              <w:jc w:val="right"/>
              <w:spacing w:after="0"/>
              <w:rPr>
                <w:sz w:val="20"/>
                <w:szCs w:val="20"/>
                <w:color w:val="auto"/>
              </w:rPr>
            </w:pPr>
            <w:r>
              <w:rPr>
                <w:rFonts w:ascii="Arial" w:cs="Arial" w:eastAsia="Arial" w:hAnsi="Arial"/>
                <w:sz w:val="15"/>
                <w:szCs w:val="15"/>
                <w:color w:val="auto"/>
              </w:rPr>
              <w:t>12,462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120" w:type="dxa"/>
            <w:vAlign w:val="bottom"/>
          </w:tcPr>
          <w:p>
            <w:pPr>
              <w:jc w:val="right"/>
              <w:spacing w:after="0"/>
              <w:rPr>
                <w:sz w:val="20"/>
                <w:szCs w:val="20"/>
                <w:color w:val="auto"/>
              </w:rPr>
            </w:pPr>
            <w:r>
              <w:rPr>
                <w:rFonts w:ascii="Arial" w:cs="Arial" w:eastAsia="Arial" w:hAnsi="Arial"/>
                <w:sz w:val="15"/>
                <w:szCs w:val="15"/>
                <w:color w:val="auto"/>
              </w:rPr>
              <w:t>23,968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5"/>
          <w:szCs w:val="15"/>
          <w:color w:val="auto"/>
        </w:rPr>
        <w:t>For the six months ended June 30, 2023 and 2022, significant operating and investing items related to the former UK Storage Solutions segment were as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3420" w:type="dxa"/>
            <w:vAlign w:val="bottom"/>
            <w:gridSpan w:val="3"/>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 June 30,</w:t>
            </w:r>
          </w:p>
        </w:tc>
        <w:tc>
          <w:tcPr>
            <w:tcW w:w="0" w:type="dxa"/>
            <w:vAlign w:val="bottom"/>
          </w:tcPr>
          <w:p>
            <w:pPr>
              <w:spacing w:after="0"/>
              <w:rPr>
                <w:sz w:val="1"/>
                <w:szCs w:val="1"/>
                <w:color w:val="auto"/>
              </w:rPr>
            </w:pPr>
          </w:p>
        </w:tc>
      </w:tr>
      <w:tr>
        <w:trPr>
          <w:trHeight w:val="213"/>
        </w:trPr>
        <w:tc>
          <w:tcPr>
            <w:tcW w:w="7400" w:type="dxa"/>
            <w:vAlign w:val="bottom"/>
            <w:vMerge w:val="continue"/>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50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2023</w:t>
            </w:r>
          </w:p>
        </w:tc>
        <w:tc>
          <w:tcPr>
            <w:tcW w:w="480" w:type="dxa"/>
            <w:vAlign w:val="bottom"/>
            <w:shd w:val="clear" w:color="auto" w:fill="1D2758"/>
          </w:tcPr>
          <w:p>
            <w:pPr>
              <w:spacing w:after="0"/>
              <w:rPr>
                <w:sz w:val="18"/>
                <w:szCs w:val="18"/>
                <w:color w:val="auto"/>
              </w:rPr>
            </w:pPr>
          </w:p>
        </w:tc>
        <w:tc>
          <w:tcPr>
            <w:tcW w:w="1440" w:type="dxa"/>
            <w:vAlign w:val="bottom"/>
            <w:vMerge w:val="restart"/>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61"/>
        </w:trPr>
        <w:tc>
          <w:tcPr>
            <w:tcW w:w="74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500" w:type="dxa"/>
            <w:vAlign w:val="bottom"/>
            <w:vMerge w:val="continue"/>
            <w:shd w:val="clear" w:color="auto" w:fill="1D2758"/>
          </w:tcPr>
          <w:p>
            <w:pPr>
              <w:spacing w:after="0"/>
              <w:rPr>
                <w:sz w:val="14"/>
                <w:szCs w:val="14"/>
                <w:color w:val="auto"/>
              </w:rPr>
            </w:pPr>
          </w:p>
        </w:tc>
        <w:tc>
          <w:tcPr>
            <w:tcW w:w="480" w:type="dxa"/>
            <w:vAlign w:val="bottom"/>
            <w:shd w:val="clear" w:color="auto" w:fill="1D2758"/>
          </w:tcPr>
          <w:p>
            <w:pPr>
              <w:spacing w:after="0"/>
              <w:rPr>
                <w:sz w:val="14"/>
                <w:szCs w:val="14"/>
                <w:color w:val="auto"/>
              </w:rPr>
            </w:pPr>
          </w:p>
        </w:tc>
        <w:tc>
          <w:tcPr>
            <w:tcW w:w="14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420" w:type="dxa"/>
            <w:vAlign w:val="bottom"/>
            <w:shd w:val="clear" w:color="auto" w:fill="DBDBDB"/>
          </w:tcPr>
          <w:p>
            <w:pPr>
              <w:spacing w:after="0"/>
              <w:rPr>
                <w:sz w:val="17"/>
                <w:szCs w:val="17"/>
                <w:color w:val="auto"/>
              </w:rPr>
            </w:pPr>
          </w:p>
        </w:tc>
        <w:tc>
          <w:tcPr>
            <w:tcW w:w="1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5,807</w:t>
            </w:r>
          </w:p>
        </w:tc>
        <w:tc>
          <w:tcPr>
            <w:tcW w:w="0" w:type="dxa"/>
            <w:vAlign w:val="bottom"/>
          </w:tcPr>
          <w:p>
            <w:pPr>
              <w:spacing w:after="0"/>
              <w:rPr>
                <w:sz w:val="1"/>
                <w:szCs w:val="1"/>
                <w:color w:val="auto"/>
              </w:rPr>
            </w:pPr>
          </w:p>
        </w:tc>
      </w:tr>
      <w:tr>
        <w:trPr>
          <w:trHeight w:val="209"/>
        </w:trPr>
        <w:tc>
          <w:tcPr>
            <w:tcW w:w="7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42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514</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953</w:t>
            </w:r>
          </w:p>
        </w:tc>
        <w:tc>
          <w:tcPr>
            <w:tcW w:w="0" w:type="dxa"/>
            <w:vAlign w:val="bottom"/>
          </w:tcPr>
          <w:p>
            <w:pPr>
              <w:spacing w:after="0"/>
              <w:rPr>
                <w:sz w:val="1"/>
                <w:szCs w:val="1"/>
                <w:color w:val="auto"/>
              </w:rPr>
            </w:pPr>
          </w:p>
        </w:tc>
      </w:tr>
      <w:tr>
        <w:trPr>
          <w:trHeight w:val="209"/>
        </w:trPr>
        <w:tc>
          <w:tcPr>
            <w:tcW w:w="74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(371)</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(17,219)</w:t>
            </w: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rPr>
                <w:sz w:val="20"/>
                <w:szCs w:val="20"/>
                <w:color w:val="auto"/>
              </w:rPr>
            </w:pPr>
            <w:r>
              <w:rPr>
                <w:rFonts w:ascii="Arial" w:cs="Arial" w:eastAsia="Arial" w:hAnsi="Arial"/>
                <w:sz w:val="15"/>
                <w:szCs w:val="15"/>
                <w:color w:val="auto"/>
              </w:rPr>
              <w:t>Proceeds from sale of property, plant and equipment</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8</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209"/>
        </w:trPr>
        <w:tc>
          <w:tcPr>
            <w:tcW w:w="74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(64)</w:t>
            </w:r>
          </w:p>
        </w:tc>
        <w:tc>
          <w:tcPr>
            <w:tcW w:w="48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(3,188)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following table presents reconciliations of Income from discontinued operations before income tax to Adjusted EBITDA from discontinued operations for the former UK Storage Solutions segment for the three and six months ended June 30, 2023 and 2022, respectively. See Note 16 for further information regarding Adjusted EBITDA.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2840" w:type="dxa"/>
            <w:vAlign w:val="bottom"/>
            <w:gridSpan w:val="4"/>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Three Months Ended June 30,</w:t>
            </w:r>
          </w:p>
        </w:tc>
        <w:tc>
          <w:tcPr>
            <w:tcW w:w="1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2800" w:type="dxa"/>
            <w:vAlign w:val="bottom"/>
            <w:gridSpan w:val="4"/>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Six Months Ended June 30,</w:t>
            </w:r>
          </w:p>
        </w:tc>
        <w:tc>
          <w:tcPr>
            <w:tcW w:w="0" w:type="dxa"/>
            <w:vAlign w:val="bottom"/>
          </w:tcPr>
          <w:p>
            <w:pPr>
              <w:spacing w:after="0"/>
              <w:rPr>
                <w:sz w:val="1"/>
                <w:szCs w:val="1"/>
                <w:color w:val="auto"/>
              </w:rPr>
            </w:pPr>
          </w:p>
        </w:tc>
      </w:tr>
      <w:tr>
        <w:trPr>
          <w:trHeight w:val="206"/>
        </w:trPr>
        <w:tc>
          <w:tcPr>
            <w:tcW w:w="48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7"/>
                <w:szCs w:val="17"/>
                <w:color w:val="auto"/>
              </w:rPr>
            </w:pPr>
          </w:p>
        </w:tc>
        <w:tc>
          <w:tcPr>
            <w:tcW w:w="1220" w:type="dxa"/>
            <w:vAlign w:val="bottom"/>
            <w:shd w:val="clear" w:color="auto" w:fill="1D2758"/>
          </w:tcPr>
          <w:p>
            <w:pPr>
              <w:ind w:left="300"/>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18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16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206"/>
        </w:trPr>
        <w:tc>
          <w:tcPr>
            <w:tcW w:w="4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3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ind w:left="100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DBDBDB"/>
          </w:tcPr>
          <w:p>
            <w:pPr>
              <w:jc w:val="right"/>
              <w:ind w:right="240"/>
              <w:spacing w:after="0"/>
              <w:rPr>
                <w:sz w:val="20"/>
                <w:szCs w:val="20"/>
                <w:color w:val="auto"/>
              </w:rPr>
            </w:pPr>
            <w:r>
              <w:rPr>
                <w:rFonts w:ascii="Arial" w:cs="Arial" w:eastAsia="Arial" w:hAnsi="Arial"/>
                <w:sz w:val="15"/>
                <w:szCs w:val="15"/>
                <w:color w:val="auto"/>
              </w:rPr>
              <w:t>$</w:t>
            </w: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7,596</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134,243</w:t>
            </w:r>
          </w:p>
        </w:tc>
        <w:tc>
          <w:tcPr>
            <w:tcW w:w="44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15,224</w:t>
            </w:r>
          </w:p>
        </w:tc>
        <w:tc>
          <w:tcPr>
            <w:tcW w:w="0" w:type="dxa"/>
            <w:vAlign w:val="bottom"/>
          </w:tcPr>
          <w:p>
            <w:pPr>
              <w:spacing w:after="0"/>
              <w:rPr>
                <w:sz w:val="1"/>
                <w:szCs w:val="1"/>
                <w:color w:val="auto"/>
              </w:rPr>
            </w:pPr>
          </w:p>
        </w:tc>
      </w:tr>
      <w:tr>
        <w:trPr>
          <w:trHeight w:val="203"/>
        </w:trPr>
        <w:tc>
          <w:tcPr>
            <w:tcW w:w="4880" w:type="dxa"/>
            <w:vAlign w:val="bottom"/>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300" w:type="dxa"/>
            <w:vAlign w:val="bottom"/>
          </w:tcPr>
          <w:p>
            <w:pPr>
              <w:spacing w:after="0"/>
              <w:rPr>
                <w:sz w:val="17"/>
                <w:szCs w:val="17"/>
                <w:color w:val="auto"/>
              </w:rPr>
            </w:pP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175,708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3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ind w:left="10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1,866</w:t>
            </w:r>
          </w:p>
        </w:tc>
        <w:tc>
          <w:tcPr>
            <w:tcW w:w="10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45,468</w:t>
            </w:r>
          </w:p>
        </w:tc>
        <w:tc>
          <w:tcPr>
            <w:tcW w:w="8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4,017</w:t>
            </w:r>
          </w:p>
        </w:tc>
        <w:tc>
          <w:tcPr>
            <w:tcW w:w="0" w:type="dxa"/>
            <w:vAlign w:val="bottom"/>
          </w:tcPr>
          <w:p>
            <w:pPr>
              <w:spacing w:after="0"/>
              <w:rPr>
                <w:sz w:val="1"/>
                <w:szCs w:val="1"/>
                <w:color w:val="auto"/>
              </w:rPr>
            </w:pPr>
          </w:p>
        </w:tc>
      </w:tr>
      <w:tr>
        <w:trPr>
          <w:trHeight w:val="139"/>
        </w:trPr>
        <w:tc>
          <w:tcPr>
            <w:tcW w:w="4880" w:type="dxa"/>
            <w:vAlign w:val="bottom"/>
          </w:tcPr>
          <w:p>
            <w:pPr>
              <w:ind w:left="20"/>
              <w:spacing w:after="0" w:line="139" w:lineRule="exact"/>
              <w:rPr>
                <w:sz w:val="20"/>
                <w:szCs w:val="20"/>
                <w:color w:val="auto"/>
              </w:rPr>
            </w:pPr>
            <w:r>
              <w:rPr>
                <w:rFonts w:ascii="Arial" w:cs="Arial" w:eastAsia="Arial" w:hAnsi="Arial"/>
                <w:sz w:val="15"/>
                <w:szCs w:val="15"/>
                <w:color w:val="auto"/>
              </w:rPr>
              <w:t>Income from discontinued operations before income tax and gain on</w:t>
            </w:r>
          </w:p>
        </w:tc>
        <w:tc>
          <w:tcPr>
            <w:tcW w:w="300" w:type="dxa"/>
            <w:vAlign w:val="bottom"/>
          </w:tcPr>
          <w:p>
            <w:pPr>
              <w:spacing w:after="0"/>
              <w:rPr>
                <w:sz w:val="12"/>
                <w:szCs w:val="12"/>
                <w:color w:val="auto"/>
              </w:rPr>
            </w:pPr>
          </w:p>
        </w:tc>
        <w:tc>
          <w:tcPr>
            <w:tcW w:w="1220" w:type="dxa"/>
            <w:vAlign w:val="bottom"/>
            <w:vMerge w:val="restart"/>
          </w:tcPr>
          <w:p>
            <w:pPr>
              <w:ind w:left="10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5"/>
                <w:szCs w:val="15"/>
                <w:color w:val="auto"/>
              </w:rPr>
              <w:t>9,462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5"/>
                <w:szCs w:val="15"/>
                <w:color w:val="auto"/>
              </w:rPr>
              <w:t>4,003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19,241</w:t>
            </w:r>
          </w:p>
        </w:tc>
        <w:tc>
          <w:tcPr>
            <w:tcW w:w="0" w:type="dxa"/>
            <w:vAlign w:val="bottom"/>
          </w:tcPr>
          <w:p>
            <w:pPr>
              <w:spacing w:after="0"/>
              <w:rPr>
                <w:sz w:val="1"/>
                <w:szCs w:val="1"/>
                <w:color w:val="auto"/>
              </w:rPr>
            </w:pPr>
          </w:p>
        </w:tc>
      </w:tr>
      <w:tr>
        <w:trPr>
          <w:trHeight w:val="199"/>
        </w:trPr>
        <w:tc>
          <w:tcPr>
            <w:tcW w:w="4880" w:type="dxa"/>
            <w:vAlign w:val="bottom"/>
          </w:tcPr>
          <w:p>
            <w:pPr>
              <w:ind w:left="20"/>
              <w:spacing w:after="0"/>
              <w:rPr>
                <w:sz w:val="20"/>
                <w:szCs w:val="20"/>
                <w:color w:val="auto"/>
              </w:rPr>
            </w:pPr>
            <w:r>
              <w:rPr>
                <w:rFonts w:ascii="Arial" w:cs="Arial" w:eastAsia="Arial" w:hAnsi="Arial"/>
                <w:sz w:val="15"/>
                <w:szCs w:val="15"/>
                <w:color w:val="auto"/>
              </w:rPr>
              <w:t>sale</w:t>
            </w: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00" w:type="dxa"/>
            <w:vAlign w:val="bottom"/>
            <w:shd w:val="clear" w:color="auto" w:fill="DBDBDB"/>
          </w:tcPr>
          <w:p>
            <w:pPr>
              <w:spacing w:after="0"/>
              <w:rPr>
                <w:sz w:val="18"/>
                <w:szCs w:val="18"/>
                <w:color w:val="auto"/>
              </w:rPr>
            </w:pPr>
          </w:p>
        </w:tc>
        <w:tc>
          <w:tcPr>
            <w:tcW w:w="1220" w:type="dxa"/>
            <w:vAlign w:val="bottom"/>
            <w:shd w:val="clear" w:color="auto" w:fill="DBDBDB"/>
          </w:tcPr>
          <w:p>
            <w:pPr>
              <w:ind w:left="10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232</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56</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203"/>
        </w:trPr>
        <w:tc>
          <w:tcPr>
            <w:tcW w:w="48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2,844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5,807</w:t>
            </w:r>
          </w:p>
        </w:tc>
        <w:tc>
          <w:tcPr>
            <w:tcW w:w="0" w:type="dxa"/>
            <w:vAlign w:val="bottom"/>
          </w:tcPr>
          <w:p>
            <w:pPr>
              <w:spacing w:after="0"/>
              <w:rPr>
                <w:sz w:val="1"/>
                <w:szCs w:val="1"/>
                <w:color w:val="auto"/>
              </w:rPr>
            </w:pPr>
          </w:p>
        </w:tc>
      </w:tr>
      <w:tr>
        <w:trPr>
          <w:trHeight w:val="209"/>
        </w:trPr>
        <w:tc>
          <w:tcPr>
            <w:tcW w:w="4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300" w:type="dxa"/>
            <w:vAlign w:val="bottom"/>
            <w:shd w:val="clear" w:color="auto" w:fill="DBDBDB"/>
          </w:tcPr>
          <w:p>
            <w:pPr>
              <w:spacing w:after="0"/>
              <w:rPr>
                <w:sz w:val="18"/>
                <w:szCs w:val="18"/>
                <w:color w:val="auto"/>
              </w:rPr>
            </w:pPr>
          </w:p>
        </w:tc>
        <w:tc>
          <w:tcPr>
            <w:tcW w:w="1220" w:type="dxa"/>
            <w:vAlign w:val="bottom"/>
            <w:shd w:val="clear" w:color="auto" w:fill="DBDBDB"/>
          </w:tcPr>
          <w:p>
            <w:pPr>
              <w:ind w:left="1000"/>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3"/>
        </w:trPr>
        <w:tc>
          <w:tcPr>
            <w:tcW w:w="488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261</w:t>
            </w:r>
          </w:p>
        </w:tc>
        <w:tc>
          <w:tcPr>
            <w:tcW w:w="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(844)</w:t>
            </w:r>
          </w:p>
        </w:tc>
        <w:tc>
          <w:tcPr>
            <w:tcW w:w="0" w:type="dxa"/>
            <w:vAlign w:val="bottom"/>
          </w:tcPr>
          <w:p>
            <w:pPr>
              <w:spacing w:after="0"/>
              <w:rPr>
                <w:sz w:val="1"/>
                <w:szCs w:val="1"/>
                <w:color w:val="auto"/>
              </w:rPr>
            </w:pPr>
          </w:p>
        </w:tc>
      </w:tr>
      <w:tr>
        <w:trPr>
          <w:trHeight w:val="199"/>
        </w:trPr>
        <w:tc>
          <w:tcPr>
            <w:tcW w:w="4880" w:type="dxa"/>
            <w:vAlign w:val="bottom"/>
          </w:tcPr>
          <w:p>
            <w:pPr>
              <w:ind w:left="20"/>
              <w:spacing w:after="0"/>
              <w:rPr>
                <w:sz w:val="20"/>
                <w:szCs w:val="20"/>
                <w:color w:val="auto"/>
              </w:rPr>
            </w:pPr>
            <w:r>
              <w:rPr>
                <w:rFonts w:ascii="Arial" w:cs="Arial" w:eastAsia="Arial" w:hAnsi="Arial"/>
                <w:sz w:val="15"/>
                <w:szCs w:val="15"/>
                <w:color w:val="auto"/>
              </w:rPr>
              <w:t>Adjusted EBITDA from discontinued operations</w:t>
            </w: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12,230</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4,124</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24,774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1D2758"/>
        </w:rPr>
        <w:t>NOTE 4 - Revenue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Geographic Areas</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three and six months ended June 30, 2023 and 2022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shd w:val="clear" w:color="auto" w:fill="1D2758"/>
          </w:tcPr>
          <w:p>
            <w:pPr>
              <w:spacing w:after="0"/>
              <w:rPr>
                <w:sz w:val="15"/>
                <w:szCs w:val="15"/>
                <w:color w:val="auto"/>
              </w:rPr>
            </w:pPr>
          </w:p>
        </w:tc>
        <w:tc>
          <w:tcPr>
            <w:tcW w:w="1060" w:type="dxa"/>
            <w:vAlign w:val="bottom"/>
            <w:shd w:val="clear" w:color="auto" w:fill="1D2758"/>
          </w:tcPr>
          <w:p>
            <w:pPr>
              <w:spacing w:after="0"/>
              <w:rPr>
                <w:sz w:val="15"/>
                <w:szCs w:val="15"/>
                <w:color w:val="auto"/>
              </w:rPr>
            </w:pPr>
          </w:p>
        </w:tc>
        <w:tc>
          <w:tcPr>
            <w:tcW w:w="1920" w:type="dxa"/>
            <w:vAlign w:val="bottom"/>
            <w:gridSpan w:val="3"/>
            <w:shd w:val="clear" w:color="auto" w:fill="1D2758"/>
          </w:tcPr>
          <w:p>
            <w:pPr>
              <w:jc w:val="right"/>
              <w:ind w:right="400"/>
              <w:spacing w:after="0"/>
              <w:rPr>
                <w:sz w:val="20"/>
                <w:szCs w:val="20"/>
                <w:color w:val="auto"/>
              </w:rPr>
            </w:pPr>
            <w:r>
              <w:rPr>
                <w:rFonts w:ascii="Arial" w:cs="Arial" w:eastAsia="Arial" w:hAnsi="Arial"/>
                <w:sz w:val="15"/>
                <w:szCs w:val="15"/>
                <w:b w:val="1"/>
                <w:bCs w:val="1"/>
                <w:color w:val="FFFFFF"/>
              </w:rPr>
              <w:t>Three Months Ended</w:t>
            </w:r>
          </w:p>
        </w:tc>
        <w:tc>
          <w:tcPr>
            <w:tcW w:w="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2140" w:type="dxa"/>
            <w:vAlign w:val="bottom"/>
            <w:gridSpan w:val="3"/>
            <w:shd w:val="clear" w:color="auto" w:fill="1D2758"/>
          </w:tcPr>
          <w:p>
            <w:pPr>
              <w:jc w:val="right"/>
              <w:ind w:right="60"/>
              <w:spacing w:after="0"/>
              <w:rPr>
                <w:sz w:val="20"/>
                <w:szCs w:val="20"/>
                <w:color w:val="auto"/>
              </w:rPr>
            </w:pPr>
            <w:r>
              <w:rPr>
                <w:rFonts w:ascii="Arial" w:cs="Arial" w:eastAsia="Arial" w:hAnsi="Arial"/>
                <w:sz w:val="15"/>
                <w:szCs w:val="15"/>
                <w:b w:val="1"/>
                <w:bCs w:val="1"/>
                <w:color w:val="FFFFFF"/>
              </w:rPr>
              <w:t>Six Months Ended</w:t>
            </w:r>
          </w:p>
        </w:tc>
        <w:tc>
          <w:tcPr>
            <w:tcW w:w="1100" w:type="dxa"/>
            <w:vAlign w:val="bottom"/>
            <w:shd w:val="clear" w:color="auto" w:fill="1D2758"/>
          </w:tcPr>
          <w:p>
            <w:pPr>
              <w:spacing w:after="0"/>
              <w:rPr>
                <w:sz w:val="15"/>
                <w:szCs w:val="15"/>
                <w:color w:val="auto"/>
              </w:rPr>
            </w:pPr>
          </w:p>
        </w:tc>
      </w:tr>
      <w:tr>
        <w:trPr>
          <w:trHeight w:val="206"/>
        </w:trPr>
        <w:tc>
          <w:tcPr>
            <w:tcW w:w="3840" w:type="dxa"/>
            <w:vAlign w:val="bottom"/>
            <w:shd w:val="clear" w:color="auto" w:fill="1D2758"/>
          </w:tcPr>
          <w:p>
            <w:pPr>
              <w:spacing w:after="0"/>
              <w:rPr>
                <w:sz w:val="17"/>
                <w:szCs w:val="17"/>
                <w:color w:val="auto"/>
              </w:rPr>
            </w:pPr>
          </w:p>
        </w:tc>
        <w:tc>
          <w:tcPr>
            <w:tcW w:w="106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ind w:right="840"/>
              <w:spacing w:after="0"/>
              <w:rPr>
                <w:sz w:val="20"/>
                <w:szCs w:val="20"/>
                <w:color w:val="auto"/>
              </w:rPr>
            </w:pPr>
            <w:r>
              <w:rPr>
                <w:rFonts w:ascii="Arial" w:cs="Arial" w:eastAsia="Arial" w:hAnsi="Arial"/>
                <w:sz w:val="15"/>
                <w:szCs w:val="15"/>
                <w:b w:val="1"/>
                <w:bCs w:val="1"/>
                <w:color w:val="FFFFFF"/>
              </w:rPr>
              <w:t>June 30,</w:t>
            </w:r>
          </w:p>
        </w:tc>
        <w:tc>
          <w:tcPr>
            <w:tcW w:w="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140" w:type="dxa"/>
            <w:vAlign w:val="bottom"/>
            <w:gridSpan w:val="3"/>
            <w:shd w:val="clear" w:color="auto" w:fill="1D2758"/>
          </w:tcPr>
          <w:p>
            <w:pPr>
              <w:jc w:val="right"/>
              <w:ind w:right="420"/>
              <w:spacing w:after="0"/>
              <w:rPr>
                <w:sz w:val="20"/>
                <w:szCs w:val="20"/>
                <w:color w:val="auto"/>
              </w:rPr>
            </w:pPr>
            <w:r>
              <w:rPr>
                <w:rFonts w:ascii="Arial" w:cs="Arial" w:eastAsia="Arial" w:hAnsi="Arial"/>
                <w:sz w:val="15"/>
                <w:szCs w:val="15"/>
                <w:b w:val="1"/>
                <w:bCs w:val="1"/>
                <w:color w:val="FFFFFF"/>
              </w:rPr>
              <w:t>June 30,</w:t>
            </w:r>
          </w:p>
        </w:tc>
        <w:tc>
          <w:tcPr>
            <w:tcW w:w="1100" w:type="dxa"/>
            <w:vAlign w:val="bottom"/>
            <w:shd w:val="clear" w:color="auto" w:fill="1D2758"/>
          </w:tcPr>
          <w:p>
            <w:pPr>
              <w:spacing w:after="0"/>
              <w:rPr>
                <w:sz w:val="17"/>
                <w:szCs w:val="17"/>
                <w:color w:val="auto"/>
              </w:rPr>
            </w:pPr>
          </w:p>
        </w:tc>
      </w:tr>
      <w:tr>
        <w:trPr>
          <w:trHeight w:val="206"/>
        </w:trPr>
        <w:tc>
          <w:tcPr>
            <w:tcW w:w="3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720" w:type="dxa"/>
            <w:vAlign w:val="bottom"/>
            <w:shd w:val="clear" w:color="auto" w:fill="1D2758"/>
          </w:tcPr>
          <w:p>
            <w:pPr>
              <w:spacing w:after="0"/>
              <w:rPr>
                <w:sz w:val="17"/>
                <w:szCs w:val="17"/>
                <w:color w:val="auto"/>
              </w:rPr>
            </w:pPr>
          </w:p>
        </w:tc>
        <w:tc>
          <w:tcPr>
            <w:tcW w:w="1200" w:type="dxa"/>
            <w:vAlign w:val="bottom"/>
            <w:gridSpan w:val="2"/>
            <w:shd w:val="clear" w:color="auto" w:fill="1D2758"/>
          </w:tcPr>
          <w:p>
            <w:pPr>
              <w:jc w:val="right"/>
              <w:ind w:right="40"/>
              <w:spacing w:after="0"/>
              <w:rPr>
                <w:sz w:val="20"/>
                <w:szCs w:val="20"/>
                <w:color w:val="auto"/>
              </w:rPr>
            </w:pPr>
            <w:r>
              <w:rPr>
                <w:rFonts w:ascii="Arial" w:cs="Arial" w:eastAsia="Arial" w:hAnsi="Arial"/>
                <w:sz w:val="15"/>
                <w:szCs w:val="15"/>
                <w:b w:val="1"/>
                <w:bCs w:val="1"/>
                <w:color w:val="FFFFFF"/>
              </w:rPr>
              <w:t>2022</w:t>
            </w:r>
          </w:p>
        </w:tc>
        <w:tc>
          <w:tcPr>
            <w:tcW w:w="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6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1060" w:type="dxa"/>
            <w:vAlign w:val="bottom"/>
            <w:shd w:val="clear" w:color="auto" w:fill="DBDBDB"/>
          </w:tcPr>
          <w:p>
            <w:pPr>
              <w:jc w:val="right"/>
              <w:ind w:right="88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545,333</w:t>
            </w:r>
          </w:p>
        </w:tc>
        <w:tc>
          <w:tcPr>
            <w:tcW w:w="1200" w:type="dxa"/>
            <w:vAlign w:val="bottom"/>
            <w:gridSpan w:val="2"/>
            <w:shd w:val="clear" w:color="auto" w:fill="DBDBDB"/>
          </w:tcPr>
          <w:p>
            <w:pPr>
              <w:jc w:val="right"/>
              <w:ind w:right="1000"/>
              <w:spacing w:after="0"/>
              <w:rPr>
                <w:sz w:val="20"/>
                <w:szCs w:val="20"/>
                <w:color w:val="auto"/>
              </w:rPr>
            </w:pPr>
            <w:r>
              <w:rPr>
                <w:rFonts w:ascii="Arial" w:cs="Arial" w:eastAsia="Arial" w:hAnsi="Arial"/>
                <w:sz w:val="15"/>
                <w:szCs w:val="15"/>
                <w:color w:val="auto"/>
              </w:rPr>
              <w:t>$</w:t>
            </w:r>
          </w:p>
        </w:tc>
        <w:tc>
          <w:tcPr>
            <w:tcW w:w="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485,286</w:t>
            </w:r>
          </w:p>
        </w:tc>
        <w:tc>
          <w:tcPr>
            <w:tcW w:w="500" w:type="dxa"/>
            <w:vAlign w:val="bottom"/>
            <w:gridSpan w:val="2"/>
            <w:shd w:val="clear" w:color="auto" w:fill="DBDBDB"/>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1,078,507</w:t>
            </w:r>
          </w:p>
        </w:tc>
        <w:tc>
          <w:tcPr>
            <w:tcW w:w="780" w:type="dxa"/>
            <w:vAlign w:val="bottom"/>
            <w:gridSpan w:val="2"/>
            <w:shd w:val="clear" w:color="auto" w:fill="DBDBDB"/>
          </w:tcPr>
          <w:p>
            <w:pPr>
              <w:jc w:val="right"/>
              <w:ind w:right="5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906,970</w:t>
            </w:r>
          </w:p>
        </w:tc>
      </w:tr>
      <w:tr>
        <w:trPr>
          <w:trHeight w:val="203"/>
        </w:trPr>
        <w:tc>
          <w:tcPr>
            <w:tcW w:w="3840" w:type="dxa"/>
            <w:vAlign w:val="bottom"/>
          </w:tcPr>
          <w:p>
            <w:pPr>
              <w:ind w:left="20"/>
              <w:spacing w:after="0"/>
              <w:rPr>
                <w:sz w:val="20"/>
                <w:szCs w:val="20"/>
                <w:color w:val="auto"/>
              </w:rPr>
            </w:pPr>
            <w:r>
              <w:rPr>
                <w:rFonts w:ascii="Arial" w:cs="Arial" w:eastAsia="Arial" w:hAnsi="Arial"/>
                <w:sz w:val="15"/>
                <w:szCs w:val="15"/>
                <w:color w:val="auto"/>
              </w:rPr>
              <w:t>Canada</w:t>
            </w:r>
          </w:p>
        </w:tc>
        <w:tc>
          <w:tcPr>
            <w:tcW w:w="10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30,839</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32,901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57,780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58,174</w:t>
            </w:r>
          </w:p>
        </w:tc>
      </w:tr>
      <w:tr>
        <w:trPr>
          <w:trHeight w:val="206"/>
        </w:trPr>
        <w:tc>
          <w:tcPr>
            <w:tcW w:w="3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106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5,917</w:t>
            </w:r>
          </w:p>
        </w:tc>
        <w:tc>
          <w:tcPr>
            <w:tcW w:w="100" w:type="dxa"/>
            <w:vAlign w:val="bottom"/>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4,703</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11,270</w:t>
            </w:r>
          </w:p>
        </w:tc>
        <w:tc>
          <w:tcPr>
            <w:tcW w:w="100" w:type="dxa"/>
            <w:vAlign w:val="bottom"/>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8,917</w:t>
            </w:r>
          </w:p>
        </w:tc>
      </w:tr>
      <w:tr>
        <w:trPr>
          <w:trHeight w:val="202"/>
        </w:trPr>
        <w:tc>
          <w:tcPr>
            <w:tcW w:w="3840" w:type="dxa"/>
            <w:vAlign w:val="bottom"/>
          </w:tcPr>
          <w:p>
            <w:pPr>
              <w:ind w:left="120"/>
              <w:spacing w:after="0"/>
              <w:rPr>
                <w:sz w:val="20"/>
                <w:szCs w:val="20"/>
                <w:color w:val="auto"/>
              </w:rPr>
            </w:pPr>
            <w:r>
              <w:rPr>
                <w:rFonts w:ascii="Arial" w:cs="Arial" w:eastAsia="Arial" w:hAnsi="Arial"/>
                <w:sz w:val="15"/>
                <w:szCs w:val="15"/>
                <w:color w:val="auto"/>
              </w:rPr>
              <w:t>Total revenues</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582,089</w:t>
            </w:r>
          </w:p>
        </w:tc>
        <w:tc>
          <w:tcPr>
            <w:tcW w:w="120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522,890</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1,147,557</w:t>
            </w:r>
          </w:p>
        </w:tc>
        <w:tc>
          <w:tcPr>
            <w:tcW w:w="78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974,061</w:t>
            </w:r>
          </w:p>
        </w:tc>
      </w:tr>
      <w:tr>
        <w:trPr>
          <w:trHeight w:val="20"/>
        </w:trPr>
        <w:tc>
          <w:tcPr>
            <w:tcW w:w="3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Major Product and Service Lines</w:t>
      </w:r>
    </w:p>
    <w:p>
      <w:pPr>
        <w:spacing w:after="0" w:line="8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modular space and portable storage units along with value-added products and services ("VAPS"), which include furniture, steps, ramps, basic appliances, internet connectivity devices, integral tool racking, heavy duty capacity shelving, workstations, electrical and lighting products and other items used by customers in connection with the Company's products. The Company also offers its lease customers a damage waiver program that protects them in case the leased unit is damaged.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4" w:name="page15"/>
    <w:bookmarkEnd w:id="14"/>
    <w:p>
      <w:pPr>
        <w:ind w:left="620"/>
        <w:spacing w:after="0"/>
        <w:rPr>
          <w:sz w:val="20"/>
          <w:szCs w:val="20"/>
          <w:color w:val="auto"/>
        </w:rPr>
      </w:pPr>
      <w:r>
        <w:rPr>
          <w:rFonts w:ascii="Arial" w:cs="Arial" w:eastAsia="Arial" w:hAnsi="Arial"/>
          <w:sz w:val="15"/>
          <w:szCs w:val="15"/>
          <w:color w:val="auto"/>
        </w:rPr>
        <w:t>The Company’s revenue by major product and service line for the three and six months ended June 30, 2023 and 2022 was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shd w:val="clear" w:color="auto" w:fill="1D2758"/>
          </w:tcPr>
          <w:p>
            <w:pPr>
              <w:spacing w:after="0"/>
              <w:rPr>
                <w:sz w:val="14"/>
                <w:szCs w:val="14"/>
                <w:color w:val="auto"/>
              </w:rPr>
            </w:pPr>
          </w:p>
        </w:tc>
        <w:tc>
          <w:tcPr>
            <w:tcW w:w="1060" w:type="dxa"/>
            <w:vAlign w:val="bottom"/>
            <w:shd w:val="clear" w:color="auto" w:fill="1D2758"/>
          </w:tcPr>
          <w:p>
            <w:pPr>
              <w:spacing w:after="0"/>
              <w:rPr>
                <w:sz w:val="14"/>
                <w:szCs w:val="14"/>
                <w:color w:val="auto"/>
              </w:rPr>
            </w:pPr>
          </w:p>
        </w:tc>
        <w:tc>
          <w:tcPr>
            <w:tcW w:w="1920" w:type="dxa"/>
            <w:vAlign w:val="bottom"/>
            <w:gridSpan w:val="3"/>
            <w:shd w:val="clear" w:color="auto" w:fill="1D2758"/>
          </w:tcPr>
          <w:p>
            <w:pPr>
              <w:jc w:val="right"/>
              <w:ind w:right="400"/>
              <w:spacing w:after="0"/>
              <w:rPr>
                <w:sz w:val="20"/>
                <w:szCs w:val="20"/>
                <w:color w:val="auto"/>
              </w:rPr>
            </w:pPr>
            <w:r>
              <w:rPr>
                <w:rFonts w:ascii="Arial" w:cs="Arial" w:eastAsia="Arial" w:hAnsi="Arial"/>
                <w:sz w:val="15"/>
                <w:szCs w:val="15"/>
                <w:b w:val="1"/>
                <w:bCs w:val="1"/>
                <w:color w:val="FFFFFF"/>
              </w:rPr>
              <w:t>Three Months Ended</w:t>
            </w:r>
          </w:p>
        </w:tc>
        <w:tc>
          <w:tcPr>
            <w:tcW w:w="6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140" w:type="dxa"/>
            <w:vAlign w:val="bottom"/>
            <w:gridSpan w:val="3"/>
            <w:shd w:val="clear" w:color="auto" w:fill="1D2758"/>
          </w:tcPr>
          <w:p>
            <w:pPr>
              <w:jc w:val="right"/>
              <w:ind w:right="60"/>
              <w:spacing w:after="0"/>
              <w:rPr>
                <w:sz w:val="20"/>
                <w:szCs w:val="20"/>
                <w:color w:val="auto"/>
              </w:rPr>
            </w:pPr>
            <w:r>
              <w:rPr>
                <w:rFonts w:ascii="Arial" w:cs="Arial" w:eastAsia="Arial" w:hAnsi="Arial"/>
                <w:sz w:val="15"/>
                <w:szCs w:val="15"/>
                <w:b w:val="1"/>
                <w:bCs w:val="1"/>
                <w:color w:val="FFFFFF"/>
              </w:rPr>
              <w:t>Six Months Ended</w:t>
            </w:r>
          </w:p>
        </w:tc>
        <w:tc>
          <w:tcPr>
            <w:tcW w:w="1100" w:type="dxa"/>
            <w:vAlign w:val="bottom"/>
            <w:shd w:val="clear" w:color="auto" w:fill="1D2758"/>
          </w:tcPr>
          <w:p>
            <w:pPr>
              <w:spacing w:after="0"/>
              <w:rPr>
                <w:sz w:val="14"/>
                <w:szCs w:val="14"/>
                <w:color w:val="auto"/>
              </w:rPr>
            </w:pPr>
          </w:p>
        </w:tc>
      </w:tr>
      <w:tr>
        <w:trPr>
          <w:trHeight w:val="206"/>
        </w:trPr>
        <w:tc>
          <w:tcPr>
            <w:tcW w:w="3840" w:type="dxa"/>
            <w:vAlign w:val="bottom"/>
            <w:shd w:val="clear" w:color="auto" w:fill="1D2758"/>
          </w:tcPr>
          <w:p>
            <w:pPr>
              <w:spacing w:after="0"/>
              <w:rPr>
                <w:sz w:val="17"/>
                <w:szCs w:val="17"/>
                <w:color w:val="auto"/>
              </w:rPr>
            </w:pPr>
          </w:p>
        </w:tc>
        <w:tc>
          <w:tcPr>
            <w:tcW w:w="106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ind w:right="840"/>
              <w:spacing w:after="0"/>
              <w:rPr>
                <w:sz w:val="20"/>
                <w:szCs w:val="20"/>
                <w:color w:val="auto"/>
              </w:rPr>
            </w:pPr>
            <w:r>
              <w:rPr>
                <w:rFonts w:ascii="Arial" w:cs="Arial" w:eastAsia="Arial" w:hAnsi="Arial"/>
                <w:sz w:val="15"/>
                <w:szCs w:val="15"/>
                <w:b w:val="1"/>
                <w:bCs w:val="1"/>
                <w:color w:val="FFFFFF"/>
              </w:rPr>
              <w:t>June 30,</w:t>
            </w:r>
          </w:p>
        </w:tc>
        <w:tc>
          <w:tcPr>
            <w:tcW w:w="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140" w:type="dxa"/>
            <w:vAlign w:val="bottom"/>
            <w:gridSpan w:val="3"/>
            <w:shd w:val="clear" w:color="auto" w:fill="1D2758"/>
          </w:tcPr>
          <w:p>
            <w:pPr>
              <w:jc w:val="right"/>
              <w:ind w:right="420"/>
              <w:spacing w:after="0"/>
              <w:rPr>
                <w:sz w:val="20"/>
                <w:szCs w:val="20"/>
                <w:color w:val="auto"/>
              </w:rPr>
            </w:pPr>
            <w:r>
              <w:rPr>
                <w:rFonts w:ascii="Arial" w:cs="Arial" w:eastAsia="Arial" w:hAnsi="Arial"/>
                <w:sz w:val="15"/>
                <w:szCs w:val="15"/>
                <w:b w:val="1"/>
                <w:bCs w:val="1"/>
                <w:color w:val="FFFFFF"/>
              </w:rPr>
              <w:t>June 30,</w:t>
            </w:r>
          </w:p>
        </w:tc>
        <w:tc>
          <w:tcPr>
            <w:tcW w:w="1100" w:type="dxa"/>
            <w:vAlign w:val="bottom"/>
            <w:shd w:val="clear" w:color="auto" w:fill="1D2758"/>
          </w:tcPr>
          <w:p>
            <w:pPr>
              <w:spacing w:after="0"/>
              <w:rPr>
                <w:sz w:val="17"/>
                <w:szCs w:val="17"/>
                <w:color w:val="auto"/>
              </w:rPr>
            </w:pPr>
          </w:p>
        </w:tc>
      </w:tr>
      <w:tr>
        <w:trPr>
          <w:trHeight w:val="206"/>
        </w:trPr>
        <w:tc>
          <w:tcPr>
            <w:tcW w:w="38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720" w:type="dxa"/>
            <w:vAlign w:val="bottom"/>
            <w:shd w:val="clear" w:color="auto" w:fill="1D2758"/>
          </w:tcPr>
          <w:p>
            <w:pPr>
              <w:spacing w:after="0"/>
              <w:rPr>
                <w:sz w:val="17"/>
                <w:szCs w:val="17"/>
                <w:color w:val="auto"/>
              </w:rPr>
            </w:pPr>
          </w:p>
        </w:tc>
        <w:tc>
          <w:tcPr>
            <w:tcW w:w="1200" w:type="dxa"/>
            <w:vAlign w:val="bottom"/>
            <w:gridSpan w:val="2"/>
            <w:shd w:val="clear" w:color="auto" w:fill="1D2758"/>
          </w:tcPr>
          <w:p>
            <w:pPr>
              <w:jc w:val="right"/>
              <w:ind w:right="40"/>
              <w:spacing w:after="0"/>
              <w:rPr>
                <w:sz w:val="20"/>
                <w:szCs w:val="20"/>
                <w:color w:val="auto"/>
              </w:rPr>
            </w:pPr>
            <w:r>
              <w:rPr>
                <w:rFonts w:ascii="Arial" w:cs="Arial" w:eastAsia="Arial" w:hAnsi="Arial"/>
                <w:sz w:val="15"/>
                <w:szCs w:val="15"/>
                <w:b w:val="1"/>
                <w:bCs w:val="1"/>
                <w:color w:val="FFFFFF"/>
              </w:rPr>
              <w:t>2022</w:t>
            </w:r>
          </w:p>
        </w:tc>
        <w:tc>
          <w:tcPr>
            <w:tcW w:w="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6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384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p>
        </w:tc>
        <w:tc>
          <w:tcPr>
            <w:tcW w:w="1060" w:type="dxa"/>
            <w:vAlign w:val="bottom"/>
            <w:shd w:val="clear" w:color="auto" w:fill="DDDDDD"/>
          </w:tcPr>
          <w:p>
            <w:pPr>
              <w:jc w:val="right"/>
              <w:ind w:right="88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236,625</w:t>
            </w:r>
          </w:p>
        </w:tc>
        <w:tc>
          <w:tcPr>
            <w:tcW w:w="1200" w:type="dxa"/>
            <w:vAlign w:val="bottom"/>
            <w:gridSpan w:val="2"/>
            <w:shd w:val="clear" w:color="auto" w:fill="DDDDDD"/>
          </w:tcPr>
          <w:p>
            <w:pPr>
              <w:jc w:val="right"/>
              <w:ind w:right="1000"/>
              <w:spacing w:after="0"/>
              <w:rPr>
                <w:sz w:val="20"/>
                <w:szCs w:val="20"/>
                <w:color w:val="auto"/>
              </w:rPr>
            </w:pPr>
            <w:r>
              <w:rPr>
                <w:rFonts w:ascii="Arial" w:cs="Arial" w:eastAsia="Arial" w:hAnsi="Arial"/>
                <w:sz w:val="15"/>
                <w:szCs w:val="15"/>
                <w:color w:val="auto"/>
              </w:rPr>
              <w:t>$</w:t>
            </w:r>
          </w:p>
        </w:tc>
        <w:tc>
          <w:tcPr>
            <w:tcW w:w="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204,667</w:t>
            </w:r>
          </w:p>
        </w:tc>
        <w:tc>
          <w:tcPr>
            <w:tcW w:w="500" w:type="dxa"/>
            <w:vAlign w:val="bottom"/>
            <w:gridSpan w:val="2"/>
            <w:shd w:val="clear" w:color="auto" w:fill="DDDDDD"/>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461,095</w:t>
            </w:r>
          </w:p>
        </w:tc>
        <w:tc>
          <w:tcPr>
            <w:tcW w:w="780" w:type="dxa"/>
            <w:vAlign w:val="bottom"/>
            <w:gridSpan w:val="2"/>
            <w:shd w:val="clear" w:color="auto" w:fill="DDDDDD"/>
          </w:tcPr>
          <w:p>
            <w:pPr>
              <w:jc w:val="right"/>
              <w:ind w:right="5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395,056</w:t>
            </w:r>
          </w:p>
        </w:tc>
      </w:tr>
      <w:tr>
        <w:trPr>
          <w:trHeight w:val="203"/>
        </w:trPr>
        <w:tc>
          <w:tcPr>
            <w:tcW w:w="384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10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93,462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81,186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190,777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151,890</w:t>
            </w:r>
          </w:p>
        </w:tc>
      </w:tr>
      <w:tr>
        <w:trPr>
          <w:trHeight w:val="209"/>
        </w:trPr>
        <w:tc>
          <w:tcPr>
            <w:tcW w:w="3840" w:type="dxa"/>
            <w:vAlign w:val="bottom"/>
            <w:shd w:val="clear" w:color="auto" w:fill="DDDDDD"/>
          </w:tcPr>
          <w:p>
            <w:pPr>
              <w:ind w:left="20"/>
              <w:spacing w:after="0" w:line="209"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(a)</w:t>
            </w:r>
          </w:p>
        </w:tc>
        <w:tc>
          <w:tcPr>
            <w:tcW w:w="1060" w:type="dxa"/>
            <w:vAlign w:val="bottom"/>
            <w:shd w:val="clear" w:color="auto" w:fill="DDDDDD"/>
          </w:tcPr>
          <w:p>
            <w:pPr>
              <w:spacing w:after="0"/>
              <w:rPr>
                <w:sz w:val="18"/>
                <w:szCs w:val="18"/>
                <w:color w:val="auto"/>
              </w:rPr>
            </w:pPr>
          </w:p>
        </w:tc>
        <w:tc>
          <w:tcPr>
            <w:tcW w:w="7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97,698</w:t>
            </w:r>
          </w:p>
        </w:tc>
        <w:tc>
          <w:tcPr>
            <w:tcW w:w="10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81,855</w:t>
            </w:r>
          </w:p>
        </w:tc>
        <w:tc>
          <w:tcPr>
            <w:tcW w:w="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191,825</w:t>
            </w:r>
          </w:p>
        </w:tc>
        <w:tc>
          <w:tcPr>
            <w:tcW w:w="100" w:type="dxa"/>
            <w:vAlign w:val="bottom"/>
            <w:shd w:val="clear" w:color="auto" w:fill="DDDDDD"/>
          </w:tcPr>
          <w:p>
            <w:pPr>
              <w:spacing w:after="0"/>
              <w:rPr>
                <w:sz w:val="18"/>
                <w:szCs w:val="18"/>
                <w:color w:val="auto"/>
              </w:rPr>
            </w:pPr>
          </w:p>
        </w:tc>
        <w:tc>
          <w:tcPr>
            <w:tcW w:w="68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157,160</w:t>
            </w:r>
          </w:p>
        </w:tc>
      </w:tr>
      <w:tr>
        <w:trPr>
          <w:trHeight w:val="206"/>
        </w:trPr>
        <w:tc>
          <w:tcPr>
            <w:tcW w:w="3840" w:type="dxa"/>
            <w:vAlign w:val="bottom"/>
          </w:tcPr>
          <w:p>
            <w:pPr>
              <w:ind w:left="20"/>
              <w:spacing w:after="0" w:line="20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w:t>
            </w: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21,535</w:t>
            </w: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18,678</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45,574</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33,839</w:t>
            </w:r>
          </w:p>
        </w:tc>
      </w:tr>
      <w:tr>
        <w:trPr>
          <w:trHeight w:val="199"/>
        </w:trPr>
        <w:tc>
          <w:tcPr>
            <w:tcW w:w="38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Leasing revenue</w:t>
            </w:r>
          </w:p>
        </w:tc>
        <w:tc>
          <w:tcPr>
            <w:tcW w:w="1060" w:type="dxa"/>
            <w:vAlign w:val="bottom"/>
            <w:shd w:val="clear" w:color="auto" w:fill="DDDDDD"/>
          </w:tcPr>
          <w:p>
            <w:pPr>
              <w:spacing w:after="0"/>
              <w:rPr>
                <w:sz w:val="17"/>
                <w:szCs w:val="17"/>
                <w:color w:val="auto"/>
              </w:rPr>
            </w:pPr>
          </w:p>
        </w:tc>
        <w:tc>
          <w:tcPr>
            <w:tcW w:w="7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449,320</w:t>
            </w:r>
          </w:p>
        </w:tc>
        <w:tc>
          <w:tcPr>
            <w:tcW w:w="10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386,386</w:t>
            </w:r>
          </w:p>
        </w:tc>
        <w:tc>
          <w:tcPr>
            <w:tcW w:w="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889,271</w:t>
            </w:r>
          </w:p>
        </w:tc>
        <w:tc>
          <w:tcPr>
            <w:tcW w:w="100" w:type="dxa"/>
            <w:vAlign w:val="bottom"/>
            <w:shd w:val="clear" w:color="auto" w:fill="DDDDDD"/>
          </w:tcPr>
          <w:p>
            <w:pPr>
              <w:spacing w:after="0"/>
              <w:rPr>
                <w:sz w:val="17"/>
                <w:szCs w:val="17"/>
                <w:color w:val="auto"/>
              </w:rPr>
            </w:pPr>
          </w:p>
        </w:tc>
        <w:tc>
          <w:tcPr>
            <w:tcW w:w="680" w:type="dxa"/>
            <w:vAlign w:val="bottom"/>
            <w:shd w:val="clear" w:color="auto" w:fill="DDDDDD"/>
          </w:tcPr>
          <w:p>
            <w:pPr>
              <w:spacing w:after="0"/>
              <w:rPr>
                <w:sz w:val="17"/>
                <w:szCs w:val="17"/>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737,945</w:t>
            </w:r>
          </w:p>
        </w:tc>
      </w:tr>
      <w:tr>
        <w:trPr>
          <w:trHeight w:val="206"/>
        </w:trPr>
        <w:tc>
          <w:tcPr>
            <w:tcW w:w="3840" w:type="dxa"/>
            <w:vAlign w:val="bottom"/>
          </w:tcPr>
          <w:p>
            <w:pPr>
              <w:ind w:left="20"/>
              <w:spacing w:after="0"/>
              <w:rPr>
                <w:sz w:val="20"/>
                <w:szCs w:val="20"/>
                <w:color w:val="auto"/>
              </w:rPr>
            </w:pPr>
            <w:r>
              <w:rPr>
                <w:rFonts w:ascii="Arial" w:cs="Arial" w:eastAsia="Arial" w:hAnsi="Arial"/>
                <w:sz w:val="15"/>
                <w:szCs w:val="15"/>
                <w:color w:val="auto"/>
              </w:rPr>
              <w:t>Delivery and installation revenue</w:t>
            </w: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112,754</w:t>
            </w: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110,841</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219,384</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196,380</w:t>
            </w:r>
          </w:p>
        </w:tc>
      </w:tr>
      <w:tr>
        <w:trPr>
          <w:trHeight w:val="199"/>
        </w:trPr>
        <w:tc>
          <w:tcPr>
            <w:tcW w:w="38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Total leasing and services revenue</w:t>
            </w:r>
          </w:p>
        </w:tc>
        <w:tc>
          <w:tcPr>
            <w:tcW w:w="1060" w:type="dxa"/>
            <w:vAlign w:val="bottom"/>
            <w:shd w:val="clear" w:color="auto" w:fill="DDDDDD"/>
          </w:tcPr>
          <w:p>
            <w:pPr>
              <w:spacing w:after="0"/>
              <w:rPr>
                <w:sz w:val="17"/>
                <w:szCs w:val="17"/>
                <w:color w:val="auto"/>
              </w:rPr>
            </w:pPr>
          </w:p>
        </w:tc>
        <w:tc>
          <w:tcPr>
            <w:tcW w:w="7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562,074</w:t>
            </w:r>
          </w:p>
        </w:tc>
        <w:tc>
          <w:tcPr>
            <w:tcW w:w="10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497,227</w:t>
            </w:r>
          </w:p>
        </w:tc>
        <w:tc>
          <w:tcPr>
            <w:tcW w:w="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1,108,655</w:t>
            </w:r>
          </w:p>
        </w:tc>
        <w:tc>
          <w:tcPr>
            <w:tcW w:w="100" w:type="dxa"/>
            <w:vAlign w:val="bottom"/>
            <w:shd w:val="clear" w:color="auto" w:fill="DDDDDD"/>
          </w:tcPr>
          <w:p>
            <w:pPr>
              <w:spacing w:after="0"/>
              <w:rPr>
                <w:sz w:val="17"/>
                <w:szCs w:val="17"/>
                <w:color w:val="auto"/>
              </w:rPr>
            </w:pPr>
          </w:p>
        </w:tc>
        <w:tc>
          <w:tcPr>
            <w:tcW w:w="680" w:type="dxa"/>
            <w:vAlign w:val="bottom"/>
            <w:shd w:val="clear" w:color="auto" w:fill="DDDDDD"/>
          </w:tcPr>
          <w:p>
            <w:pPr>
              <w:spacing w:after="0"/>
              <w:rPr>
                <w:sz w:val="17"/>
                <w:szCs w:val="17"/>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934,325</w:t>
            </w:r>
          </w:p>
        </w:tc>
      </w:tr>
      <w:tr>
        <w:trPr>
          <w:trHeight w:val="203"/>
        </w:trPr>
        <w:tc>
          <w:tcPr>
            <w:tcW w:w="384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106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9,004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9,927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19,661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15,714</w:t>
            </w:r>
          </w:p>
        </w:tc>
      </w:tr>
      <w:tr>
        <w:trPr>
          <w:trHeight w:val="209"/>
        </w:trPr>
        <w:tc>
          <w:tcPr>
            <w:tcW w:w="38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Rental unit sales revenue</w:t>
            </w:r>
          </w:p>
        </w:tc>
        <w:tc>
          <w:tcPr>
            <w:tcW w:w="106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11,011</w:t>
            </w:r>
          </w:p>
        </w:tc>
        <w:tc>
          <w:tcPr>
            <w:tcW w:w="100" w:type="dxa"/>
            <w:vAlign w:val="bottom"/>
            <w:tcBorders>
              <w:bottom w:val="single" w:sz="8" w:color="DDDDDD"/>
            </w:tcBorders>
            <w:shd w:val="clear" w:color="auto" w:fill="DDDDDD"/>
          </w:tcPr>
          <w:p>
            <w:pPr>
              <w:spacing w:after="0"/>
              <w:rPr>
                <w:sz w:val="18"/>
                <w:szCs w:val="18"/>
                <w:color w:val="auto"/>
              </w:rPr>
            </w:pPr>
          </w:p>
        </w:tc>
        <w:tc>
          <w:tcPr>
            <w:tcW w:w="1100" w:type="dxa"/>
            <w:vAlign w:val="bottom"/>
            <w:tcBorders>
              <w:bottom w:val="single" w:sz="8" w:color="auto"/>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15,736</w:t>
            </w:r>
          </w:p>
        </w:tc>
        <w:tc>
          <w:tcPr>
            <w:tcW w:w="80" w:type="dxa"/>
            <w:vAlign w:val="bottom"/>
            <w:tcBorders>
              <w:bottom w:val="single" w:sz="8" w:color="DDDDDD"/>
            </w:tcBorders>
            <w:shd w:val="clear" w:color="auto" w:fill="DDDDDD"/>
          </w:tcPr>
          <w:p>
            <w:pPr>
              <w:spacing w:after="0"/>
              <w:rPr>
                <w:sz w:val="18"/>
                <w:szCs w:val="18"/>
                <w:color w:val="auto"/>
              </w:rPr>
            </w:pPr>
          </w:p>
        </w:tc>
        <w:tc>
          <w:tcPr>
            <w:tcW w:w="420" w:type="dxa"/>
            <w:vAlign w:val="bottom"/>
            <w:tcBorders>
              <w:bottom w:val="single" w:sz="8" w:color="auto"/>
            </w:tcBorders>
            <w:shd w:val="clear" w:color="auto" w:fill="DDDDDD"/>
          </w:tcPr>
          <w:p>
            <w:pPr>
              <w:spacing w:after="0"/>
              <w:rPr>
                <w:sz w:val="18"/>
                <w:szCs w:val="18"/>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19,241</w:t>
            </w:r>
          </w:p>
        </w:tc>
        <w:tc>
          <w:tcPr>
            <w:tcW w:w="10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spacing w:after="0"/>
              <w:rPr>
                <w:sz w:val="18"/>
                <w:szCs w:val="18"/>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24,022</w:t>
            </w:r>
          </w:p>
        </w:tc>
      </w:tr>
      <w:tr>
        <w:trPr>
          <w:trHeight w:val="199"/>
        </w:trPr>
        <w:tc>
          <w:tcPr>
            <w:tcW w:w="384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582,089</w:t>
            </w:r>
          </w:p>
        </w:tc>
        <w:tc>
          <w:tcPr>
            <w:tcW w:w="120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522,890</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1,147,557</w:t>
            </w:r>
          </w:p>
        </w:tc>
        <w:tc>
          <w:tcPr>
            <w:tcW w:w="78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974,061</w:t>
            </w:r>
          </w:p>
        </w:tc>
      </w:tr>
      <w:tr>
        <w:trPr>
          <w:trHeight w:val="20"/>
        </w:trPr>
        <w:tc>
          <w:tcPr>
            <w:tcW w:w="3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Includes $6.1 million and $5.6 million of service revenue for the three months ended June 30, 2023 and 2022, respectively, and $11.7 million and $11.5 million of service revenue</w:t>
      </w:r>
    </w:p>
    <w:p>
      <w:pPr>
        <w:spacing w:after="0" w:line="2" w:lineRule="exact"/>
        <w:rPr>
          <w:sz w:val="20"/>
          <w:szCs w:val="20"/>
          <w:color w:val="auto"/>
        </w:rPr>
      </w:pPr>
    </w:p>
    <w:p>
      <w:pPr>
        <w:ind w:left="480" w:hanging="460"/>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six months ended June 30, 2023 and 2022, respectively.</w:t>
      </w:r>
    </w:p>
    <w:p>
      <w:pPr>
        <w:spacing w:after="0" w:line="9" w:lineRule="exact"/>
        <w:rPr>
          <w:rFonts w:ascii="Arial" w:cs="Arial" w:eastAsia="Arial" w:hAnsi="Arial"/>
          <w:sz w:val="14"/>
          <w:szCs w:val="14"/>
          <w:color w:val="auto"/>
        </w:rPr>
      </w:pPr>
    </w:p>
    <w:p>
      <w:pPr>
        <w:ind w:left="480" w:hanging="460"/>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68"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majority of revenue (76% for both the three and six months ended June 30, 2023, and 73% and 75% for the three and six months ended June 30, 2022, respectively) was generated by rental income subject to the guidance of ASU 2018-11, Leases (Topic 842</w:t>
      </w:r>
      <w:r>
        <w:rPr>
          <w:rFonts w:ascii="Arial" w:cs="Arial" w:eastAsia="Arial" w:hAnsi="Arial"/>
          <w:sz w:val="15"/>
          <w:szCs w:val="15"/>
          <w:i w:val="1"/>
          <w:iCs w:val="1"/>
          <w:color w:val="auto"/>
        </w:rPr>
        <w:t>)</w:t>
      </w:r>
      <w:r>
        <w:rPr>
          <w:rFonts w:ascii="Arial" w:cs="Arial" w:eastAsia="Arial" w:hAnsi="Arial"/>
          <w:sz w:val="15"/>
          <w:szCs w:val="15"/>
          <w:color w:val="auto"/>
        </w:rPr>
        <w:t xml:space="preserve"> ("ASC 842"). The remaining revenue was generated by performance obligations in contracts with customers for services or sale of units subject to the guidance in ASC 606.</w:t>
      </w:r>
    </w:p>
    <w:p>
      <w:pPr>
        <w:spacing w:after="0"/>
        <w:rPr>
          <w:sz w:val="20"/>
          <w:szCs w:val="20"/>
          <w:color w:val="auto"/>
        </w:rPr>
      </w:pPr>
      <w:r>
        <w:rPr>
          <w:rFonts w:ascii="Arial" w:cs="Arial" w:eastAsia="Arial" w:hAnsi="Arial"/>
          <w:sz w:val="17"/>
          <w:szCs w:val="17"/>
          <w:b w:val="1"/>
          <w:bCs w:val="1"/>
          <w:color w:val="auto"/>
        </w:rPr>
        <w:t>Receivables and Credit Losses</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exposed to credit losses from trade receivables and manages credit risk at the customer level. Because the same customers generate the revenues that are accounted for under both ASC 606 and ASC 842, the discussions below on credit risk and the Company's allowance for credit losses address the Company's total revenues. Concentration of credit risk with respect to the Company's receivables is limited because of a large number of geographically diverse customers who operate in a variety of end user markets.</w:t>
      </w:r>
    </w:p>
    <w:p>
      <w:pPr>
        <w:spacing w:after="0" w:line="2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assesses each customer’s ability to pay for the products it leases or sells by conducting a credit review that considers expected billing exposure,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1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contract terms and due dates and may employ collection agencies and legal counsel to pursue recovery of defaulted receivables. The allowance for credit losses reflects the estimate of the amount of receivables that the Company will be unable to collect based on historical collection experience and, as applicable, current conditions and reasonable and supportable forecasts that affect collectability. The Company's estimate reflects changing circumstances, including changes in the economy or in the particular circumstances of individual customers. Accordingly, the Company may be required to increase or decrease its allowance.</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21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6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2020" w:type="dxa"/>
            <w:vAlign w:val="bottom"/>
            <w:gridSpan w:val="3"/>
            <w:shd w:val="clear" w:color="auto" w:fill="1D2758"/>
          </w:tcPr>
          <w:p>
            <w:pPr>
              <w:jc w:val="right"/>
              <w:ind w:right="20"/>
              <w:spacing w:after="0"/>
              <w:rPr>
                <w:sz w:val="20"/>
                <w:szCs w:val="20"/>
                <w:color w:val="auto"/>
              </w:rPr>
            </w:pPr>
            <w:r>
              <w:rPr>
                <w:rFonts w:ascii="Arial" w:cs="Arial" w:eastAsia="Arial" w:hAnsi="Arial"/>
                <w:sz w:val="15"/>
                <w:szCs w:val="15"/>
                <w:b w:val="1"/>
                <w:bCs w:val="1"/>
                <w:color w:val="FFFFFF"/>
              </w:rPr>
              <w:t>Six Months Ended</w:t>
            </w:r>
          </w:p>
        </w:tc>
        <w:tc>
          <w:tcPr>
            <w:tcW w:w="1020" w:type="dxa"/>
            <w:vAlign w:val="bottom"/>
            <w:shd w:val="clear" w:color="auto" w:fill="1D2758"/>
          </w:tcPr>
          <w:p>
            <w:pPr>
              <w:spacing w:after="0"/>
              <w:rPr>
                <w:sz w:val="15"/>
                <w:szCs w:val="15"/>
                <w:color w:val="auto"/>
              </w:rPr>
            </w:pPr>
          </w:p>
        </w:tc>
      </w:tr>
      <w:tr>
        <w:trPr>
          <w:trHeight w:val="206"/>
        </w:trPr>
        <w:tc>
          <w:tcPr>
            <w:tcW w:w="406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180" w:type="dxa"/>
            <w:vAlign w:val="bottom"/>
            <w:gridSpan w:val="3"/>
            <w:shd w:val="clear" w:color="auto" w:fill="1D2758"/>
          </w:tcPr>
          <w:p>
            <w:pPr>
              <w:jc w:val="right"/>
              <w:ind w:right="460"/>
              <w:spacing w:after="0"/>
              <w:rPr>
                <w:sz w:val="20"/>
                <w:szCs w:val="20"/>
                <w:color w:val="auto"/>
              </w:rPr>
            </w:pPr>
            <w:r>
              <w:rPr>
                <w:rFonts w:ascii="Arial" w:cs="Arial" w:eastAsia="Arial" w:hAnsi="Arial"/>
                <w:sz w:val="15"/>
                <w:szCs w:val="15"/>
                <w:b w:val="1"/>
                <w:bCs w:val="1"/>
                <w:color w:val="FFFFFF"/>
              </w:rPr>
              <w:t>June 30,</w:t>
            </w:r>
          </w:p>
        </w:tc>
        <w:tc>
          <w:tcPr>
            <w:tcW w:w="1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020" w:type="dxa"/>
            <w:vAlign w:val="bottom"/>
            <w:gridSpan w:val="3"/>
            <w:shd w:val="clear" w:color="auto" w:fill="1D2758"/>
          </w:tcPr>
          <w:p>
            <w:pPr>
              <w:jc w:val="right"/>
              <w:ind w:right="380"/>
              <w:spacing w:after="0"/>
              <w:rPr>
                <w:sz w:val="20"/>
                <w:szCs w:val="20"/>
                <w:color w:val="auto"/>
              </w:rPr>
            </w:pPr>
            <w:r>
              <w:rPr>
                <w:rFonts w:ascii="Arial" w:cs="Arial" w:eastAsia="Arial" w:hAnsi="Arial"/>
                <w:sz w:val="15"/>
                <w:szCs w:val="15"/>
                <w:b w:val="1"/>
                <w:bCs w:val="1"/>
                <w:color w:val="FFFFFF"/>
              </w:rPr>
              <w:t>June 30,</w:t>
            </w:r>
          </w:p>
        </w:tc>
        <w:tc>
          <w:tcPr>
            <w:tcW w:w="1020" w:type="dxa"/>
            <w:vAlign w:val="bottom"/>
            <w:shd w:val="clear" w:color="auto" w:fill="1D2758"/>
          </w:tcPr>
          <w:p>
            <w:pPr>
              <w:spacing w:after="0"/>
              <w:rPr>
                <w:sz w:val="17"/>
                <w:szCs w:val="17"/>
                <w:color w:val="auto"/>
              </w:rPr>
            </w:pPr>
          </w:p>
        </w:tc>
      </w:tr>
      <w:tr>
        <w:trPr>
          <w:trHeight w:val="206"/>
        </w:trPr>
        <w:tc>
          <w:tcPr>
            <w:tcW w:w="40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w w:val="95"/>
              </w:rPr>
              <w:t>2022</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640" w:type="dxa"/>
            <w:vAlign w:val="bottom"/>
            <w:shd w:val="clear" w:color="auto" w:fill="1D2758"/>
          </w:tcPr>
          <w:p>
            <w:pPr>
              <w:spacing w:after="0"/>
              <w:rPr>
                <w:sz w:val="17"/>
                <w:szCs w:val="17"/>
                <w:color w:val="auto"/>
              </w:rPr>
            </w:pPr>
          </w:p>
        </w:tc>
        <w:tc>
          <w:tcPr>
            <w:tcW w:w="102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61,402</w:t>
            </w:r>
          </w:p>
        </w:tc>
        <w:tc>
          <w:tcPr>
            <w:tcW w:w="820" w:type="dxa"/>
            <w:vAlign w:val="bottom"/>
            <w:gridSpan w:val="2"/>
            <w:shd w:val="clear" w:color="auto" w:fill="DDDDDD"/>
          </w:tcPr>
          <w:p>
            <w:pPr>
              <w:jc w:val="right"/>
              <w:ind w:right="6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47,124</w:t>
            </w:r>
          </w:p>
        </w:tc>
        <w:tc>
          <w:tcPr>
            <w:tcW w:w="480" w:type="dxa"/>
            <w:vAlign w:val="bottom"/>
            <w:gridSpan w:val="2"/>
            <w:shd w:val="clear" w:color="auto" w:fill="DDDDDD"/>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57,048</w:t>
            </w:r>
          </w:p>
        </w:tc>
        <w:tc>
          <w:tcPr>
            <w:tcW w:w="740" w:type="dxa"/>
            <w:vAlign w:val="bottom"/>
            <w:gridSpan w:val="2"/>
            <w:shd w:val="clear" w:color="auto" w:fill="DDDDDD"/>
          </w:tcPr>
          <w:p>
            <w:pPr>
              <w:jc w:val="right"/>
              <w:ind w:right="5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45,773</w:t>
            </w: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13,390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9,593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22,193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17,904</w:t>
            </w:r>
          </w:p>
        </w:tc>
      </w:tr>
      <w:tr>
        <w:trPr>
          <w:trHeight w:val="209"/>
        </w:trPr>
        <w:tc>
          <w:tcPr>
            <w:tcW w:w="4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w:t>
            </w:r>
          </w:p>
        </w:tc>
        <w:tc>
          <w:tcPr>
            <w:tcW w:w="420" w:type="dxa"/>
            <w:vAlign w:val="bottom"/>
            <w:shd w:val="clear" w:color="auto" w:fill="DDDDDD"/>
          </w:tcPr>
          <w:p>
            <w:pPr>
              <w:spacing w:after="0"/>
              <w:rPr>
                <w:sz w:val="18"/>
                <w:szCs w:val="18"/>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(6,969)</w:t>
            </w:r>
          </w:p>
        </w:tc>
        <w:tc>
          <w:tcPr>
            <w:tcW w:w="10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(5,385)</w:t>
            </w:r>
          </w:p>
        </w:tc>
        <w:tc>
          <w:tcPr>
            <w:tcW w:w="10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(11,506)</w:t>
            </w: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(12,395)</w:t>
            </w:r>
          </w:p>
        </w:tc>
      </w:tr>
      <w:tr>
        <w:trPr>
          <w:trHeight w:val="203"/>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w:t>
            </w:r>
          </w:p>
        </w:tc>
        <w:tc>
          <w:tcPr>
            <w:tcW w:w="100" w:type="dxa"/>
            <w:vAlign w:val="bottom"/>
            <w:tcBorders>
              <w:bottom w:val="single" w:sz="8" w:color="DDDDDD"/>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Borders>
              <w:bottom w:val="single" w:sz="8" w:color="DDDDD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w:t>
            </w:r>
          </w:p>
        </w:tc>
        <w:tc>
          <w:tcPr>
            <w:tcW w:w="100" w:type="dxa"/>
            <w:vAlign w:val="bottom"/>
            <w:tcBorders>
              <w:bottom w:val="single" w:sz="8" w:color="DDDDDD"/>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219"/>
        </w:trPr>
        <w:tc>
          <w:tcPr>
            <w:tcW w:w="4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68,096</w:t>
            </w:r>
          </w:p>
        </w:tc>
        <w:tc>
          <w:tcPr>
            <w:tcW w:w="820" w:type="dxa"/>
            <w:vAlign w:val="bottom"/>
            <w:gridSpan w:val="2"/>
            <w:shd w:val="clear" w:color="auto" w:fill="DDDDDD"/>
          </w:tcPr>
          <w:p>
            <w:pPr>
              <w:jc w:val="right"/>
              <w:ind w:right="6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51,284</w:t>
            </w:r>
          </w:p>
        </w:tc>
        <w:tc>
          <w:tcPr>
            <w:tcW w:w="480" w:type="dxa"/>
            <w:vAlign w:val="bottom"/>
            <w:gridSpan w:val="2"/>
            <w:shd w:val="clear" w:color="auto" w:fill="DDDDDD"/>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68,096</w:t>
            </w:r>
          </w:p>
        </w:tc>
        <w:tc>
          <w:tcPr>
            <w:tcW w:w="740" w:type="dxa"/>
            <w:vAlign w:val="bottom"/>
            <w:gridSpan w:val="2"/>
            <w:shd w:val="clear" w:color="auto" w:fill="DDDDDD"/>
          </w:tcPr>
          <w:p>
            <w:pPr>
              <w:jc w:val="right"/>
              <w:ind w:right="5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51,284</w:t>
            </w:r>
          </w:p>
        </w:tc>
      </w:tr>
      <w:tr>
        <w:trPr>
          <w:trHeight w:val="20"/>
        </w:trPr>
        <w:tc>
          <w:tcPr>
            <w:tcW w:w="406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75"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5"/>
          <w:szCs w:val="15"/>
          <w:color w:val="auto"/>
        </w:rPr>
        <w:t>is determined based on the contractual lease term. For contracts that continue beyond their initial contractual lease term, revenue continues to be deferred until the services are performed. During the three months ended June 30, 2023, deferred revenue relating to services billed in advance of $26.2 million was recognized as revenue. As of June 30, 2023 and December 31, 2022, the Company had approximately $104.8 million and $102.2 million, respectively, of deferred revenue related to these services.</w:t>
      </w:r>
    </w:p>
    <w:p>
      <w:pPr>
        <w:spacing w:after="0" w:line="2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Company does not have material contract assets, and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expedient to omit disclosure of such amounts.</w:t>
      </w:r>
    </w:p>
    <w:p>
      <w:pPr>
        <w:spacing w:after="0" w:line="3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therefore, the commissions are expensed as incurred.</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1D2758"/>
        </w:rPr>
        <w:t>NOTE 5 - Leases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0" w:type="dxa"/>
            <w:vAlign w:val="bottom"/>
          </w:tcPr>
          <w:p>
            <w:pPr>
              <w:ind w:left="620"/>
              <w:spacing w:after="0"/>
              <w:rPr>
                <w:sz w:val="20"/>
                <w:szCs w:val="20"/>
                <w:color w:val="auto"/>
              </w:rPr>
            </w:pPr>
            <w:r>
              <w:rPr>
                <w:rFonts w:ascii="Arial" w:cs="Arial" w:eastAsia="Arial" w:hAnsi="Arial"/>
                <w:sz w:val="15"/>
                <w:szCs w:val="15"/>
                <w:color w:val="auto"/>
              </w:rPr>
              <w:t>As  of  June  30,</w:t>
            </w:r>
          </w:p>
        </w:tc>
        <w:tc>
          <w:tcPr>
            <w:tcW w:w="4320" w:type="dxa"/>
            <w:vAlign w:val="bottom"/>
            <w:gridSpan w:val="2"/>
          </w:tcPr>
          <w:p>
            <w:pPr>
              <w:jc w:val="right"/>
              <w:ind w:right="100"/>
              <w:spacing w:after="0"/>
              <w:rPr>
                <w:sz w:val="20"/>
                <w:szCs w:val="20"/>
                <w:color w:val="auto"/>
              </w:rPr>
            </w:pPr>
            <w:r>
              <w:rPr>
                <w:rFonts w:ascii="Arial" w:cs="Arial" w:eastAsia="Arial" w:hAnsi="Arial"/>
                <w:sz w:val="15"/>
                <w:szCs w:val="15"/>
                <w:color w:val="auto"/>
              </w:rPr>
              <w:t>2023,  the  undiscounted  future  lease  payments  for</w:t>
            </w:r>
          </w:p>
        </w:tc>
        <w:tc>
          <w:tcPr>
            <w:tcW w:w="2500" w:type="dxa"/>
            <w:vAlign w:val="bottom"/>
            <w:gridSpan w:val="3"/>
          </w:tcPr>
          <w:p>
            <w:pPr>
              <w:jc w:val="right"/>
              <w:ind w:right="100"/>
              <w:spacing w:after="0"/>
              <w:rPr>
                <w:sz w:val="20"/>
                <w:szCs w:val="20"/>
                <w:color w:val="auto"/>
              </w:rPr>
            </w:pPr>
            <w:r>
              <w:rPr>
                <w:rFonts w:ascii="Arial" w:cs="Arial" w:eastAsia="Arial" w:hAnsi="Arial"/>
                <w:sz w:val="15"/>
                <w:szCs w:val="15"/>
                <w:color w:val="auto"/>
              </w:rPr>
              <w:t>operating  and  finance  lease</w:t>
            </w:r>
          </w:p>
        </w:tc>
        <w:tc>
          <w:tcPr>
            <w:tcW w:w="2220" w:type="dxa"/>
            <w:vAlign w:val="bottom"/>
          </w:tcPr>
          <w:p>
            <w:pPr>
              <w:jc w:val="right"/>
              <w:spacing w:after="0"/>
              <w:rPr>
                <w:sz w:val="20"/>
                <w:szCs w:val="20"/>
                <w:color w:val="auto"/>
              </w:rPr>
            </w:pPr>
            <w:r>
              <w:rPr>
                <w:rFonts w:ascii="Arial" w:cs="Arial" w:eastAsia="Arial" w:hAnsi="Arial"/>
                <w:sz w:val="15"/>
                <w:szCs w:val="15"/>
                <w:color w:val="auto"/>
              </w:rPr>
              <w:t>liabilities  were  as  follows:</w:t>
            </w:r>
          </w:p>
        </w:tc>
      </w:tr>
      <w:tr>
        <w:trPr>
          <w:trHeight w:val="31"/>
        </w:trPr>
        <w:tc>
          <w:tcPr>
            <w:tcW w:w="22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06"/>
        </w:trPr>
        <w:tc>
          <w:tcPr>
            <w:tcW w:w="22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2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2180" w:type="dxa"/>
            <w:vAlign w:val="bottom"/>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Operating</w:t>
            </w:r>
          </w:p>
        </w:tc>
        <w:tc>
          <w:tcPr>
            <w:tcW w:w="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22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Finance</w:t>
            </w:r>
          </w:p>
        </w:tc>
      </w:tr>
      <w:tr>
        <w:trPr>
          <w:trHeight w:val="206"/>
        </w:trPr>
        <w:tc>
          <w:tcPr>
            <w:tcW w:w="2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 (remaining)</w:t>
            </w:r>
          </w:p>
        </w:tc>
        <w:tc>
          <w:tcPr>
            <w:tcW w:w="4320" w:type="dxa"/>
            <w:vAlign w:val="bottom"/>
            <w:gridSpan w:val="2"/>
            <w:shd w:val="clear" w:color="auto" w:fill="DBDBDB"/>
          </w:tcPr>
          <w:p>
            <w:pPr>
              <w:jc w:val="right"/>
              <w:ind w:right="180"/>
              <w:spacing w:after="0"/>
              <w:rPr>
                <w:sz w:val="20"/>
                <w:szCs w:val="20"/>
                <w:color w:val="auto"/>
              </w:rPr>
            </w:pPr>
            <w:r>
              <w:rPr>
                <w:rFonts w:ascii="Arial" w:cs="Arial" w:eastAsia="Arial" w:hAnsi="Arial"/>
                <w:sz w:val="15"/>
                <w:szCs w:val="15"/>
                <w:color w:val="auto"/>
              </w:rPr>
              <w:t>$</w:t>
            </w:r>
          </w:p>
        </w:tc>
        <w:tc>
          <w:tcPr>
            <w:tcW w:w="2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33,230</w:t>
            </w: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8,905</w:t>
            </w:r>
          </w:p>
        </w:tc>
      </w:tr>
      <w:tr>
        <w:trPr>
          <w:trHeight w:val="203"/>
        </w:trPr>
        <w:tc>
          <w:tcPr>
            <w:tcW w:w="2200" w:type="dxa"/>
            <w:vAlign w:val="bottom"/>
          </w:tcPr>
          <w:p>
            <w:pPr>
              <w:ind w:left="20"/>
              <w:spacing w:after="0"/>
              <w:rPr>
                <w:sz w:val="20"/>
                <w:szCs w:val="20"/>
                <w:color w:val="auto"/>
              </w:rPr>
            </w:pPr>
            <w:r>
              <w:rPr>
                <w:rFonts w:ascii="Arial" w:cs="Arial" w:eastAsia="Arial" w:hAnsi="Arial"/>
                <w:sz w:val="15"/>
                <w:szCs w:val="15"/>
                <w:color w:val="auto"/>
              </w:rPr>
              <w:t>2024</w:t>
            </w:r>
          </w:p>
        </w:tc>
        <w:tc>
          <w:tcPr>
            <w:tcW w:w="4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tcPr>
          <w:p>
            <w:pPr>
              <w:jc w:val="right"/>
              <w:ind w:right="3"/>
              <w:spacing w:after="0"/>
              <w:rPr>
                <w:sz w:val="20"/>
                <w:szCs w:val="20"/>
                <w:color w:val="auto"/>
              </w:rPr>
            </w:pPr>
            <w:r>
              <w:rPr>
                <w:rFonts w:ascii="Arial" w:cs="Arial" w:eastAsia="Arial" w:hAnsi="Arial"/>
                <w:sz w:val="15"/>
                <w:szCs w:val="15"/>
                <w:color w:val="auto"/>
              </w:rPr>
              <w:t>60,869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17,994</w:t>
            </w:r>
          </w:p>
        </w:tc>
      </w:tr>
      <w:tr>
        <w:trPr>
          <w:trHeight w:val="209"/>
        </w:trPr>
        <w:tc>
          <w:tcPr>
            <w:tcW w:w="2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40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51,326</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17,667</w:t>
            </w:r>
          </w:p>
        </w:tc>
      </w:tr>
      <w:tr>
        <w:trPr>
          <w:trHeight w:val="203"/>
        </w:trPr>
        <w:tc>
          <w:tcPr>
            <w:tcW w:w="2200" w:type="dxa"/>
            <w:vAlign w:val="bottom"/>
          </w:tcPr>
          <w:p>
            <w:pPr>
              <w:ind w:left="20"/>
              <w:spacing w:after="0"/>
              <w:rPr>
                <w:sz w:val="20"/>
                <w:szCs w:val="20"/>
                <w:color w:val="auto"/>
              </w:rPr>
            </w:pPr>
            <w:r>
              <w:rPr>
                <w:rFonts w:ascii="Arial" w:cs="Arial" w:eastAsia="Arial" w:hAnsi="Arial"/>
                <w:sz w:val="15"/>
                <w:szCs w:val="15"/>
                <w:color w:val="auto"/>
              </w:rPr>
              <w:t>2026</w:t>
            </w:r>
          </w:p>
        </w:tc>
        <w:tc>
          <w:tcPr>
            <w:tcW w:w="4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tcPr>
          <w:p>
            <w:pPr>
              <w:jc w:val="right"/>
              <w:ind w:right="3"/>
              <w:spacing w:after="0"/>
              <w:rPr>
                <w:sz w:val="20"/>
                <w:szCs w:val="20"/>
                <w:color w:val="auto"/>
              </w:rPr>
            </w:pPr>
            <w:r>
              <w:rPr>
                <w:rFonts w:ascii="Arial" w:cs="Arial" w:eastAsia="Arial" w:hAnsi="Arial"/>
                <w:sz w:val="15"/>
                <w:szCs w:val="15"/>
                <w:color w:val="auto"/>
              </w:rPr>
              <w:t>39,676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17,351</w:t>
            </w:r>
          </w:p>
        </w:tc>
      </w:tr>
      <w:tr>
        <w:trPr>
          <w:trHeight w:val="209"/>
        </w:trPr>
        <w:tc>
          <w:tcPr>
            <w:tcW w:w="2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40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29,208</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14,099</w:t>
            </w:r>
          </w:p>
        </w:tc>
      </w:tr>
      <w:tr>
        <w:trPr>
          <w:trHeight w:val="20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40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62,057</w:t>
            </w:r>
          </w:p>
        </w:tc>
        <w:tc>
          <w:tcPr>
            <w:tcW w:w="8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26,651</w:t>
            </w:r>
          </w:p>
        </w:tc>
      </w:tr>
      <w:tr>
        <w:trPr>
          <w:trHeight w:val="202"/>
        </w:trPr>
        <w:tc>
          <w:tcPr>
            <w:tcW w:w="22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lease payments</w:t>
            </w:r>
          </w:p>
        </w:tc>
        <w:tc>
          <w:tcPr>
            <w:tcW w:w="40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276,366</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102,667</w:t>
            </w:r>
          </w:p>
        </w:tc>
      </w:tr>
      <w:tr>
        <w:trPr>
          <w:trHeight w:val="20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interest</w:t>
            </w:r>
          </w:p>
        </w:tc>
        <w:tc>
          <w:tcPr>
            <w:tcW w:w="40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(40,937)</w:t>
            </w:r>
          </w:p>
        </w:tc>
        <w:tc>
          <w:tcPr>
            <w:tcW w:w="8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(11,939)</w:t>
            </w:r>
          </w:p>
        </w:tc>
      </w:tr>
      <w:tr>
        <w:trPr>
          <w:trHeight w:val="219"/>
        </w:trPr>
        <w:tc>
          <w:tcPr>
            <w:tcW w:w="2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Present value of lease liabilities</w:t>
            </w:r>
          </w:p>
        </w:tc>
        <w:tc>
          <w:tcPr>
            <w:tcW w:w="4320" w:type="dxa"/>
            <w:vAlign w:val="bottom"/>
            <w:gridSpan w:val="2"/>
            <w:shd w:val="clear" w:color="auto" w:fill="DBDBDB"/>
          </w:tcPr>
          <w:p>
            <w:pPr>
              <w:jc w:val="right"/>
              <w:ind w:right="180"/>
              <w:spacing w:after="0"/>
              <w:rPr>
                <w:sz w:val="20"/>
                <w:szCs w:val="20"/>
                <w:color w:val="auto"/>
              </w:rPr>
            </w:pPr>
            <w:r>
              <w:rPr>
                <w:rFonts w:ascii="Arial" w:cs="Arial" w:eastAsia="Arial" w:hAnsi="Arial"/>
                <w:sz w:val="15"/>
                <w:szCs w:val="15"/>
                <w:color w:val="auto"/>
              </w:rPr>
              <w:t>$</w:t>
            </w:r>
          </w:p>
        </w:tc>
        <w:tc>
          <w:tcPr>
            <w:tcW w:w="2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235,429</w:t>
            </w: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90,728</w:t>
            </w:r>
          </w:p>
        </w:tc>
      </w:tr>
      <w:tr>
        <w:trPr>
          <w:trHeight w:val="20"/>
        </w:trPr>
        <w:tc>
          <w:tcPr>
            <w:tcW w:w="2200" w:type="dxa"/>
            <w:vAlign w:val="bottom"/>
            <w:tcBorders>
              <w:top w:val="single" w:sz="8" w:color="DBDBDB"/>
            </w:tcBorders>
          </w:tcPr>
          <w:p>
            <w:pPr>
              <w:spacing w:after="0" w:line="20" w:lineRule="exact"/>
              <w:rPr>
                <w:sz w:val="1"/>
                <w:szCs w:val="1"/>
                <w:color w:val="auto"/>
              </w:rPr>
            </w:pPr>
          </w:p>
        </w:tc>
        <w:tc>
          <w:tcPr>
            <w:tcW w:w="40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6" w:name="page17"/>
    <w:bookmarkEnd w:id="16"/>
    <w:p>
      <w:pPr>
        <w:ind w:left="620"/>
        <w:spacing w:after="0"/>
        <w:rPr>
          <w:sz w:val="20"/>
          <w:szCs w:val="20"/>
          <w:color w:val="auto"/>
        </w:rPr>
      </w:pPr>
      <w:r>
        <w:rPr>
          <w:rFonts w:ascii="Arial" w:cs="Arial" w:eastAsia="Arial" w:hAnsi="Arial"/>
          <w:sz w:val="15"/>
          <w:szCs w:val="15"/>
          <w:color w:val="auto"/>
        </w:rPr>
        <w:t>The Company’s lease activity during the six months ended June 30, 2023 and 2022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00" w:type="dxa"/>
            <w:vAlign w:val="bottom"/>
            <w:shd w:val="clear" w:color="auto" w:fill="1D2758"/>
          </w:tcPr>
          <w:p>
            <w:pPr>
              <w:spacing w:after="0"/>
              <w:rPr>
                <w:sz w:val="17"/>
                <w:szCs w:val="17"/>
                <w:color w:val="auto"/>
              </w:rPr>
            </w:pPr>
          </w:p>
        </w:tc>
        <w:tc>
          <w:tcPr>
            <w:tcW w:w="2980" w:type="dxa"/>
            <w:vAlign w:val="bottom"/>
            <w:gridSpan w:val="3"/>
            <w:shd w:val="clear" w:color="auto" w:fill="1D2758"/>
          </w:tcPr>
          <w:p>
            <w:pPr>
              <w:jc w:val="right"/>
              <w:ind w:right="60"/>
              <w:spacing w:after="0"/>
              <w:rPr>
                <w:sz w:val="20"/>
                <w:szCs w:val="20"/>
                <w:color w:val="auto"/>
              </w:rPr>
            </w:pPr>
            <w:r>
              <w:rPr>
                <w:rFonts w:ascii="Arial" w:cs="Arial" w:eastAsia="Arial" w:hAnsi="Arial"/>
                <w:sz w:val="15"/>
                <w:szCs w:val="15"/>
                <w:b w:val="1"/>
                <w:bCs w:val="1"/>
                <w:color w:val="FFFFFF"/>
              </w:rPr>
              <w:t>Six Months Ended June 30,</w:t>
            </w:r>
          </w:p>
        </w:tc>
        <w:tc>
          <w:tcPr>
            <w:tcW w:w="144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Financial Statement Line</w:t>
            </w:r>
          </w:p>
        </w:tc>
        <w:tc>
          <w:tcPr>
            <w:tcW w:w="60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60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r>
      <w:tr>
        <w:trPr>
          <w:trHeight w:val="203"/>
        </w:trPr>
        <w:tc>
          <w:tcPr>
            <w:tcW w:w="6220" w:type="dxa"/>
            <w:vAlign w:val="bottom"/>
          </w:tcPr>
          <w:p>
            <w:pPr>
              <w:ind w:left="320"/>
              <w:spacing w:after="0"/>
              <w:rPr>
                <w:sz w:val="20"/>
                <w:szCs w:val="20"/>
                <w:color w:val="auto"/>
              </w:rPr>
            </w:pPr>
            <w:r>
              <w:rPr>
                <w:rFonts w:ascii="Arial" w:cs="Arial" w:eastAsia="Arial" w:hAnsi="Arial"/>
                <w:sz w:val="15"/>
                <w:szCs w:val="15"/>
                <w:color w:val="auto"/>
              </w:rPr>
              <w:t>Amortization of finance lease assets</w:t>
            </w: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7,580</w:t>
            </w:r>
          </w:p>
        </w:tc>
        <w:tc>
          <w:tcPr>
            <w:tcW w:w="110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6,820</w:t>
            </w:r>
          </w:p>
        </w:tc>
      </w:tr>
      <w:tr>
        <w:trPr>
          <w:trHeight w:val="209"/>
        </w:trPr>
        <w:tc>
          <w:tcPr>
            <w:tcW w:w="622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5"/>
                <w:szCs w:val="15"/>
                <w:color w:val="auto"/>
              </w:rPr>
              <w:t>Interest on obligations under finance leases</w:t>
            </w:r>
          </w:p>
        </w:tc>
        <w:tc>
          <w:tcPr>
            <w:tcW w:w="600" w:type="dxa"/>
            <w:vAlign w:val="bottom"/>
            <w:tcBorders>
              <w:bottom w:val="single" w:sz="8" w:color="auto"/>
            </w:tcBorders>
            <w:shd w:val="clear" w:color="auto" w:fill="DBDBDB"/>
          </w:tcPr>
          <w:p>
            <w:pPr>
              <w:spacing w:after="0"/>
              <w:rPr>
                <w:sz w:val="18"/>
                <w:szCs w:val="18"/>
                <w:color w:val="auto"/>
              </w:rPr>
            </w:pPr>
          </w:p>
        </w:tc>
        <w:tc>
          <w:tcPr>
            <w:tcW w:w="18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1,566</w:t>
            </w:r>
          </w:p>
        </w:tc>
        <w:tc>
          <w:tcPr>
            <w:tcW w:w="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839</w:t>
            </w:r>
          </w:p>
        </w:tc>
      </w:tr>
      <w:tr>
        <w:trPr>
          <w:trHeight w:val="199"/>
        </w:trPr>
        <w:tc>
          <w:tcPr>
            <w:tcW w:w="622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9,146</w:t>
            </w:r>
          </w:p>
        </w:tc>
        <w:tc>
          <w:tcPr>
            <w:tcW w:w="110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7,659</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2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Fixed lease expense</w:t>
            </w: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723</w:t>
            </w:r>
          </w:p>
        </w:tc>
        <w:tc>
          <w:tcPr>
            <w:tcW w:w="110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1,574</w:t>
            </w:r>
          </w:p>
        </w:tc>
      </w:tr>
      <w:tr>
        <w:trPr>
          <w:trHeight w:val="209"/>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32,006</w:t>
            </w: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29,709</w:t>
            </w: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Short-term lease expense</w:t>
            </w: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Cost of leasing and services</w:t>
            </w: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12,404</w:t>
            </w: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16,739</w:t>
            </w: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Selling, general and administrative</w:t>
            </w:r>
          </w:p>
        </w:tc>
        <w:tc>
          <w:tcPr>
            <w:tcW w:w="600" w:type="dxa"/>
            <w:vAlign w:val="bottom"/>
          </w:tcPr>
          <w:p>
            <w:pPr>
              <w:spacing w:after="0"/>
              <w:rPr>
                <w:sz w:val="17"/>
                <w:szCs w:val="17"/>
                <w:color w:val="auto"/>
              </w:rPr>
            </w:pP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905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986</w:t>
            </w:r>
          </w:p>
        </w:tc>
      </w:tr>
      <w:tr>
        <w:trPr>
          <w:trHeight w:val="209"/>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Variable lease expense</w:t>
            </w: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03"/>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600" w:type="dxa"/>
            <w:vAlign w:val="bottom"/>
          </w:tcPr>
          <w:p>
            <w:pPr>
              <w:spacing w:after="0"/>
              <w:rPr>
                <w:sz w:val="17"/>
                <w:szCs w:val="17"/>
                <w:color w:val="auto"/>
              </w:rPr>
            </w:pP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1,675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2,822</w:t>
            </w:r>
          </w:p>
        </w:tc>
      </w:tr>
      <w:tr>
        <w:trPr>
          <w:trHeight w:val="206"/>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60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4,847</w:t>
            </w:r>
          </w:p>
        </w:tc>
        <w:tc>
          <w:tcPr>
            <w:tcW w:w="80" w:type="dxa"/>
            <w:vAlign w:val="bottom"/>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3,419</w:t>
            </w:r>
          </w:p>
        </w:tc>
      </w:tr>
      <w:tr>
        <w:trPr>
          <w:trHeight w:val="202"/>
        </w:trPr>
        <w:tc>
          <w:tcPr>
            <w:tcW w:w="6220" w:type="dxa"/>
            <w:vAlign w:val="bottom"/>
          </w:tcPr>
          <w:p>
            <w:pPr>
              <w:ind w:left="20"/>
              <w:spacing w:after="0"/>
              <w:rPr>
                <w:sz w:val="20"/>
                <w:szCs w:val="20"/>
                <w:color w:val="auto"/>
              </w:rPr>
            </w:pPr>
            <w:r>
              <w:rPr>
                <w:rFonts w:ascii="Arial" w:cs="Arial" w:eastAsia="Arial" w:hAnsi="Arial"/>
                <w:sz w:val="15"/>
                <w:szCs w:val="15"/>
                <w:color w:val="auto"/>
              </w:rPr>
              <w:t>Total operating lease expense</w:t>
            </w: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52,560</w:t>
            </w:r>
          </w:p>
        </w:tc>
        <w:tc>
          <w:tcPr>
            <w:tcW w:w="1100" w:type="dxa"/>
            <w:vAlign w:val="bottom"/>
            <w:gridSpan w:val="2"/>
          </w:tcPr>
          <w:p>
            <w:pPr>
              <w:jc w:val="right"/>
              <w:ind w:right="90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55,249</w:t>
            </w:r>
          </w:p>
        </w:tc>
      </w:tr>
      <w:tr>
        <w:trPr>
          <w:trHeight w:val="20"/>
        </w:trPr>
        <w:tc>
          <w:tcPr>
            <w:tcW w:w="6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Supplemental cash flow information related to leases for the six months ended June 30, 2023 and 2022 was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00" w:type="dxa"/>
            <w:vAlign w:val="bottom"/>
            <w:shd w:val="clear" w:color="auto" w:fill="1D2758"/>
          </w:tcPr>
          <w:p>
            <w:pPr>
              <w:spacing w:after="0"/>
              <w:rPr>
                <w:sz w:val="17"/>
                <w:szCs w:val="17"/>
                <w:color w:val="auto"/>
              </w:rPr>
            </w:pPr>
          </w:p>
        </w:tc>
        <w:tc>
          <w:tcPr>
            <w:tcW w:w="4000" w:type="dxa"/>
            <w:vAlign w:val="bottom"/>
            <w:gridSpan w:val="3"/>
            <w:shd w:val="clear" w:color="auto" w:fill="1D2758"/>
          </w:tcPr>
          <w:p>
            <w:pPr>
              <w:jc w:val="right"/>
              <w:ind w:right="1183"/>
              <w:spacing w:after="0"/>
              <w:rPr>
                <w:sz w:val="20"/>
                <w:szCs w:val="20"/>
                <w:color w:val="auto"/>
              </w:rPr>
            </w:pPr>
            <w:r>
              <w:rPr>
                <w:rFonts w:ascii="Arial" w:cs="Arial" w:eastAsia="Arial" w:hAnsi="Arial"/>
                <w:sz w:val="15"/>
                <w:szCs w:val="15"/>
                <w:b w:val="1"/>
                <w:bCs w:val="1"/>
                <w:color w:val="FFFFFF"/>
              </w:rPr>
              <w:t>Six Months Ended June 30,</w:t>
            </w:r>
          </w:p>
        </w:tc>
      </w:tr>
      <w:tr>
        <w:trPr>
          <w:trHeight w:val="206"/>
        </w:trPr>
        <w:tc>
          <w:tcPr>
            <w:tcW w:w="674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Supplemental Cash Flow Information</w:t>
            </w:r>
          </w:p>
        </w:tc>
        <w:tc>
          <w:tcPr>
            <w:tcW w:w="500" w:type="dxa"/>
            <w:vAlign w:val="bottom"/>
            <w:shd w:val="clear" w:color="auto" w:fill="1D2758"/>
          </w:tcPr>
          <w:p>
            <w:pPr>
              <w:spacing w:after="0"/>
              <w:rPr>
                <w:sz w:val="17"/>
                <w:szCs w:val="17"/>
                <w:color w:val="auto"/>
              </w:rPr>
            </w:pPr>
          </w:p>
        </w:tc>
        <w:tc>
          <w:tcPr>
            <w:tcW w:w="172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2023</w:t>
            </w:r>
          </w:p>
        </w:tc>
        <w:tc>
          <w:tcPr>
            <w:tcW w:w="600" w:type="dxa"/>
            <w:vAlign w:val="bottom"/>
            <w:shd w:val="clear" w:color="auto" w:fill="1D2758"/>
          </w:tcPr>
          <w:p>
            <w:pPr>
              <w:spacing w:after="0"/>
              <w:rPr>
                <w:sz w:val="17"/>
                <w:szCs w:val="17"/>
                <w:color w:val="auto"/>
              </w:rPr>
            </w:pPr>
          </w:p>
        </w:tc>
        <w:tc>
          <w:tcPr>
            <w:tcW w:w="1680" w:type="dxa"/>
            <w:vAlign w:val="bottom"/>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50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680" w:type="dxa"/>
            <w:vAlign w:val="bottom"/>
            <w:shd w:val="clear" w:color="auto" w:fill="DBDBDB"/>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33,501</w:t>
            </w:r>
          </w:p>
        </w:tc>
        <w:tc>
          <w:tcPr>
            <w:tcW w:w="60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30,918</w:t>
            </w:r>
          </w:p>
        </w:tc>
      </w:tr>
      <w:tr>
        <w:trPr>
          <w:trHeight w:val="209"/>
        </w:trPr>
        <w:tc>
          <w:tcPr>
            <w:tcW w:w="67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1,515</w:t>
            </w:r>
          </w:p>
        </w:tc>
        <w:tc>
          <w:tcPr>
            <w:tcW w:w="60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837</w:t>
            </w:r>
          </w:p>
        </w:tc>
      </w:tr>
      <w:tr>
        <w:trPr>
          <w:trHeight w:val="203"/>
        </w:trPr>
        <w:tc>
          <w:tcPr>
            <w:tcW w:w="674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8,087</w:t>
            </w:r>
          </w:p>
        </w:tc>
        <w:tc>
          <w:tcPr>
            <w:tcW w:w="60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7,506</w:t>
            </w:r>
          </w:p>
        </w:tc>
      </w:tr>
      <w:tr>
        <w:trPr>
          <w:trHeight w:val="235"/>
        </w:trPr>
        <w:tc>
          <w:tcPr>
            <w:tcW w:w="674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1680" w:type="dxa"/>
            <w:vAlign w:val="bottom"/>
            <w:shd w:val="clear" w:color="auto" w:fill="DBDBDB"/>
          </w:tcPr>
          <w:p>
            <w:pPr>
              <w:spacing w:after="0"/>
              <w:rPr>
                <w:sz w:val="20"/>
                <w:szCs w:val="20"/>
                <w:color w:val="auto"/>
              </w:rPr>
            </w:pPr>
          </w:p>
        </w:tc>
      </w:tr>
      <w:tr>
        <w:trPr>
          <w:trHeight w:val="203"/>
        </w:trPr>
        <w:tc>
          <w:tcPr>
            <w:tcW w:w="674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36,604</w:t>
            </w:r>
          </w:p>
        </w:tc>
        <w:tc>
          <w:tcPr>
            <w:tcW w:w="60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19,030</w:t>
            </w:r>
          </w:p>
        </w:tc>
      </w:tr>
      <w:tr>
        <w:trPr>
          <w:trHeight w:val="209"/>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24,382</w:t>
            </w:r>
          </w:p>
        </w:tc>
        <w:tc>
          <w:tcPr>
            <w:tcW w:w="60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14,576</w:t>
            </w:r>
          </w:p>
        </w:tc>
      </w:tr>
    </w:tbl>
    <w:p>
      <w:pPr>
        <w:spacing w:after="0" w:line="1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Weighted average remaining operating lease terms and the weighted average discount rates as of June 30, 2023 and December 31, 2022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2700" w:type="dxa"/>
            <w:vAlign w:val="bottom"/>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June 30, 2023</w:t>
            </w:r>
          </w:p>
        </w:tc>
        <w:tc>
          <w:tcPr>
            <w:tcW w:w="212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6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remaining lease term - operating leases</w:t>
            </w:r>
          </w:p>
        </w:tc>
        <w:tc>
          <w:tcPr>
            <w:tcW w:w="27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5.6 years</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 years</w:t>
            </w:r>
          </w:p>
        </w:tc>
      </w:tr>
      <w:tr>
        <w:trPr>
          <w:trHeight w:val="203"/>
        </w:trPr>
        <w:tc>
          <w:tcPr>
            <w:tcW w:w="6420" w:type="dxa"/>
            <w:vAlign w:val="bottom"/>
          </w:tcPr>
          <w:p>
            <w:pPr>
              <w:ind w:left="20"/>
              <w:spacing w:after="0"/>
              <w:rPr>
                <w:sz w:val="20"/>
                <w:szCs w:val="20"/>
                <w:color w:val="auto"/>
              </w:rPr>
            </w:pPr>
            <w:r>
              <w:rPr>
                <w:rFonts w:ascii="Arial" w:cs="Arial" w:eastAsia="Arial" w:hAnsi="Arial"/>
                <w:sz w:val="15"/>
                <w:szCs w:val="15"/>
                <w:color w:val="auto"/>
              </w:rPr>
              <w:t>Weighted average discount rate - operating leases</w:t>
            </w:r>
          </w:p>
        </w:tc>
        <w:tc>
          <w:tcPr>
            <w:tcW w:w="2700" w:type="dxa"/>
            <w:vAlign w:val="bottom"/>
          </w:tcPr>
          <w:p>
            <w:pPr>
              <w:jc w:val="right"/>
              <w:ind w:right="203"/>
              <w:spacing w:after="0"/>
              <w:rPr>
                <w:sz w:val="20"/>
                <w:szCs w:val="20"/>
                <w:color w:val="auto"/>
              </w:rPr>
            </w:pPr>
            <w:r>
              <w:rPr>
                <w:rFonts w:ascii="Arial" w:cs="Arial" w:eastAsia="Arial" w:hAnsi="Arial"/>
                <w:sz w:val="15"/>
                <w:szCs w:val="15"/>
                <w:color w:val="auto"/>
              </w:rPr>
              <w:t>5.6 %</w:t>
            </w:r>
          </w:p>
        </w:tc>
        <w:tc>
          <w:tcPr>
            <w:tcW w:w="2120" w:type="dxa"/>
            <w:vAlign w:val="bottom"/>
          </w:tcPr>
          <w:p>
            <w:pPr>
              <w:jc w:val="right"/>
              <w:spacing w:after="0"/>
              <w:rPr>
                <w:sz w:val="20"/>
                <w:szCs w:val="20"/>
                <w:color w:val="auto"/>
              </w:rPr>
            </w:pPr>
            <w:r>
              <w:rPr>
                <w:rFonts w:ascii="Arial" w:cs="Arial" w:eastAsia="Arial" w:hAnsi="Arial"/>
                <w:sz w:val="15"/>
                <w:szCs w:val="15"/>
                <w:color w:val="auto"/>
              </w:rPr>
              <w:t>5.0 %</w:t>
            </w:r>
          </w:p>
        </w:tc>
      </w:tr>
      <w:tr>
        <w:trPr>
          <w:trHeight w:val="209"/>
        </w:trPr>
        <w:tc>
          <w:tcPr>
            <w:tcW w:w="6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remaining lease term - finance leases</w:t>
            </w:r>
          </w:p>
        </w:tc>
        <w:tc>
          <w:tcPr>
            <w:tcW w:w="27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5.1 years</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 years</w:t>
            </w:r>
          </w:p>
        </w:tc>
      </w:tr>
      <w:tr>
        <w:trPr>
          <w:trHeight w:val="201"/>
        </w:trPr>
        <w:tc>
          <w:tcPr>
            <w:tcW w:w="6420" w:type="dxa"/>
            <w:vAlign w:val="bottom"/>
          </w:tcPr>
          <w:p>
            <w:pPr>
              <w:ind w:left="20"/>
              <w:spacing w:after="0"/>
              <w:rPr>
                <w:sz w:val="20"/>
                <w:szCs w:val="20"/>
                <w:color w:val="auto"/>
              </w:rPr>
            </w:pPr>
            <w:r>
              <w:rPr>
                <w:rFonts w:ascii="Arial" w:cs="Arial" w:eastAsia="Arial" w:hAnsi="Arial"/>
                <w:sz w:val="15"/>
                <w:szCs w:val="15"/>
                <w:color w:val="auto"/>
              </w:rPr>
              <w:t>Weighted average discount rate - finance leases</w:t>
            </w:r>
          </w:p>
        </w:tc>
        <w:tc>
          <w:tcPr>
            <w:tcW w:w="2700" w:type="dxa"/>
            <w:vAlign w:val="bottom"/>
          </w:tcPr>
          <w:p>
            <w:pPr>
              <w:jc w:val="right"/>
              <w:ind w:right="203"/>
              <w:spacing w:after="0"/>
              <w:rPr>
                <w:sz w:val="20"/>
                <w:szCs w:val="20"/>
                <w:color w:val="auto"/>
              </w:rPr>
            </w:pPr>
            <w:r>
              <w:rPr>
                <w:rFonts w:ascii="Arial" w:cs="Arial" w:eastAsia="Arial" w:hAnsi="Arial"/>
                <w:sz w:val="15"/>
                <w:szCs w:val="15"/>
                <w:color w:val="auto"/>
              </w:rPr>
              <w:t>4.1 %</w:t>
            </w:r>
          </w:p>
        </w:tc>
        <w:tc>
          <w:tcPr>
            <w:tcW w:w="2120" w:type="dxa"/>
            <w:vAlign w:val="bottom"/>
          </w:tcPr>
          <w:p>
            <w:pPr>
              <w:jc w:val="right"/>
              <w:spacing w:after="0"/>
              <w:rPr>
                <w:sz w:val="20"/>
                <w:szCs w:val="20"/>
                <w:color w:val="auto"/>
              </w:rPr>
            </w:pPr>
            <w:r>
              <w:rPr>
                <w:rFonts w:ascii="Arial" w:cs="Arial" w:eastAsia="Arial" w:hAnsi="Arial"/>
                <w:sz w:val="15"/>
                <w:szCs w:val="15"/>
                <w:color w:val="auto"/>
              </w:rPr>
              <w:t>3.1 %</w:t>
            </w:r>
          </w:p>
        </w:tc>
      </w:tr>
      <w:tr>
        <w:trPr>
          <w:trHeight w:val="335"/>
        </w:trPr>
        <w:tc>
          <w:tcPr>
            <w:tcW w:w="6420" w:type="dxa"/>
            <w:vAlign w:val="bottom"/>
          </w:tcPr>
          <w:p>
            <w:pPr>
              <w:ind w:left="620"/>
              <w:spacing w:after="0"/>
              <w:rPr>
                <w:sz w:val="20"/>
                <w:szCs w:val="20"/>
                <w:color w:val="auto"/>
              </w:rPr>
            </w:pPr>
            <w:r>
              <w:rPr>
                <w:rFonts w:ascii="Arial" w:cs="Arial" w:eastAsia="Arial" w:hAnsi="Arial"/>
                <w:sz w:val="15"/>
                <w:szCs w:val="15"/>
                <w:color w:val="auto"/>
              </w:rPr>
              <w:t>The Company presents information related to leasing revenues in Note 4.</w:t>
            </w:r>
          </w:p>
        </w:tc>
        <w:tc>
          <w:tcPr>
            <w:tcW w:w="27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1D2758"/>
        </w:rPr>
        <w:t>NOTE 6 - Inventories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tcBorders>
              <w:bottom w:val="single" w:sz="8" w:color="1D2758"/>
            </w:tcBorders>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20" w:type="dxa"/>
            <w:vAlign w:val="bottom"/>
            <w:tcBorders>
              <w:bottom w:val="single" w:sz="8" w:color="1D2758"/>
            </w:tcBorders>
            <w:shd w:val="clear" w:color="auto" w:fill="1D2758"/>
          </w:tcPr>
          <w:p>
            <w:pPr>
              <w:jc w:val="right"/>
              <w:spacing w:after="0"/>
              <w:rPr>
                <w:sz w:val="20"/>
                <w:szCs w:val="20"/>
                <w:color w:val="auto"/>
              </w:rPr>
            </w:pPr>
            <w:r>
              <w:rPr>
                <w:rFonts w:ascii="Arial" w:cs="Arial" w:eastAsia="Arial" w:hAnsi="Arial"/>
                <w:sz w:val="15"/>
                <w:szCs w:val="15"/>
                <w:b w:val="1"/>
                <w:bCs w:val="1"/>
                <w:color w:val="FFFFFF"/>
              </w:rPr>
              <w:t>June 30, 2023</w:t>
            </w:r>
          </w:p>
        </w:tc>
        <w:tc>
          <w:tcPr>
            <w:tcW w:w="580" w:type="dxa"/>
            <w:vAlign w:val="bottom"/>
            <w:tcBorders>
              <w:bottom w:val="single" w:sz="8" w:color="1D2758"/>
            </w:tcBorders>
            <w:shd w:val="clear" w:color="auto" w:fill="1D2758"/>
          </w:tcPr>
          <w:p>
            <w:pPr>
              <w:spacing w:after="0"/>
              <w:rPr>
                <w:sz w:val="22"/>
                <w:szCs w:val="22"/>
                <w:color w:val="auto"/>
              </w:rPr>
            </w:pPr>
          </w:p>
        </w:tc>
        <w:tc>
          <w:tcPr>
            <w:tcW w:w="80" w:type="dxa"/>
            <w:vAlign w:val="bottom"/>
            <w:tcBorders>
              <w:bottom w:val="single" w:sz="8" w:color="1D2758"/>
            </w:tcBorders>
            <w:shd w:val="clear" w:color="auto" w:fill="1D2758"/>
          </w:tcPr>
          <w:p>
            <w:pPr>
              <w:spacing w:after="0"/>
              <w:rPr>
                <w:sz w:val="22"/>
                <w:szCs w:val="22"/>
                <w:color w:val="auto"/>
              </w:rPr>
            </w:pPr>
          </w:p>
        </w:tc>
        <w:tc>
          <w:tcPr>
            <w:tcW w:w="260" w:type="dxa"/>
            <w:vAlign w:val="bottom"/>
            <w:tcBorders>
              <w:bottom w:val="single" w:sz="8" w:color="1D2758"/>
            </w:tcBorders>
            <w:shd w:val="clear" w:color="auto" w:fill="1D2758"/>
          </w:tcPr>
          <w:p>
            <w:pPr>
              <w:spacing w:after="0"/>
              <w:rPr>
                <w:sz w:val="22"/>
                <w:szCs w:val="22"/>
                <w:color w:val="auto"/>
              </w:rPr>
            </w:pPr>
          </w:p>
        </w:tc>
        <w:tc>
          <w:tcPr>
            <w:tcW w:w="1960" w:type="dxa"/>
            <w:vAlign w:val="bottom"/>
            <w:tcBorders>
              <w:bottom w:val="single" w:sz="8" w:color="1D2758"/>
            </w:tcBorders>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1620" w:type="dxa"/>
            <w:vAlign w:val="bottom"/>
            <w:shd w:val="clear" w:color="auto" w:fill="DBDBDB"/>
          </w:tcPr>
          <w:p>
            <w:pPr>
              <w:jc w:val="right"/>
              <w:ind w:right="144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40,971</w:t>
            </w: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38,611</w:t>
            </w:r>
          </w:p>
        </w:tc>
      </w:tr>
      <w:tr>
        <w:trPr>
          <w:trHeight w:val="206"/>
        </w:trPr>
        <w:tc>
          <w:tcPr>
            <w:tcW w:w="6740" w:type="dxa"/>
            <w:vAlign w:val="bottom"/>
          </w:tcPr>
          <w:p>
            <w:pPr>
              <w:ind w:left="20"/>
              <w:spacing w:after="0"/>
              <w:rPr>
                <w:sz w:val="20"/>
                <w:szCs w:val="20"/>
                <w:color w:val="auto"/>
              </w:rPr>
            </w:pPr>
            <w:r>
              <w:rPr>
                <w:rFonts w:ascii="Arial" w:cs="Arial" w:eastAsia="Arial" w:hAnsi="Arial"/>
                <w:sz w:val="15"/>
                <w:szCs w:val="15"/>
                <w:color w:val="auto"/>
              </w:rPr>
              <w:t>Finished units</w:t>
            </w:r>
          </w:p>
        </w:tc>
        <w:tc>
          <w:tcPr>
            <w:tcW w:w="16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3,389</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2,419</w:t>
            </w:r>
          </w:p>
        </w:tc>
      </w:tr>
      <w:tr>
        <w:trPr>
          <w:trHeight w:val="219"/>
        </w:trPr>
        <w:tc>
          <w:tcPr>
            <w:tcW w:w="6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1620" w:type="dxa"/>
            <w:vAlign w:val="bottom"/>
            <w:shd w:val="clear" w:color="auto" w:fill="DBDBDB"/>
          </w:tcPr>
          <w:p>
            <w:pPr>
              <w:jc w:val="right"/>
              <w:ind w:right="144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44,360</w:t>
            </w: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41,030</w:t>
            </w:r>
          </w:p>
        </w:tc>
      </w:tr>
      <w:tr>
        <w:trPr>
          <w:trHeight w:val="20"/>
        </w:trPr>
        <w:tc>
          <w:tcPr>
            <w:tcW w:w="674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1D2758"/>
        </w:rPr>
        <w:t>NOTE 7 - Rental Equipment, net</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20"/>
                <w:szCs w:val="20"/>
                <w:color w:val="auto"/>
              </w:rPr>
            </w:pPr>
          </w:p>
        </w:tc>
        <w:tc>
          <w:tcPr>
            <w:tcW w:w="1860" w:type="dxa"/>
            <w:vAlign w:val="bottom"/>
            <w:vMerge w:val="restart"/>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June 30, 2023</w:t>
            </w:r>
          </w:p>
        </w:tc>
        <w:tc>
          <w:tcPr>
            <w:tcW w:w="80" w:type="dxa"/>
            <w:vAlign w:val="bottom"/>
            <w:shd w:val="clear" w:color="auto" w:fill="1D2758"/>
          </w:tcPr>
          <w:p>
            <w:pPr>
              <w:spacing w:after="0"/>
              <w:rPr>
                <w:sz w:val="20"/>
                <w:szCs w:val="20"/>
                <w:color w:val="auto"/>
              </w:rPr>
            </w:pP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2022</w:t>
            </w:r>
          </w:p>
        </w:tc>
        <w:tc>
          <w:tcPr>
            <w:tcW w:w="0" w:type="dxa"/>
            <w:vAlign w:val="bottom"/>
          </w:tcPr>
          <w:p>
            <w:pPr>
              <w:spacing w:after="0"/>
              <w:rPr>
                <w:sz w:val="1"/>
                <w:szCs w:val="1"/>
                <w:color w:val="auto"/>
              </w:rPr>
            </w:pPr>
          </w:p>
        </w:tc>
      </w:tr>
      <w:tr>
        <w:trPr>
          <w:trHeight w:val="61"/>
        </w:trPr>
        <w:tc>
          <w:tcPr>
            <w:tcW w:w="6740" w:type="dxa"/>
            <w:vAlign w:val="bottom"/>
            <w:shd w:val="clear" w:color="auto" w:fill="1D2758"/>
          </w:tcPr>
          <w:p>
            <w:pPr>
              <w:spacing w:after="0"/>
              <w:rPr>
                <w:sz w:val="5"/>
                <w:szCs w:val="5"/>
                <w:color w:val="auto"/>
              </w:rPr>
            </w:pPr>
          </w:p>
        </w:tc>
        <w:tc>
          <w:tcPr>
            <w:tcW w:w="340" w:type="dxa"/>
            <w:vAlign w:val="bottom"/>
            <w:shd w:val="clear" w:color="auto" w:fill="1D2758"/>
          </w:tcPr>
          <w:p>
            <w:pPr>
              <w:spacing w:after="0"/>
              <w:rPr>
                <w:sz w:val="5"/>
                <w:szCs w:val="5"/>
                <w:color w:val="auto"/>
              </w:rPr>
            </w:pPr>
          </w:p>
        </w:tc>
        <w:tc>
          <w:tcPr>
            <w:tcW w:w="1860" w:type="dxa"/>
            <w:vAlign w:val="bottom"/>
            <w:vMerge w:val="continue"/>
            <w:shd w:val="clear" w:color="auto" w:fill="1D2758"/>
          </w:tcPr>
          <w:p>
            <w:pPr>
              <w:spacing w:after="0"/>
              <w:rPr>
                <w:sz w:val="5"/>
                <w:szCs w:val="5"/>
                <w:color w:val="auto"/>
              </w:rPr>
            </w:pPr>
          </w:p>
        </w:tc>
        <w:tc>
          <w:tcPr>
            <w:tcW w:w="80" w:type="dxa"/>
            <w:vAlign w:val="bottom"/>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3,406,542</w:t>
            </w:r>
          </w:p>
        </w:tc>
        <w:tc>
          <w:tcPr>
            <w:tcW w:w="3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3,197,779</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34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851,818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849,193</w:t>
            </w:r>
          </w:p>
        </w:tc>
        <w:tc>
          <w:tcPr>
            <w:tcW w:w="0" w:type="dxa"/>
            <w:vAlign w:val="bottom"/>
          </w:tcPr>
          <w:p>
            <w:pPr>
              <w:spacing w:after="0"/>
              <w:rPr>
                <w:sz w:val="1"/>
                <w:szCs w:val="1"/>
                <w:color w:val="auto"/>
              </w:rPr>
            </w:pPr>
          </w:p>
        </w:tc>
      </w:tr>
      <w:tr>
        <w:trPr>
          <w:trHeight w:val="209"/>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340" w:type="dxa"/>
            <w:vAlign w:val="bottom"/>
            <w:tcBorders>
              <w:bottom w:val="single" w:sz="8" w:color="auto"/>
            </w:tcBorders>
            <w:shd w:val="clear" w:color="auto" w:fill="DBDBDB"/>
          </w:tcPr>
          <w:p>
            <w:pPr>
              <w:spacing w:after="0"/>
              <w:rPr>
                <w:sz w:val="18"/>
                <w:szCs w:val="18"/>
                <w:color w:val="auto"/>
              </w:rPr>
            </w:pPr>
          </w:p>
        </w:tc>
        <w:tc>
          <w:tcPr>
            <w:tcW w:w="18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204,665</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203,444</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34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4,463,025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4,250,416</w:t>
            </w:r>
          </w:p>
        </w:tc>
        <w:tc>
          <w:tcPr>
            <w:tcW w:w="0" w:type="dxa"/>
            <w:vAlign w:val="bottom"/>
          </w:tcPr>
          <w:p>
            <w:pPr>
              <w:spacing w:after="0"/>
              <w:rPr>
                <w:sz w:val="1"/>
                <w:szCs w:val="1"/>
                <w:color w:val="auto"/>
              </w:rPr>
            </w:pPr>
          </w:p>
        </w:tc>
      </w:tr>
      <w:tr>
        <w:trPr>
          <w:trHeight w:val="209"/>
        </w:trPr>
        <w:tc>
          <w:tcPr>
            <w:tcW w:w="6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340" w:type="dxa"/>
            <w:vAlign w:val="bottom"/>
            <w:tcBorders>
              <w:bottom w:val="single" w:sz="8" w:color="auto"/>
            </w:tcBorders>
            <w:shd w:val="clear" w:color="auto" w:fill="DBDBDB"/>
          </w:tcPr>
          <w:p>
            <w:pPr>
              <w:spacing w:after="0"/>
              <w:rPr>
                <w:sz w:val="18"/>
                <w:szCs w:val="18"/>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(1,266,507)</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(1,173,129)</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3,196,518</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3,077,287</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1D2758"/>
        </w:rPr>
        <w:t>NOTE 8 - Goodwill and Intangibles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1"/>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6"/>
        </w:trPr>
        <w:tc>
          <w:tcPr>
            <w:tcW w:w="5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Modular</w:t>
            </w: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Storage</w:t>
            </w: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521,049</w:t>
            </w:r>
          </w:p>
        </w:tc>
        <w:tc>
          <w:tcPr>
            <w:tcW w:w="44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492,552</w:t>
            </w:r>
          </w:p>
        </w:tc>
        <w:tc>
          <w:tcPr>
            <w:tcW w:w="500" w:type="dxa"/>
            <w:vAlign w:val="bottom"/>
            <w:gridSpan w:val="2"/>
            <w:shd w:val="clear" w:color="auto" w:fill="DBDBDB"/>
          </w:tcPr>
          <w:p>
            <w:pPr>
              <w:jc w:val="right"/>
              <w:ind w:right="300"/>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1,013,601</w:t>
            </w:r>
          </w:p>
        </w:tc>
      </w:tr>
      <w:tr>
        <w:trPr>
          <w:trHeight w:val="203"/>
        </w:trPr>
        <w:tc>
          <w:tcPr>
            <w:tcW w:w="57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(2,172)</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(2,172)</w:t>
            </w:r>
          </w:p>
        </w:tc>
      </w:tr>
      <w:tr>
        <w:trPr>
          <w:trHeight w:val="202"/>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34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518,877</w:t>
            </w: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492,552</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1,011,429</w:t>
            </w:r>
          </w:p>
        </w:tc>
      </w:tr>
      <w:tr>
        <w:trPr>
          <w:trHeight w:val="203"/>
        </w:trPr>
        <w:tc>
          <w:tcPr>
            <w:tcW w:w="57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706</w:t>
            </w:r>
          </w:p>
        </w:tc>
        <w:tc>
          <w:tcPr>
            <w:tcW w:w="8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706</w:t>
            </w:r>
          </w:p>
        </w:tc>
      </w:tr>
      <w:tr>
        <w:trPr>
          <w:trHeight w:val="219"/>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2023</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519,583</w:t>
            </w:r>
          </w:p>
        </w:tc>
        <w:tc>
          <w:tcPr>
            <w:tcW w:w="44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492,552</w:t>
            </w:r>
          </w:p>
        </w:tc>
        <w:tc>
          <w:tcPr>
            <w:tcW w:w="500" w:type="dxa"/>
            <w:vAlign w:val="bottom"/>
            <w:gridSpan w:val="2"/>
            <w:shd w:val="clear" w:color="auto" w:fill="DBDBDB"/>
          </w:tcPr>
          <w:p>
            <w:pPr>
              <w:jc w:val="right"/>
              <w:ind w:right="300"/>
              <w:spacing w:after="0"/>
              <w:rPr>
                <w:sz w:val="20"/>
                <w:szCs w:val="20"/>
                <w:color w:val="auto"/>
              </w:rPr>
            </w:pPr>
            <w:r>
              <w:rPr>
                <w:rFonts w:ascii="Arial" w:cs="Arial" w:eastAsia="Arial" w:hAnsi="Arial"/>
                <w:sz w:val="15"/>
                <w:szCs w:val="15"/>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1,012,135</w:t>
            </w:r>
          </w:p>
        </w:tc>
      </w:tr>
      <w:tr>
        <w:trPr>
          <w:trHeight w:val="20"/>
        </w:trPr>
        <w:tc>
          <w:tcPr>
            <w:tcW w:w="57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no goodwill impairment during the six months ended June 30, 2023 or the year ended December 31, 2022.</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00" w:type="dxa"/>
            <w:vAlign w:val="bottom"/>
            <w:gridSpan w:val="4"/>
            <w:shd w:val="clear" w:color="auto" w:fill="1D2758"/>
          </w:tcPr>
          <w:p>
            <w:pPr>
              <w:jc w:val="right"/>
              <w:ind w:right="941"/>
              <w:spacing w:after="0"/>
              <w:rPr>
                <w:sz w:val="20"/>
                <w:szCs w:val="20"/>
                <w:color w:val="auto"/>
              </w:rPr>
            </w:pPr>
            <w:r>
              <w:rPr>
                <w:rFonts w:ascii="Arial" w:cs="Arial" w:eastAsia="Arial" w:hAnsi="Arial"/>
                <w:sz w:val="15"/>
                <w:szCs w:val="15"/>
                <w:b w:val="1"/>
                <w:bCs w:val="1"/>
                <w:color w:val="FFFFFF"/>
              </w:rPr>
              <w:t>June 30, 2023</w:t>
            </w: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Gross carrying</w:t>
            </w:r>
          </w:p>
        </w:tc>
        <w:tc>
          <w:tcPr>
            <w:tcW w:w="80" w:type="dxa"/>
            <w:vAlign w:val="bottom"/>
            <w:shd w:val="clear" w:color="auto" w:fill="1D2758"/>
          </w:tcPr>
          <w:p>
            <w:pPr>
              <w:spacing w:after="0"/>
              <w:rPr>
                <w:sz w:val="13"/>
                <w:szCs w:val="13"/>
                <w:color w:val="auto"/>
              </w:rPr>
            </w:pPr>
          </w:p>
        </w:tc>
        <w:tc>
          <w:tcPr>
            <w:tcW w:w="200" w:type="dxa"/>
            <w:vAlign w:val="bottom"/>
            <w:shd w:val="clear" w:color="auto" w:fill="1D2758"/>
          </w:tcPr>
          <w:p>
            <w:pPr>
              <w:spacing w:after="0"/>
              <w:rPr>
                <w:sz w:val="13"/>
                <w:szCs w:val="13"/>
                <w:color w:val="auto"/>
              </w:rPr>
            </w:pPr>
          </w:p>
        </w:tc>
        <w:tc>
          <w:tcPr>
            <w:tcW w:w="1300" w:type="dxa"/>
            <w:vAlign w:val="bottom"/>
            <w:vMerge w:val="restart"/>
            <w:shd w:val="clear" w:color="auto" w:fill="1D2758"/>
          </w:tcPr>
          <w:p>
            <w:pPr>
              <w:jc w:val="right"/>
              <w:ind w:right="181"/>
              <w:spacing w:after="0"/>
              <w:rPr>
                <w:sz w:val="20"/>
                <w:szCs w:val="20"/>
                <w:color w:val="auto"/>
              </w:rPr>
            </w:pPr>
            <w:r>
              <w:rPr>
                <w:rFonts w:ascii="Arial" w:cs="Arial" w:eastAsia="Arial" w:hAnsi="Arial"/>
                <w:sz w:val="15"/>
                <w:szCs w:val="15"/>
                <w:b w:val="1"/>
                <w:bCs w:val="1"/>
                <w:color w:val="FFFFFF"/>
              </w:rPr>
              <w:t>Accumulated</w:t>
            </w: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2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320" w:type="dxa"/>
            <w:vAlign w:val="bottom"/>
            <w:vMerge w:val="continue"/>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200" w:type="dxa"/>
            <w:vAlign w:val="bottom"/>
            <w:shd w:val="clear" w:color="auto" w:fill="1D2758"/>
          </w:tcPr>
          <w:p>
            <w:pPr>
              <w:spacing w:after="0"/>
              <w:rPr>
                <w:sz w:val="13"/>
                <w:szCs w:val="13"/>
                <w:color w:val="auto"/>
              </w:rPr>
            </w:pPr>
          </w:p>
        </w:tc>
        <w:tc>
          <w:tcPr>
            <w:tcW w:w="1300" w:type="dxa"/>
            <w:vAlign w:val="bottom"/>
            <w:vMerge w:val="continue"/>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w w:val="99"/>
              </w:rPr>
              <w:t>years)</w:t>
            </w:r>
          </w:p>
        </w:tc>
        <w:tc>
          <w:tcPr>
            <w:tcW w:w="16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amount</w:t>
            </w: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201"/>
              <w:spacing w:after="0"/>
              <w:rPr>
                <w:sz w:val="20"/>
                <w:szCs w:val="20"/>
                <w:color w:val="auto"/>
              </w:rPr>
            </w:pPr>
            <w:r>
              <w:rPr>
                <w:rFonts w:ascii="Arial" w:cs="Arial" w:eastAsia="Arial" w:hAnsi="Arial"/>
                <w:sz w:val="15"/>
                <w:szCs w:val="15"/>
                <w:b w:val="1"/>
                <w:bCs w:val="1"/>
                <w:color w:val="FFFFFF"/>
              </w:rPr>
              <w:t>amortization</w:t>
            </w: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ind w:right="3"/>
              <w:spacing w:after="0"/>
              <w:rPr>
                <w:sz w:val="20"/>
                <w:szCs w:val="20"/>
                <w:color w:val="auto"/>
              </w:rPr>
            </w:pPr>
            <w:r>
              <w:rPr>
                <w:rFonts w:ascii="Arial" w:cs="Arial" w:eastAsia="Arial" w:hAnsi="Arial"/>
                <w:sz w:val="15"/>
                <w:szCs w:val="15"/>
                <w:color w:val="auto"/>
                <w:w w:val="95"/>
              </w:rPr>
              <w:t>5.0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188,000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(70,500)</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117,500</w:t>
            </w:r>
          </w:p>
        </w:tc>
        <w:tc>
          <w:tcPr>
            <w:tcW w:w="0" w:type="dxa"/>
            <w:vAlign w:val="bottom"/>
          </w:tcPr>
          <w:p>
            <w:pPr>
              <w:spacing w:after="0"/>
              <w:rPr>
                <w:sz w:val="1"/>
                <w:szCs w:val="1"/>
                <w:color w:val="auto"/>
              </w:rPr>
            </w:pPr>
          </w:p>
        </w:tc>
      </w:tr>
      <w:tr>
        <w:trPr>
          <w:trHeight w:val="20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ind w:right="3"/>
              <w:spacing w:after="0"/>
              <w:rPr>
                <w:sz w:val="20"/>
                <w:szCs w:val="20"/>
                <w:color w:val="auto"/>
              </w:rPr>
            </w:pPr>
            <w:r>
              <w:rPr>
                <w:rFonts w:ascii="Arial" w:cs="Arial" w:eastAsia="Arial" w:hAnsi="Arial"/>
                <w:sz w:val="15"/>
                <w:szCs w:val="15"/>
                <w:color w:val="auto"/>
                <w:w w:val="95"/>
              </w:rPr>
              <w:t>3.0</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201"/>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19"/>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478,500</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(71,250)</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407,250</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00" w:type="dxa"/>
            <w:vAlign w:val="bottom"/>
            <w:gridSpan w:val="4"/>
            <w:shd w:val="clear" w:color="auto" w:fill="1D2758"/>
          </w:tcPr>
          <w:p>
            <w:pPr>
              <w:jc w:val="right"/>
              <w:ind w:right="741"/>
              <w:spacing w:after="0"/>
              <w:rPr>
                <w:sz w:val="20"/>
                <w:szCs w:val="20"/>
                <w:color w:val="auto"/>
              </w:rPr>
            </w:pPr>
            <w:r>
              <w:rPr>
                <w:rFonts w:ascii="Arial" w:cs="Arial" w:eastAsia="Arial" w:hAnsi="Arial"/>
                <w:sz w:val="15"/>
                <w:szCs w:val="15"/>
                <w:b w:val="1"/>
                <w:bCs w:val="1"/>
                <w:color w:val="FFFFFF"/>
              </w:rPr>
              <w:t>December 31, 2022</w:t>
            </w: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Gross carrying</w:t>
            </w:r>
          </w:p>
        </w:tc>
        <w:tc>
          <w:tcPr>
            <w:tcW w:w="80" w:type="dxa"/>
            <w:vAlign w:val="bottom"/>
            <w:shd w:val="clear" w:color="auto" w:fill="1D2758"/>
          </w:tcPr>
          <w:p>
            <w:pPr>
              <w:spacing w:after="0"/>
              <w:rPr>
                <w:sz w:val="13"/>
                <w:szCs w:val="13"/>
                <w:color w:val="auto"/>
              </w:rPr>
            </w:pPr>
          </w:p>
        </w:tc>
        <w:tc>
          <w:tcPr>
            <w:tcW w:w="200" w:type="dxa"/>
            <w:vAlign w:val="bottom"/>
            <w:shd w:val="clear" w:color="auto" w:fill="1D2758"/>
          </w:tcPr>
          <w:p>
            <w:pPr>
              <w:spacing w:after="0"/>
              <w:rPr>
                <w:sz w:val="13"/>
                <w:szCs w:val="13"/>
                <w:color w:val="auto"/>
              </w:rPr>
            </w:pPr>
          </w:p>
        </w:tc>
        <w:tc>
          <w:tcPr>
            <w:tcW w:w="1300" w:type="dxa"/>
            <w:vAlign w:val="bottom"/>
            <w:vMerge w:val="restart"/>
            <w:shd w:val="clear" w:color="auto" w:fill="1D2758"/>
          </w:tcPr>
          <w:p>
            <w:pPr>
              <w:jc w:val="right"/>
              <w:ind w:right="181"/>
              <w:spacing w:after="0"/>
              <w:rPr>
                <w:sz w:val="20"/>
                <w:szCs w:val="20"/>
                <w:color w:val="auto"/>
              </w:rPr>
            </w:pPr>
            <w:r>
              <w:rPr>
                <w:rFonts w:ascii="Arial" w:cs="Arial" w:eastAsia="Arial" w:hAnsi="Arial"/>
                <w:sz w:val="15"/>
                <w:szCs w:val="15"/>
                <w:b w:val="1"/>
                <w:bCs w:val="1"/>
                <w:color w:val="FFFFFF"/>
              </w:rPr>
              <w:t>Accumulated</w:t>
            </w: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2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320" w:type="dxa"/>
            <w:vAlign w:val="bottom"/>
            <w:vMerge w:val="continue"/>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200" w:type="dxa"/>
            <w:vAlign w:val="bottom"/>
            <w:shd w:val="clear" w:color="auto" w:fill="1D2758"/>
          </w:tcPr>
          <w:p>
            <w:pPr>
              <w:spacing w:after="0"/>
              <w:rPr>
                <w:sz w:val="13"/>
                <w:szCs w:val="13"/>
                <w:color w:val="auto"/>
              </w:rPr>
            </w:pPr>
          </w:p>
        </w:tc>
        <w:tc>
          <w:tcPr>
            <w:tcW w:w="1300" w:type="dxa"/>
            <w:vAlign w:val="bottom"/>
            <w:vMerge w:val="continue"/>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w w:val="99"/>
              </w:rPr>
              <w:t>years)</w:t>
            </w:r>
          </w:p>
        </w:tc>
        <w:tc>
          <w:tcPr>
            <w:tcW w:w="16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amount</w:t>
            </w: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201"/>
              <w:spacing w:after="0"/>
              <w:rPr>
                <w:sz w:val="20"/>
                <w:szCs w:val="20"/>
                <w:color w:val="auto"/>
              </w:rPr>
            </w:pPr>
            <w:r>
              <w:rPr>
                <w:rFonts w:ascii="Arial" w:cs="Arial" w:eastAsia="Arial" w:hAnsi="Arial"/>
                <w:sz w:val="15"/>
                <w:szCs w:val="15"/>
                <w:b w:val="1"/>
                <w:bCs w:val="1"/>
                <w:color w:val="FFFFFF"/>
              </w:rPr>
              <w:t>amortization</w:t>
            </w: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ind w:right="3"/>
              <w:spacing w:after="0"/>
              <w:rPr>
                <w:sz w:val="20"/>
                <w:szCs w:val="20"/>
                <w:color w:val="auto"/>
              </w:rPr>
            </w:pPr>
            <w:r>
              <w:rPr>
                <w:rFonts w:ascii="Arial" w:cs="Arial" w:eastAsia="Arial" w:hAnsi="Arial"/>
                <w:sz w:val="15"/>
                <w:szCs w:val="15"/>
                <w:color w:val="auto"/>
                <w:w w:val="95"/>
              </w:rPr>
              <w:t>5.5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188,000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(58,750)</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129,250</w:t>
            </w:r>
          </w:p>
        </w:tc>
        <w:tc>
          <w:tcPr>
            <w:tcW w:w="0" w:type="dxa"/>
            <w:vAlign w:val="bottom"/>
          </w:tcPr>
          <w:p>
            <w:pPr>
              <w:spacing w:after="0"/>
              <w:rPr>
                <w:sz w:val="1"/>
                <w:szCs w:val="1"/>
                <w:color w:val="auto"/>
              </w:rPr>
            </w:pPr>
          </w:p>
        </w:tc>
      </w:tr>
      <w:tr>
        <w:trPr>
          <w:trHeight w:val="209"/>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ind w:right="3"/>
              <w:spacing w:after="0"/>
              <w:rPr>
                <w:sz w:val="20"/>
                <w:szCs w:val="20"/>
                <w:color w:val="auto"/>
              </w:rPr>
            </w:pPr>
            <w:r>
              <w:rPr>
                <w:rFonts w:ascii="Arial" w:cs="Arial" w:eastAsia="Arial" w:hAnsi="Arial"/>
                <w:sz w:val="15"/>
                <w:szCs w:val="15"/>
                <w:color w:val="auto"/>
                <w:w w:val="95"/>
              </w:rPr>
              <w:t>3.5</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875</w:t>
            </w:r>
          </w:p>
        </w:tc>
        <w:tc>
          <w:tcPr>
            <w:tcW w:w="0" w:type="dxa"/>
            <w:vAlign w:val="bottom"/>
          </w:tcPr>
          <w:p>
            <w:pPr>
              <w:spacing w:after="0"/>
              <w:rPr>
                <w:sz w:val="1"/>
                <w:szCs w:val="1"/>
                <w:color w:val="auto"/>
              </w:rPr>
            </w:pPr>
          </w:p>
        </w:tc>
      </w:tr>
      <w:tr>
        <w:trPr>
          <w:trHeight w:val="201"/>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8"/>
        </w:trPr>
        <w:tc>
          <w:tcPr>
            <w:tcW w:w="50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125,000</w:t>
            </w:r>
          </w:p>
        </w:tc>
        <w:tc>
          <w:tcPr>
            <w:tcW w:w="8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0"/>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478,500</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(59,375)</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419,125</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Amortization expense related to intangible assets was $6.0 million and $5.9 million for the three months ended June 30, 2023 and 2022, respectively, and $11.9 million and $11.8 million for the six months ended June 30, 2023 and 2022, respectively.</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Based on the carrying value at June 30, 2023, future amortization of intangible assets is expected to be as follows for the years ended December 31: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shd w:val="clear" w:color="auto" w:fill="1D2758"/>
          </w:tcPr>
          <w:p>
            <w:pPr>
              <w:spacing w:after="0"/>
              <w:rPr>
                <w:sz w:val="17"/>
                <w:szCs w:val="17"/>
                <w:color w:val="auto"/>
              </w:rPr>
            </w:pPr>
          </w:p>
        </w:tc>
        <w:tc>
          <w:tcPr>
            <w:tcW w:w="1480" w:type="dxa"/>
            <w:vAlign w:val="bottom"/>
            <w:shd w:val="clear" w:color="auto" w:fill="1D2758"/>
          </w:tcPr>
          <w:p>
            <w:pPr>
              <w:spacing w:after="0"/>
              <w:rPr>
                <w:sz w:val="17"/>
                <w:szCs w:val="17"/>
                <w:color w:val="auto"/>
              </w:rPr>
            </w:pPr>
          </w:p>
        </w:tc>
      </w:tr>
      <w:tr>
        <w:trPr>
          <w:trHeight w:val="206"/>
        </w:trPr>
        <w:tc>
          <w:tcPr>
            <w:tcW w:w="8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 (remaining)</w:t>
            </w:r>
          </w:p>
        </w:tc>
        <w:tc>
          <w:tcPr>
            <w:tcW w:w="980" w:type="dxa"/>
            <w:vAlign w:val="bottom"/>
            <w:shd w:val="clear" w:color="auto" w:fill="DBDBDB"/>
          </w:tcPr>
          <w:p>
            <w:pPr>
              <w:jc w:val="right"/>
              <w:ind w:right="80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11,875</w:t>
            </w:r>
          </w:p>
        </w:tc>
      </w:tr>
      <w:tr>
        <w:trPr>
          <w:trHeight w:val="203"/>
        </w:trPr>
        <w:tc>
          <w:tcPr>
            <w:tcW w:w="8780" w:type="dxa"/>
            <w:vAlign w:val="bottom"/>
          </w:tcPr>
          <w:p>
            <w:pPr>
              <w:ind w:left="20"/>
              <w:spacing w:after="0"/>
              <w:rPr>
                <w:sz w:val="20"/>
                <w:szCs w:val="20"/>
                <w:color w:val="auto"/>
              </w:rPr>
            </w:pPr>
            <w:r>
              <w:rPr>
                <w:rFonts w:ascii="Arial" w:cs="Arial" w:eastAsia="Arial" w:hAnsi="Arial"/>
                <w:sz w:val="15"/>
                <w:szCs w:val="15"/>
                <w:color w:val="auto"/>
              </w:rPr>
              <w:t>2024</w:t>
            </w:r>
          </w:p>
        </w:tc>
        <w:tc>
          <w:tcPr>
            <w:tcW w:w="9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23,750</w:t>
            </w:r>
          </w:p>
        </w:tc>
      </w:tr>
      <w:tr>
        <w:trPr>
          <w:trHeight w:val="209"/>
        </w:trPr>
        <w:tc>
          <w:tcPr>
            <w:tcW w:w="8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9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23,750</w:t>
            </w:r>
          </w:p>
        </w:tc>
      </w:tr>
      <w:tr>
        <w:trPr>
          <w:trHeight w:val="203"/>
        </w:trPr>
        <w:tc>
          <w:tcPr>
            <w:tcW w:w="8780" w:type="dxa"/>
            <w:vAlign w:val="bottom"/>
          </w:tcPr>
          <w:p>
            <w:pPr>
              <w:ind w:left="20"/>
              <w:spacing w:after="0"/>
              <w:rPr>
                <w:sz w:val="20"/>
                <w:szCs w:val="20"/>
                <w:color w:val="auto"/>
              </w:rPr>
            </w:pPr>
            <w:r>
              <w:rPr>
                <w:rFonts w:ascii="Arial" w:cs="Arial" w:eastAsia="Arial" w:hAnsi="Arial"/>
                <w:sz w:val="15"/>
                <w:szCs w:val="15"/>
                <w:color w:val="auto"/>
              </w:rPr>
              <w:t>2026</w:t>
            </w:r>
          </w:p>
        </w:tc>
        <w:tc>
          <w:tcPr>
            <w:tcW w:w="9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23,625</w:t>
            </w:r>
          </w:p>
        </w:tc>
      </w:tr>
      <w:tr>
        <w:trPr>
          <w:trHeight w:val="209"/>
        </w:trPr>
        <w:tc>
          <w:tcPr>
            <w:tcW w:w="8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9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23,500</w:t>
            </w:r>
          </w:p>
        </w:tc>
      </w:tr>
      <w:tr>
        <w:trPr>
          <w:trHeight w:val="203"/>
        </w:trPr>
        <w:tc>
          <w:tcPr>
            <w:tcW w:w="87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9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11,750</w:t>
            </w:r>
          </w:p>
        </w:tc>
      </w:tr>
      <w:tr>
        <w:trPr>
          <w:trHeight w:val="227"/>
        </w:trPr>
        <w:tc>
          <w:tcPr>
            <w:tcW w:w="87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w:t>
            </w:r>
          </w:p>
        </w:tc>
        <w:tc>
          <w:tcPr>
            <w:tcW w:w="980" w:type="dxa"/>
            <w:vAlign w:val="bottom"/>
            <w:tcBorders>
              <w:bottom w:val="single" w:sz="8" w:color="auto"/>
            </w:tcBorders>
            <w:shd w:val="clear" w:color="auto" w:fill="DBDBDB"/>
          </w:tcPr>
          <w:p>
            <w:pPr>
              <w:jc w:val="right"/>
              <w:ind w:right="80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118,250</w:t>
            </w:r>
          </w:p>
        </w:tc>
      </w:tr>
      <w:tr>
        <w:trPr>
          <w:trHeight w:val="20"/>
        </w:trPr>
        <w:tc>
          <w:tcPr>
            <w:tcW w:w="87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1D2758"/>
        </w:rPr>
        <w:t>NOTE 9 - Debt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40" w:type="dxa"/>
            <w:vAlign w:val="bottom"/>
            <w:gridSpan w:val="5"/>
          </w:tcPr>
          <w:p>
            <w:pPr>
              <w:ind w:left="62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34"/>
        </w:trPr>
        <w:tc>
          <w:tcPr>
            <w:tcW w:w="3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Pr>
          <w:p>
            <w:pPr>
              <w:spacing w:after="0"/>
              <w:rPr>
                <w:sz w:val="11"/>
                <w:szCs w:val="11"/>
                <w:color w:val="auto"/>
              </w:rPr>
            </w:pPr>
          </w:p>
        </w:tc>
      </w:tr>
      <w:tr>
        <w:trPr>
          <w:trHeight w:val="206"/>
        </w:trPr>
        <w:tc>
          <w:tcPr>
            <w:tcW w:w="33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1920" w:type="dxa"/>
            <w:vAlign w:val="bottom"/>
            <w:shd w:val="clear" w:color="auto" w:fill="1D2758"/>
          </w:tcPr>
          <w:p>
            <w:pPr>
              <w:jc w:val="center"/>
              <w:ind w:left="203"/>
              <w:spacing w:after="0"/>
              <w:rPr>
                <w:sz w:val="20"/>
                <w:szCs w:val="20"/>
                <w:color w:val="auto"/>
              </w:rPr>
            </w:pPr>
            <w:r>
              <w:rPr>
                <w:rFonts w:ascii="Arial" w:cs="Arial" w:eastAsia="Arial" w:hAnsi="Arial"/>
                <w:sz w:val="15"/>
                <w:szCs w:val="15"/>
                <w:b w:val="1"/>
                <w:bCs w:val="1"/>
                <w:color w:val="FFFFFF"/>
              </w:rPr>
              <w:t>Interest rate</w:t>
            </w:r>
          </w:p>
        </w:tc>
        <w:tc>
          <w:tcPr>
            <w:tcW w:w="19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300" w:type="dxa"/>
            <w:vAlign w:val="bottom"/>
            <w:shd w:val="clear" w:color="auto" w:fill="1D2758"/>
          </w:tcPr>
          <w:p>
            <w:pPr>
              <w:spacing w:after="0"/>
              <w:rPr>
                <w:sz w:val="17"/>
                <w:szCs w:val="17"/>
                <w:color w:val="auto"/>
              </w:rPr>
            </w:pPr>
          </w:p>
        </w:tc>
        <w:tc>
          <w:tcPr>
            <w:tcW w:w="1700" w:type="dxa"/>
            <w:vAlign w:val="bottom"/>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June 30, 2023</w:t>
            </w:r>
          </w:p>
        </w:tc>
        <w:tc>
          <w:tcPr>
            <w:tcW w:w="10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80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3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1920" w:type="dxa"/>
            <w:vAlign w:val="bottom"/>
            <w:shd w:val="clear" w:color="auto" w:fill="DBDBDB"/>
          </w:tcPr>
          <w:p>
            <w:pPr>
              <w:jc w:val="center"/>
              <w:ind w:left="203"/>
              <w:spacing w:after="0"/>
              <w:rPr>
                <w:sz w:val="20"/>
                <w:szCs w:val="20"/>
                <w:color w:val="auto"/>
              </w:rPr>
            </w:pPr>
            <w:r>
              <w:rPr>
                <w:rFonts w:ascii="Arial" w:cs="Arial" w:eastAsia="Arial" w:hAnsi="Arial"/>
                <w:sz w:val="15"/>
                <w:szCs w:val="15"/>
                <w:color w:val="auto"/>
              </w:rPr>
              <w:t>6.125%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521,523</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5"/>
                <w:szCs w:val="15"/>
                <w:color w:val="auto"/>
              </w:rPr>
              <w:t>$</w:t>
            </w:r>
          </w:p>
        </w:tc>
        <w:tc>
          <w:tcPr>
            <w:tcW w:w="18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520,350</w:t>
            </w:r>
          </w:p>
        </w:tc>
      </w:tr>
      <w:tr>
        <w:trPr>
          <w:trHeight w:val="206"/>
        </w:trPr>
        <w:tc>
          <w:tcPr>
            <w:tcW w:w="3320" w:type="dxa"/>
            <w:vAlign w:val="bottom"/>
          </w:tcPr>
          <w:p>
            <w:pPr>
              <w:ind w:left="20"/>
              <w:spacing w:after="0" w:line="207" w:lineRule="exact"/>
              <w:rPr>
                <w:sz w:val="20"/>
                <w:szCs w:val="20"/>
                <w:color w:val="auto"/>
              </w:rPr>
            </w:pPr>
            <w:r>
              <w:rPr>
                <w:rFonts w:ascii="Arial" w:cs="Arial" w:eastAsia="Arial" w:hAnsi="Arial"/>
                <w:sz w:val="15"/>
                <w:szCs w:val="15"/>
                <w:color w:val="auto"/>
              </w:rPr>
              <w:t>ABL Facility</w:t>
            </w:r>
            <w:r>
              <w:rPr>
                <w:rFonts w:ascii="Arial" w:cs="Arial" w:eastAsia="Arial" w:hAnsi="Arial"/>
                <w:sz w:val="20"/>
                <w:szCs w:val="20"/>
                <w:color w:val="auto"/>
                <w:vertAlign w:val="superscript"/>
              </w:rPr>
              <w:t>(a)</w:t>
            </w:r>
          </w:p>
        </w:tc>
        <w:tc>
          <w:tcPr>
            <w:tcW w:w="1920" w:type="dxa"/>
            <w:vAlign w:val="bottom"/>
          </w:tcPr>
          <w:p>
            <w:pPr>
              <w:jc w:val="center"/>
              <w:ind w:left="223"/>
              <w:spacing w:after="0"/>
              <w:rPr>
                <w:sz w:val="20"/>
                <w:szCs w:val="20"/>
                <w:color w:val="auto"/>
              </w:rPr>
            </w:pPr>
            <w:r>
              <w:rPr>
                <w:rFonts w:ascii="Arial" w:cs="Arial" w:eastAsia="Arial" w:hAnsi="Arial"/>
                <w:sz w:val="15"/>
                <w:szCs w:val="15"/>
                <w:color w:val="auto"/>
                <w:w w:val="98"/>
              </w:rPr>
              <w:t>Varies</w:t>
            </w:r>
          </w:p>
        </w:tc>
        <w:tc>
          <w:tcPr>
            <w:tcW w:w="1900" w:type="dxa"/>
            <w:vAlign w:val="bottom"/>
          </w:tcPr>
          <w:p>
            <w:pPr>
              <w:jc w:val="center"/>
              <w:spacing w:after="0"/>
              <w:rPr>
                <w:sz w:val="20"/>
                <w:szCs w:val="20"/>
                <w:color w:val="auto"/>
              </w:rPr>
            </w:pPr>
            <w:r>
              <w:rPr>
                <w:rFonts w:ascii="Arial" w:cs="Arial" w:eastAsia="Arial" w:hAnsi="Arial"/>
                <w:sz w:val="15"/>
                <w:szCs w:val="15"/>
                <w:color w:val="auto"/>
              </w:rPr>
              <w:t>2027</w:t>
            </w:r>
          </w:p>
        </w:tc>
        <w:tc>
          <w:tcPr>
            <w:tcW w:w="30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1,943,243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3"/>
              <w:spacing w:after="0"/>
              <w:rPr>
                <w:sz w:val="20"/>
                <w:szCs w:val="20"/>
                <w:color w:val="auto"/>
              </w:rPr>
            </w:pPr>
            <w:r>
              <w:rPr>
                <w:rFonts w:ascii="Arial" w:cs="Arial" w:eastAsia="Arial" w:hAnsi="Arial"/>
                <w:sz w:val="15"/>
                <w:szCs w:val="15"/>
                <w:color w:val="auto"/>
              </w:rPr>
              <w:t>1,988,176</w:t>
            </w:r>
          </w:p>
        </w:tc>
      </w:tr>
      <w:tr>
        <w:trPr>
          <w:trHeight w:val="206"/>
        </w:trPr>
        <w:tc>
          <w:tcPr>
            <w:tcW w:w="3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920" w:type="dxa"/>
            <w:vAlign w:val="bottom"/>
            <w:shd w:val="clear" w:color="auto" w:fill="DBDBDB"/>
          </w:tcPr>
          <w:p>
            <w:pPr>
              <w:jc w:val="center"/>
              <w:ind w:left="203"/>
              <w:spacing w:after="0"/>
              <w:rPr>
                <w:sz w:val="20"/>
                <w:szCs w:val="20"/>
                <w:color w:val="auto"/>
              </w:rPr>
            </w:pPr>
            <w:r>
              <w:rPr>
                <w:rFonts w:ascii="Arial" w:cs="Arial" w:eastAsia="Arial" w:hAnsi="Arial"/>
                <w:sz w:val="15"/>
                <w:szCs w:val="15"/>
                <w:color w:val="auto"/>
              </w:rPr>
              <w:t>4.625%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300" w:type="dxa"/>
            <w:vAlign w:val="bottom"/>
            <w:shd w:val="clear" w:color="auto" w:fill="DBDBDB"/>
          </w:tcPr>
          <w:p>
            <w:pPr>
              <w:spacing w:after="0"/>
              <w:rPr>
                <w:sz w:val="17"/>
                <w:szCs w:val="17"/>
                <w:color w:val="auto"/>
              </w:rPr>
            </w:pP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493,979</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493,470</w:t>
            </w:r>
          </w:p>
        </w:tc>
      </w:tr>
      <w:tr>
        <w:trPr>
          <w:trHeight w:val="203"/>
        </w:trPr>
        <w:tc>
          <w:tcPr>
            <w:tcW w:w="33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Finance Leases</w:t>
            </w:r>
          </w:p>
        </w:tc>
        <w:tc>
          <w:tcPr>
            <w:tcW w:w="1920" w:type="dxa"/>
            <w:vAlign w:val="bottom"/>
            <w:tcBorders>
              <w:bottom w:val="single" w:sz="8" w:color="DBDBDB"/>
            </w:tcBorders>
          </w:tcPr>
          <w:p>
            <w:pPr>
              <w:jc w:val="center"/>
              <w:ind w:left="223"/>
              <w:spacing w:after="0"/>
              <w:rPr>
                <w:sz w:val="20"/>
                <w:szCs w:val="20"/>
                <w:color w:val="auto"/>
              </w:rPr>
            </w:pPr>
            <w:r>
              <w:rPr>
                <w:rFonts w:ascii="Arial" w:cs="Arial" w:eastAsia="Arial" w:hAnsi="Arial"/>
                <w:sz w:val="15"/>
                <w:szCs w:val="15"/>
                <w:color w:val="auto"/>
                <w:w w:val="98"/>
              </w:rPr>
              <w:t>Varies</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w w:val="98"/>
              </w:rPr>
              <w:t>Varies</w:t>
            </w: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90,728</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74,370</w:t>
            </w:r>
          </w:p>
        </w:tc>
      </w:tr>
      <w:tr>
        <w:trPr>
          <w:trHeight w:val="202"/>
        </w:trPr>
        <w:tc>
          <w:tcPr>
            <w:tcW w:w="3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192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3,049,473</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3,076,366</w:t>
            </w:r>
          </w:p>
        </w:tc>
      </w:tr>
      <w:tr>
        <w:trPr>
          <w:trHeight w:val="203"/>
        </w:trPr>
        <w:tc>
          <w:tcPr>
            <w:tcW w:w="33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current portion of long-term debt</w:t>
            </w:r>
          </w:p>
        </w:tc>
        <w:tc>
          <w:tcPr>
            <w:tcW w:w="1920" w:type="dxa"/>
            <w:vAlign w:val="bottom"/>
            <w:tcBorders>
              <w:bottom w:val="single" w:sz="8" w:color="DBDBDB"/>
            </w:tcBorders>
          </w:tcPr>
          <w:p>
            <w:pPr>
              <w:spacing w:after="0"/>
              <w:rPr>
                <w:sz w:val="17"/>
                <w:szCs w:val="17"/>
                <w:color w:val="auto"/>
              </w:rPr>
            </w:pPr>
          </w:p>
        </w:tc>
        <w:tc>
          <w:tcPr>
            <w:tcW w:w="19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13,952</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13,324</w:t>
            </w:r>
          </w:p>
        </w:tc>
      </w:tr>
      <w:tr>
        <w:trPr>
          <w:trHeight w:val="219"/>
        </w:trPr>
        <w:tc>
          <w:tcPr>
            <w:tcW w:w="33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long-term debt</w:t>
            </w:r>
          </w:p>
        </w:tc>
        <w:tc>
          <w:tcPr>
            <w:tcW w:w="1920" w:type="dxa"/>
            <w:vAlign w:val="bottom"/>
            <w:shd w:val="clear" w:color="auto" w:fill="DBDBDB"/>
          </w:tcPr>
          <w:p>
            <w:pPr>
              <w:spacing w:after="0"/>
              <w:rPr>
                <w:sz w:val="19"/>
                <w:szCs w:val="19"/>
                <w:color w:val="auto"/>
              </w:rPr>
            </w:pPr>
          </w:p>
        </w:tc>
        <w:tc>
          <w:tcPr>
            <w:tcW w:w="19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3,035,521</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5"/>
                <w:szCs w:val="15"/>
                <w:color w:val="auto"/>
              </w:rPr>
              <w:t>$</w:t>
            </w:r>
          </w:p>
        </w:tc>
        <w:tc>
          <w:tcPr>
            <w:tcW w:w="18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3,063,042</w:t>
            </w:r>
          </w:p>
        </w:tc>
      </w:tr>
      <w:tr>
        <w:trPr>
          <w:trHeight w:val="20"/>
        </w:trPr>
        <w:tc>
          <w:tcPr>
            <w:tcW w:w="3320" w:type="dxa"/>
            <w:vAlign w:val="bottom"/>
            <w:tcBorders>
              <w:top w:val="single" w:sz="8" w:color="DBDBDB"/>
            </w:tcBorders>
          </w:tcPr>
          <w:p>
            <w:pPr>
              <w:spacing w:after="0" w:line="20" w:lineRule="exact"/>
              <w:rPr>
                <w:sz w:val="1"/>
                <w:szCs w:val="1"/>
                <w:color w:val="auto"/>
              </w:rPr>
            </w:pPr>
          </w:p>
        </w:tc>
        <w:tc>
          <w:tcPr>
            <w:tcW w:w="1920" w:type="dxa"/>
            <w:vAlign w:val="bottom"/>
            <w:tcBorders>
              <w:top w:val="single" w:sz="8" w:color="DBDBDB"/>
            </w:tcBorders>
          </w:tcPr>
          <w:p>
            <w:pPr>
              <w:spacing w:after="0" w:line="20" w:lineRule="exact"/>
              <w:rPr>
                <w:sz w:val="1"/>
                <w:szCs w:val="1"/>
                <w:color w:val="auto"/>
              </w:rPr>
            </w:pPr>
          </w:p>
        </w:tc>
        <w:tc>
          <w:tcPr>
            <w:tcW w:w="19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
        <w:spacing w:after="0" w:line="259" w:lineRule="auto"/>
        <w:tabs>
          <w:tab w:leader="none" w:pos="206"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June 30, 2023, the Company had $28.3 million of outstanding principal borrowings on the Multicurrency Facility and $2.3 million of related debt issuance costs recorded as a direct offset against the principal borrowings on the Multicurrency Facility. As of December 31, 2022, the Company had no outstanding principal borrowings on the Multicurrency Facility and $2.5 million of related debt issuance costs, which were recorded in other non-current assets on the condensed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On July 1, 2020, certain subsidiaries of the Company entered into an asset-based credit agreement (the "ABL Facility") that initially provided for revolving credit facilities in the aggregate principal amount of up to $2.4 billion, consisting of: (i) a senior secured asset-based US dollar revolving credit facility in the aggregate principal amount of $2.0 billion and (ii) a $400.0 million senior secured asset-based multicurrency revolving credit facility available to be drawn in US Dollars, Canadian Dollars, British Pounds Sterling or Euros. The ABL Facility was initially scheduled to mature on July 1, 2025.</w:t>
      </w:r>
    </w:p>
    <w:p>
      <w:pPr>
        <w:spacing w:after="0" w:line="1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On June 30, 2022, certain subsidiaries of the Company entered into an amendment to the ABL Facility to, among other things, extend the expiration date until June 30, 2027 and increase the aggregate principal amount of the revolving credit facilities to $3.7 billion, consisting of: (i) a senior secured asset-based US dollar revolving credit facility in the aggregate principal amount of $3.3 billion (the “US Facility”) and (ii) a $400.0 million senior secured asset-based multicurrency revolving credit facility (the "Multicurrency Facility"), available to be drawn in US Dollars, Canadian Dollars, British Pounds Sterling 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9" w:name="page20"/>
    <w:bookmarkEnd w:id="19"/>
    <w:p>
      <w:pPr>
        <w:jc w:val="both"/>
        <w:spacing w:after="0" w:line="262" w:lineRule="auto"/>
        <w:rPr>
          <w:sz w:val="20"/>
          <w:szCs w:val="20"/>
          <w:color w:val="auto"/>
        </w:rPr>
      </w:pPr>
      <w:r>
        <w:rPr>
          <w:rFonts w:ascii="Arial" w:cs="Arial" w:eastAsia="Arial" w:hAnsi="Arial"/>
          <w:sz w:val="15"/>
          <w:szCs w:val="15"/>
          <w:color w:val="auto"/>
        </w:rPr>
        <w:t>Euros. The amendment also converted the interest rate for borrowings denominated in US Dollars from a LIBOR-based rate to a Term-SOFR-based rate with an interest period of one month and adjusted the applicable margins. The applicable margin for Canadian BA rate, Term SOFR, British Pounds Sterling and Euros loans is 1.50%. The facility includes a credit spread adjustment of 0.10% in addition to the applicable margin. The applicable margin for base rate and Canadian Prime Rate loans is 0.50%. The applicable margins are subject to one step down of 0.25% based on excess availability or one step up of 0.25% based on the Company's leverage ratio. The ABL Facility requires the payment of a commitment fee on the unused available borrowings of 0.20% annually. The weighted average interest rate on the balance outstanding as of June 30, 2023, as adjusted for the effects of the interest rate swap agreements, was 6.11%. Refer to Note 12 for a more detailed discussion on interest rate management.</w:t>
      </w:r>
    </w:p>
    <w:p>
      <w:pPr>
        <w:spacing w:after="0" w:line="36"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June 30, 2023, the Line Cap was $3.0 billion and the Borrowers had $1.0 billion of available borrowing capacity under the ABL Facility, including $829.4 million under the US Facility and $209.6 million under the Multicurrency Facility. Borrowing capacity under the ABL Facility is made available for up to $220.0 million letters of credit and $220.0 million of swingline loans. At June 30, 2023, the available capacity was $205.6 million of letters of credit and $212.0 million of swingline loans. At June 30, 2023, letters of credit and bank guarantees carried fees of 1.625%. The Company had issued $14.4 million of standby letters of credit under the ABL Facility at June 30, 2023.</w:t>
      </w:r>
    </w:p>
    <w:p>
      <w:pPr>
        <w:spacing w:after="0" w:line="2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Company had approximately $2.0 billion outstanding principal under the ABL Facility at June 30, 2023. Debt issuance costs of $30.6 million were included in the carrying value of the ABL Facility at June 30, 2023.</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7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Company maintains finance leases primarily related to transportation equipment. At June 30, 2023 and December 31, 2022, obligations under finance leases for certain real property and transportation related equipment were $90.7 million and $74.4 million, respectively. Refer to Note 5 for further information.</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was in compliance with all debt covenants and restrictions associated with its debt instruments as of June 30, 2023.</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1D2758"/>
        </w:rPr>
        <w:t>NOTE 10 – Equity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7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In connection with the stock compensation vesting events and stock option exercises described in Note 14, the Company issued 419,530 shares of Common Stock during the six months ended June 30, 2023.</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7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May 2023, the Board of Directors approved an increase to the share repurchase program authorizing the Company to repurchase up to $1.0 billion of its outstanding shares of Common Stock and equivalents. The stock repurchase program does not obligate the Company to purchase any particular number of shares, and the timing and exact amount of any repurchases will depend on various factors, including market pricing, business, legal, accounting, and other considerations.</w:t>
      </w:r>
    </w:p>
    <w:p>
      <w:pPr>
        <w:spacing w:after="0" w:line="3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In August 2022, the Inflation Reduction Act of 2022 was enacted into law and imposed a nondeductible 1% excise tax on the net value of certain stock repurchases made after December 31, 2022. The Company reflected the applicable excise tax in equity as part of the cost basis of the stock repurchased and recorded a corresponding liability for the excise taxes payable in accrued expenses on the consolidated balance sheet.</w:t>
      </w:r>
    </w:p>
    <w:p>
      <w:pPr>
        <w:spacing w:after="0" w:line="1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During the six months ended June 30, 2023, the Company repurchased 9,995,319 shares of Common Stock for $454.9 million, excluding excise tax. As of June 30, 2023, $854.1 million of the approved share repurchase pool remained available.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six months ended June 30, 2023 and 2022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060" w:type="dxa"/>
            <w:vAlign w:val="bottom"/>
            <w:gridSpan w:val="6"/>
            <w:shd w:val="clear" w:color="auto" w:fill="1D2758"/>
          </w:tcPr>
          <w:p>
            <w:pPr>
              <w:jc w:val="center"/>
              <w:ind w:left="1083"/>
              <w:spacing w:after="0"/>
              <w:rPr>
                <w:sz w:val="20"/>
                <w:szCs w:val="20"/>
                <w:color w:val="auto"/>
              </w:rPr>
            </w:pPr>
            <w:r>
              <w:rPr>
                <w:rFonts w:ascii="Arial" w:cs="Arial" w:eastAsia="Arial" w:hAnsi="Arial"/>
                <w:sz w:val="15"/>
                <w:szCs w:val="15"/>
                <w:b w:val="1"/>
                <w:bCs w:val="1"/>
                <w:color w:val="FFFFFF"/>
              </w:rPr>
              <w:t>Six Months Ended June 30, 2023</w:t>
            </w: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620" w:type="dxa"/>
            <w:vAlign w:val="bottom"/>
            <w:shd w:val="clear" w:color="auto" w:fill="1D2758"/>
          </w:tcPr>
          <w:p>
            <w:pPr>
              <w:jc w:val="right"/>
              <w:ind w:right="183"/>
              <w:spacing w:after="0" w:line="155" w:lineRule="exact"/>
              <w:rPr>
                <w:sz w:val="20"/>
                <w:szCs w:val="20"/>
                <w:color w:val="auto"/>
              </w:rPr>
            </w:pPr>
            <w:r>
              <w:rPr>
                <w:rFonts w:ascii="Arial" w:cs="Arial" w:eastAsia="Arial" w:hAnsi="Arial"/>
                <w:sz w:val="15"/>
                <w:szCs w:val="15"/>
                <w:b w:val="1"/>
                <w:bCs w:val="1"/>
                <w:color w:val="FFFFFF"/>
              </w:rPr>
              <w:t>Foreign currency</w:t>
            </w:r>
          </w:p>
        </w:tc>
        <w:tc>
          <w:tcPr>
            <w:tcW w:w="10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66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Unrealized gains on</w:t>
            </w:r>
          </w:p>
        </w:tc>
        <w:tc>
          <w:tcPr>
            <w:tcW w:w="100" w:type="dxa"/>
            <w:vAlign w:val="bottom"/>
            <w:shd w:val="clear" w:color="auto" w:fill="1D2758"/>
          </w:tcPr>
          <w:p>
            <w:pPr>
              <w:spacing w:after="0"/>
              <w:rPr>
                <w:sz w:val="13"/>
                <w:szCs w:val="13"/>
                <w:color w:val="auto"/>
              </w:rPr>
            </w:pPr>
          </w:p>
        </w:tc>
        <w:tc>
          <w:tcPr>
            <w:tcW w:w="46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20" w:type="dxa"/>
            <w:vAlign w:val="bottom"/>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translation</w:t>
            </w: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66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hedging activities</w:t>
            </w:r>
          </w:p>
        </w:tc>
        <w:tc>
          <w:tcPr>
            <w:tcW w:w="10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5"/>
                <w:szCs w:val="15"/>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income before reclassifications</w:t>
            </w:r>
          </w:p>
        </w:tc>
        <w:tc>
          <w:tcPr>
            <w:tcW w:w="18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7,934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8,793</w:t>
            </w:r>
          </w:p>
        </w:tc>
        <w:tc>
          <w:tcPr>
            <w:tcW w:w="0" w:type="dxa"/>
            <w:vAlign w:val="bottom"/>
          </w:tcPr>
          <w:p>
            <w:pPr>
              <w:spacing w:after="0"/>
              <w:rPr>
                <w:sz w:val="1"/>
                <w:szCs w:val="1"/>
                <w:color w:val="auto"/>
              </w:rPr>
            </w:pPr>
          </w:p>
        </w:tc>
      </w:tr>
      <w:tr>
        <w:trPr>
          <w:trHeight w:val="206"/>
        </w:trPr>
        <w:tc>
          <w:tcPr>
            <w:tcW w:w="56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shd w:val="clear" w:color="auto" w:fill="DBDBDB"/>
          </w:tcPr>
          <w:p>
            <w:pPr>
              <w:spacing w:after="0"/>
              <w:rPr>
                <w:sz w:val="17"/>
                <w:szCs w:val="17"/>
                <w:color w:val="auto"/>
              </w:rPr>
            </w:pPr>
          </w:p>
        </w:tc>
        <w:tc>
          <w:tcPr>
            <w:tcW w:w="16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(1,526)</w:t>
            </w:r>
          </w:p>
        </w:tc>
        <w:tc>
          <w:tcPr>
            <w:tcW w:w="10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(1,526)</w:t>
            </w:r>
          </w:p>
        </w:tc>
        <w:tc>
          <w:tcPr>
            <w:tcW w:w="0" w:type="dxa"/>
            <w:vAlign w:val="bottom"/>
          </w:tcPr>
          <w:p>
            <w:pPr>
              <w:spacing w:after="0"/>
              <w:rPr>
                <w:sz w:val="1"/>
                <w:szCs w:val="1"/>
                <w:color w:val="auto"/>
              </w:rPr>
            </w:pPr>
          </w:p>
        </w:tc>
      </w:tr>
      <w:tr>
        <w:trPr>
          <w:trHeight w:val="199"/>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2023</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(62,188)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(667)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(62,855)</w:t>
            </w:r>
          </w:p>
        </w:tc>
        <w:tc>
          <w:tcPr>
            <w:tcW w:w="0" w:type="dxa"/>
            <w:vAlign w:val="bottom"/>
          </w:tcPr>
          <w:p>
            <w:pPr>
              <w:spacing w:after="0"/>
              <w:rPr>
                <w:sz w:val="1"/>
                <w:szCs w:val="1"/>
                <w:color w:val="auto"/>
              </w:rPr>
            </w:pPr>
          </w:p>
        </w:tc>
      </w:tr>
      <w:tr>
        <w:trPr>
          <w:trHeight w:val="209"/>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before reclassifications</w:t>
            </w:r>
          </w:p>
        </w:tc>
        <w:tc>
          <w:tcPr>
            <w:tcW w:w="18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5,915</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15,761</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21,676</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19"/>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2023</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(56,273)</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5"/>
                <w:szCs w:val="15"/>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12,164</w:t>
            </w: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(44,109)</w:t>
            </w:r>
          </w:p>
        </w:tc>
        <w:tc>
          <w:tcPr>
            <w:tcW w:w="0" w:type="dxa"/>
            <w:vAlign w:val="bottom"/>
          </w:tcPr>
          <w:p>
            <w:pPr>
              <w:spacing w:after="0"/>
              <w:rPr>
                <w:sz w:val="1"/>
                <w:szCs w:val="1"/>
                <w:color w:val="auto"/>
              </w:rPr>
            </w:pP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060" w:type="dxa"/>
            <w:vAlign w:val="bottom"/>
            <w:gridSpan w:val="6"/>
            <w:shd w:val="clear" w:color="auto" w:fill="1D2758"/>
          </w:tcPr>
          <w:p>
            <w:pPr>
              <w:jc w:val="center"/>
              <w:ind w:left="1083"/>
              <w:spacing w:after="0"/>
              <w:rPr>
                <w:sz w:val="20"/>
                <w:szCs w:val="20"/>
                <w:color w:val="auto"/>
              </w:rPr>
            </w:pPr>
            <w:r>
              <w:rPr>
                <w:rFonts w:ascii="Arial" w:cs="Arial" w:eastAsia="Arial" w:hAnsi="Arial"/>
                <w:sz w:val="15"/>
                <w:szCs w:val="15"/>
                <w:b w:val="1"/>
                <w:bCs w:val="1"/>
                <w:color w:val="FFFFFF"/>
              </w:rPr>
              <w:t>Six Months Ended June 30, 2022</w:t>
            </w: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620" w:type="dxa"/>
            <w:vAlign w:val="bottom"/>
            <w:shd w:val="clear" w:color="auto" w:fill="1D2758"/>
          </w:tcPr>
          <w:p>
            <w:pPr>
              <w:jc w:val="right"/>
              <w:ind w:right="183"/>
              <w:spacing w:after="0" w:line="155" w:lineRule="exact"/>
              <w:rPr>
                <w:sz w:val="20"/>
                <w:szCs w:val="20"/>
                <w:color w:val="auto"/>
              </w:rPr>
            </w:pPr>
            <w:r>
              <w:rPr>
                <w:rFonts w:ascii="Arial" w:cs="Arial" w:eastAsia="Arial" w:hAnsi="Arial"/>
                <w:sz w:val="15"/>
                <w:szCs w:val="15"/>
                <w:b w:val="1"/>
                <w:bCs w:val="1"/>
                <w:color w:val="FFFFFF"/>
              </w:rPr>
              <w:t>Foreign currency</w:t>
            </w:r>
          </w:p>
        </w:tc>
        <w:tc>
          <w:tcPr>
            <w:tcW w:w="100" w:type="dxa"/>
            <w:vAlign w:val="bottom"/>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680" w:type="dxa"/>
            <w:vAlign w:val="bottom"/>
            <w:shd w:val="clear" w:color="auto" w:fill="1D2758"/>
          </w:tcPr>
          <w:p>
            <w:pPr>
              <w:jc w:val="center"/>
              <w:ind w:right="23"/>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100" w:type="dxa"/>
            <w:vAlign w:val="bottom"/>
            <w:shd w:val="clear" w:color="auto" w:fill="1D2758"/>
          </w:tcPr>
          <w:p>
            <w:pPr>
              <w:spacing w:after="0"/>
              <w:rPr>
                <w:sz w:val="13"/>
                <w:szCs w:val="13"/>
                <w:color w:val="auto"/>
              </w:rPr>
            </w:pPr>
          </w:p>
        </w:tc>
        <w:tc>
          <w:tcPr>
            <w:tcW w:w="46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20" w:type="dxa"/>
            <w:vAlign w:val="bottom"/>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translation</w:t>
            </w:r>
          </w:p>
        </w:tc>
        <w:tc>
          <w:tcPr>
            <w:tcW w:w="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8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hedging activities</w:t>
            </w:r>
          </w:p>
        </w:tc>
        <w:tc>
          <w:tcPr>
            <w:tcW w:w="10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(25,574)</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(3,497)</w:t>
            </w: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(4,074)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(569)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(4,643)</w:t>
            </w:r>
          </w:p>
        </w:tc>
        <w:tc>
          <w:tcPr>
            <w:tcW w:w="0" w:type="dxa"/>
            <w:vAlign w:val="bottom"/>
          </w:tcPr>
          <w:p>
            <w:pPr>
              <w:spacing w:after="0"/>
              <w:rPr>
                <w:sz w:val="1"/>
                <w:szCs w:val="1"/>
                <w:color w:val="auto"/>
              </w:rPr>
            </w:pPr>
          </w:p>
        </w:tc>
      </w:tr>
      <w:tr>
        <w:trPr>
          <w:trHeight w:val="206"/>
        </w:trPr>
        <w:tc>
          <w:tcPr>
            <w:tcW w:w="56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shd w:val="clear" w:color="auto" w:fill="DBDBDB"/>
          </w:tcPr>
          <w:p>
            <w:pPr>
              <w:spacing w:after="0"/>
              <w:rPr>
                <w:sz w:val="17"/>
                <w:szCs w:val="17"/>
                <w:color w:val="auto"/>
              </w:rPr>
            </w:pPr>
          </w:p>
        </w:tc>
        <w:tc>
          <w:tcPr>
            <w:tcW w:w="16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10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99"/>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(29,648)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(1,176)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(30,824)</w:t>
            </w:r>
          </w:p>
        </w:tc>
        <w:tc>
          <w:tcPr>
            <w:tcW w:w="0" w:type="dxa"/>
            <w:vAlign w:val="bottom"/>
          </w:tcPr>
          <w:p>
            <w:pPr>
              <w:spacing w:after="0"/>
              <w:rPr>
                <w:sz w:val="1"/>
                <w:szCs w:val="1"/>
                <w:color w:val="auto"/>
              </w:rPr>
            </w:pPr>
          </w:p>
        </w:tc>
      </w:tr>
      <w:tr>
        <w:trPr>
          <w:trHeight w:val="209"/>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(25,628)</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(464)</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(26,092)</w:t>
            </w:r>
          </w:p>
        </w:tc>
        <w:tc>
          <w:tcPr>
            <w:tcW w:w="0" w:type="dxa"/>
            <w:vAlign w:val="bottom"/>
          </w:tcPr>
          <w:p>
            <w:pPr>
              <w:spacing w:after="0"/>
              <w:rPr>
                <w:sz w:val="1"/>
                <w:szCs w:val="1"/>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w:t>
            </w:r>
          </w:p>
        </w:tc>
        <w:tc>
          <w:tcPr>
            <w:tcW w:w="0" w:type="dxa"/>
            <w:vAlign w:val="bottom"/>
          </w:tcPr>
          <w:p>
            <w:pPr>
              <w:spacing w:after="0"/>
              <w:rPr>
                <w:sz w:val="1"/>
                <w:szCs w:val="1"/>
                <w:color w:val="auto"/>
              </w:rPr>
            </w:pPr>
          </w:p>
        </w:tc>
      </w:tr>
      <w:tr>
        <w:trPr>
          <w:trHeight w:val="219"/>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2022</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0" w:type="dxa"/>
            <w:vAlign w:val="bottom"/>
          </w:tcPr>
          <w:p>
            <w:pPr>
              <w:spacing w:after="0"/>
              <w:rPr>
                <w:sz w:val="1"/>
                <w:szCs w:val="1"/>
                <w:color w:val="auto"/>
              </w:rPr>
            </w:pP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For the three months ended June 30, 2023 and 2022, a gain of $2.9 million and a loss of $1.6 million, respectively, were reclassified from AOCI into the condensed consolidated statements of operations within interest expense related to the interest rate swaps. For the six months ended June 30, 2023 and 2022, a gain of $4.5 million and a loss of $4.5 million, respectively, were reclassified from AOCI into the condensed consolidated statements of operations within interest expense related to the interest rate swaps. The interest rate swaps are discussed in Note 12. Associated with these reclassifications, the Company recorded tax expense of $0.7 million and a tax benefit of $0.4 million for the three months ended June 30, 2023 and 2022, respectively, and tax expense of $1.1 million and a tax benefit of $1.1 million for the six months ended June 30, 2023 and 2022,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1D2758"/>
        </w:rPr>
        <w:t>NOTE 11 – Income Taxes</w:t>
      </w:r>
    </w:p>
    <w:p>
      <w:pPr>
        <w:spacing w:after="0" w:line="12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color w:val="auto"/>
        </w:rPr>
        <w:t>The Company recorded $31.6 million and $62.1 million of income tax expense for the three and six months ended June 30, 2023, respectively, and $20.8 million and $32.9 million of income tax benefit for the three and six months ended June 30, 2022, respectively. The Company’s effective tax rate for the three and six months ended June 30, 2023 was 26.5% and 27.5%, respectively. The Company's effective tax rate for the three and six months ended June 30, 2022 was 25.8% and 24.9%, respectively.</w:t>
      </w:r>
    </w:p>
    <w:p>
      <w:pPr>
        <w:jc w:val="both"/>
        <w:ind w:firstLine="619"/>
        <w:spacing w:after="0" w:line="269" w:lineRule="auto"/>
        <w:rPr>
          <w:sz w:val="20"/>
          <w:szCs w:val="20"/>
          <w:color w:val="auto"/>
        </w:rPr>
      </w:pPr>
      <w:r>
        <w:rPr>
          <w:rFonts w:ascii="Arial" w:cs="Arial" w:eastAsia="Arial" w:hAnsi="Arial"/>
          <w:sz w:val="15"/>
          <w:szCs w:val="15"/>
          <w:color w:val="auto"/>
        </w:rPr>
        <w:t>The effective tax rate for the three and six months ended June 30, 2023 differs from the US federal statutory rate of 21% primarily due to state and provincial taxes and an add-back for non-deductible executive compensation. The effective tax rate for the three and six months ended June 30, 2022 differed from the US federal statutory rate of 21% primarily due to state and provincial taxes offset by a discrete tax benefit related to employee stock vesting.</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1D2758"/>
        </w:rPr>
        <w:t>NOTE 12 - Derivatives</w:t>
      </w:r>
    </w:p>
    <w:p>
      <w:pPr>
        <w:spacing w:after="0" w:line="11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2018, the Company entered into an interest rate swap agreement with a financial counterparty that effectively converted $400.0 million in aggregate notional amount of variable-rate debt under the Company’s former asset backed lending facility into fixed-rate debt. Under the terms of the agreement, the Company received a floating rate equal to one-month LIBOR and made payments based on a fixed rate of 3.06% on the notional amount. The swap agreement was designated and qualified as a hedge of the Company’s exposure to changes in interest payment cash flows created by fluctuations in variable interest rates on the former asset backed lending facility and terminated on May 29, 2022.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1" w:name="page22"/>
    <w:bookmarkEnd w:id="21"/>
    <w:p>
      <w:pPr>
        <w:jc w:val="both"/>
        <w:ind w:firstLine="619"/>
        <w:spacing w:after="0" w:line="268"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Company’s ABL Facility. Under the terms of the agreements, the Company receives a floating rate equal to one-month term SOFR and makes payments based on a weighted average fixed interest rate of 3.44% on the notional amount. The swap agreements were designated and qualified as hedges of the Company’s exposure to changes in interest payment cash flows created by fluctuations in variable interest rates on the ABL Facility. The swap agreements terminate on June 30, 2027. The floating rate that the Company receives under the terms of these swap agreements was 5.08% at June 30, 2023.</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100" w:type="dxa"/>
            <w:vAlign w:val="bottom"/>
            <w:shd w:val="clear" w:color="auto" w:fill="1D2758"/>
          </w:tcPr>
          <w:p>
            <w:pPr>
              <w:ind w:left="2660"/>
              <w:spacing w:after="0"/>
              <w:rPr>
                <w:sz w:val="20"/>
                <w:szCs w:val="20"/>
                <w:color w:val="auto"/>
              </w:rPr>
            </w:pPr>
            <w:r>
              <w:rPr>
                <w:rFonts w:ascii="Arial" w:cs="Arial" w:eastAsia="Arial" w:hAnsi="Arial"/>
                <w:sz w:val="15"/>
                <w:szCs w:val="15"/>
                <w:b w:val="1"/>
                <w:bCs w:val="1"/>
                <w:color w:val="FFFFFF"/>
              </w:rPr>
              <w:t>Balance Sheet Location</w:t>
            </w:r>
          </w:p>
        </w:tc>
        <w:tc>
          <w:tcPr>
            <w:tcW w:w="1160" w:type="dxa"/>
            <w:vAlign w:val="bottom"/>
            <w:shd w:val="clear" w:color="auto" w:fill="1D2758"/>
          </w:tcPr>
          <w:p>
            <w:pPr>
              <w:spacing w:after="0"/>
              <w:rPr>
                <w:sz w:val="20"/>
                <w:szCs w:val="20"/>
                <w:color w:val="auto"/>
              </w:rPr>
            </w:pPr>
          </w:p>
        </w:tc>
        <w:tc>
          <w:tcPr>
            <w:tcW w:w="220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June 30, 2023</w:t>
            </w:r>
          </w:p>
        </w:tc>
      </w:tr>
      <w:tr>
        <w:trPr>
          <w:trHeight w:val="206"/>
        </w:trPr>
        <w:tc>
          <w:tcPr>
            <w:tcW w:w="2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51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2200" w:type="dxa"/>
            <w:vAlign w:val="bottom"/>
            <w:shd w:val="clear" w:color="auto" w:fill="DBDBDB"/>
          </w:tcPr>
          <w:p>
            <w:pPr>
              <w:spacing w:after="0"/>
              <w:rPr>
                <w:sz w:val="17"/>
                <w:szCs w:val="17"/>
                <w:color w:val="auto"/>
              </w:rPr>
            </w:pPr>
          </w:p>
        </w:tc>
      </w:tr>
      <w:tr>
        <w:trPr>
          <w:trHeight w:val="203"/>
        </w:trPr>
        <w:tc>
          <w:tcPr>
            <w:tcW w:w="2780" w:type="dxa"/>
            <w:vAlign w:val="bottom"/>
          </w:tcPr>
          <w:p>
            <w:pPr>
              <w:ind w:left="220"/>
              <w:spacing w:after="0"/>
              <w:rPr>
                <w:sz w:val="20"/>
                <w:szCs w:val="20"/>
                <w:color w:val="auto"/>
              </w:rPr>
            </w:pPr>
            <w:r>
              <w:rPr>
                <w:rFonts w:ascii="Arial" w:cs="Arial" w:eastAsia="Arial" w:hAnsi="Arial"/>
                <w:sz w:val="15"/>
                <w:szCs w:val="15"/>
                <w:color w:val="auto"/>
              </w:rPr>
              <w:t>Interest rate swap</w:t>
            </w:r>
          </w:p>
        </w:tc>
        <w:tc>
          <w:tcPr>
            <w:tcW w:w="5100" w:type="dxa"/>
            <w:vAlign w:val="bottom"/>
          </w:tcPr>
          <w:p>
            <w:pPr>
              <w:ind w:left="1300"/>
              <w:spacing w:after="0"/>
              <w:rPr>
                <w:sz w:val="20"/>
                <w:szCs w:val="20"/>
                <w:color w:val="auto"/>
              </w:rPr>
            </w:pPr>
            <w:r>
              <w:rPr>
                <w:rFonts w:ascii="Arial" w:cs="Arial" w:eastAsia="Arial" w:hAnsi="Arial"/>
                <w:sz w:val="15"/>
                <w:szCs w:val="15"/>
                <w:color w:val="auto"/>
              </w:rPr>
              <w:t>Prepaid expenses and other current assets</w:t>
            </w:r>
          </w:p>
        </w:tc>
        <w:tc>
          <w:tcPr>
            <w:tcW w:w="116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2200" w:type="dxa"/>
            <w:vAlign w:val="bottom"/>
          </w:tcPr>
          <w:p>
            <w:pPr>
              <w:jc w:val="right"/>
              <w:spacing w:after="0"/>
              <w:rPr>
                <w:sz w:val="20"/>
                <w:szCs w:val="20"/>
                <w:color w:val="auto"/>
              </w:rPr>
            </w:pPr>
            <w:r>
              <w:rPr>
                <w:rFonts w:ascii="Arial" w:cs="Arial" w:eastAsia="Arial" w:hAnsi="Arial"/>
                <w:sz w:val="15"/>
                <w:szCs w:val="15"/>
                <w:color w:val="auto"/>
              </w:rPr>
              <w:t>13,215</w:t>
            </w:r>
          </w:p>
        </w:tc>
      </w:tr>
      <w:tr>
        <w:trPr>
          <w:trHeight w:val="209"/>
        </w:trPr>
        <w:tc>
          <w:tcPr>
            <w:tcW w:w="2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w:t>
            </w:r>
          </w:p>
        </w:tc>
        <w:tc>
          <w:tcPr>
            <w:tcW w:w="5100" w:type="dxa"/>
            <w:vAlign w:val="bottom"/>
            <w:shd w:val="clear" w:color="auto" w:fill="DBDBDB"/>
          </w:tcPr>
          <w:p>
            <w:pPr>
              <w:ind w:left="1300"/>
              <w:spacing w:after="0"/>
              <w:rPr>
                <w:sz w:val="20"/>
                <w:szCs w:val="20"/>
                <w:color w:val="auto"/>
              </w:rPr>
            </w:pPr>
            <w:r>
              <w:rPr>
                <w:rFonts w:ascii="Arial" w:cs="Arial" w:eastAsia="Arial" w:hAnsi="Arial"/>
                <w:sz w:val="15"/>
                <w:szCs w:val="15"/>
                <w:color w:val="auto"/>
              </w:rPr>
              <w:t>Other non-current assets</w:t>
            </w:r>
          </w:p>
        </w:tc>
        <w:tc>
          <w:tcPr>
            <w:tcW w:w="116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3,134</w:t>
            </w:r>
          </w:p>
        </w:tc>
      </w:tr>
    </w:tbl>
    <w:p>
      <w:pPr>
        <w:spacing w:after="0" w:line="13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fair values of the interest rate swaps are based on dealer quotes of market forward rates, Level 2 inputs on the fair value hierarchy, and reflect the amounts that the Company would receive or pay as of June 30, 2023 for contracts involving the same attributes and maturity dates.</w:t>
      </w:r>
    </w:p>
    <w:p>
      <w:pPr>
        <w:spacing w:after="0" w:line="1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following table discloses the impact of the interest rate swaps, excluding the impact of income taxes, on other comprehensive income (“OCI”), AOCI and the Company’s statements of operations for the six months ended June 30, 2023 and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12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2023</w:t>
            </w:r>
          </w:p>
        </w:tc>
        <w:tc>
          <w:tcPr>
            <w:tcW w:w="24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recognized in OCI</w:t>
            </w:r>
          </w:p>
        </w:tc>
        <w:tc>
          <w:tcPr>
            <w:tcW w:w="21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20,666</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4,669</w:t>
            </w:r>
          </w:p>
        </w:tc>
      </w:tr>
      <w:tr>
        <w:trPr>
          <w:trHeight w:val="203"/>
        </w:trPr>
        <w:tc>
          <w:tcPr>
            <w:tcW w:w="5120" w:type="dxa"/>
            <w:vAlign w:val="bottom"/>
          </w:tcPr>
          <w:p>
            <w:pPr>
              <w:ind w:left="20"/>
              <w:spacing w:after="0"/>
              <w:rPr>
                <w:sz w:val="20"/>
                <w:szCs w:val="20"/>
                <w:color w:val="auto"/>
              </w:rPr>
            </w:pPr>
            <w:r>
              <w:rPr>
                <w:rFonts w:ascii="Arial" w:cs="Arial" w:eastAsia="Arial" w:hAnsi="Arial"/>
                <w:sz w:val="15"/>
                <w:szCs w:val="15"/>
                <w:color w:val="auto"/>
              </w:rPr>
              <w:t>Location of gain (loss) recognized in income</w:t>
            </w:r>
          </w:p>
        </w:tc>
        <w:tc>
          <w:tcPr>
            <w:tcW w:w="2120" w:type="dxa"/>
            <w:vAlign w:val="bottom"/>
          </w:tcPr>
          <w:p>
            <w:pPr>
              <w:spacing w:after="0"/>
              <w:rPr>
                <w:sz w:val="17"/>
                <w:szCs w:val="17"/>
                <w:color w:val="auto"/>
              </w:rPr>
            </w:pPr>
          </w:p>
        </w:tc>
        <w:tc>
          <w:tcPr>
            <w:tcW w:w="1900" w:type="dxa"/>
            <w:vAlign w:val="bottom"/>
          </w:tcPr>
          <w:p>
            <w:pPr>
              <w:jc w:val="center"/>
              <w:ind w:right="183"/>
              <w:spacing w:after="0"/>
              <w:rPr>
                <w:sz w:val="20"/>
                <w:szCs w:val="20"/>
                <w:color w:val="auto"/>
              </w:rPr>
            </w:pPr>
            <w:r>
              <w:rPr>
                <w:rFonts w:ascii="Arial" w:cs="Arial" w:eastAsia="Arial" w:hAnsi="Arial"/>
                <w:sz w:val="15"/>
                <w:szCs w:val="15"/>
                <w:color w:val="auto"/>
              </w:rPr>
              <w:t>Interest expense, net</w:t>
            </w:r>
          </w:p>
        </w:tc>
        <w:tc>
          <w:tcPr>
            <w:tcW w:w="240" w:type="dxa"/>
            <w:vAlign w:val="bottom"/>
          </w:tcPr>
          <w:p>
            <w:pPr>
              <w:spacing w:after="0"/>
              <w:rPr>
                <w:sz w:val="17"/>
                <w:szCs w:val="17"/>
                <w:color w:val="auto"/>
              </w:rPr>
            </w:pPr>
          </w:p>
        </w:tc>
        <w:tc>
          <w:tcPr>
            <w:tcW w:w="1860" w:type="dxa"/>
            <w:vAlign w:val="bottom"/>
          </w:tcPr>
          <w:p>
            <w:pPr>
              <w:jc w:val="right"/>
              <w:ind w:right="223"/>
              <w:spacing w:after="0"/>
              <w:rPr>
                <w:sz w:val="20"/>
                <w:szCs w:val="20"/>
                <w:color w:val="auto"/>
              </w:rPr>
            </w:pPr>
            <w:r>
              <w:rPr>
                <w:rFonts w:ascii="Arial" w:cs="Arial" w:eastAsia="Arial" w:hAnsi="Arial"/>
                <w:sz w:val="15"/>
                <w:szCs w:val="15"/>
                <w:color w:val="auto"/>
              </w:rPr>
              <w:t>Interest expense, net</w:t>
            </w:r>
          </w:p>
        </w:tc>
      </w:tr>
      <w:tr>
        <w:trPr>
          <w:trHeight w:val="209"/>
        </w:trPr>
        <w:tc>
          <w:tcPr>
            <w:tcW w:w="5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loss reclassified from AOCI into income</w:t>
            </w:r>
          </w:p>
        </w:tc>
        <w:tc>
          <w:tcPr>
            <w:tcW w:w="21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(4,456)</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4,530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Contract</w:t>
      </w:r>
    </w:p>
    <w:p>
      <w:pPr>
        <w:spacing w:after="0" w:line="7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In December 2022, the Company executed a contingent forward contract to sell £330.0 million upon the closing of the sale of the former UK Storage Solutions segment at a price ranging from 1.20550 to 1.20440 US Dollars (USD) to British Pounds Sterling. The price was dependent upon the date of the closing of the sale. This contract, which was to expire on September 11, 2023, mitigated the foreign currency risk of the USD relative to the British Pound Sterling prior to the closing of the sale of the former UK Storage Solutions segment. This contract did not qualify for hedge accounting and was revalued at fair value at the reporting period with unrealized gains and losses reflected in the Company's results of operations. Upon the closing of the sale of the former UK Storage Solutions segment on January 31, 2023, the Company settled the contingent foreign currency forward contract and received cash at an exchange rate of 1.205 USD to British Pounds Sterling.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ind w:left="620"/>
              <w:spacing w:after="0"/>
              <w:rPr>
                <w:sz w:val="20"/>
                <w:szCs w:val="20"/>
                <w:color w:val="auto"/>
              </w:rPr>
            </w:pPr>
            <w:r>
              <w:rPr>
                <w:rFonts w:ascii="Arial" w:cs="Arial" w:eastAsia="Arial" w:hAnsi="Arial"/>
                <w:sz w:val="15"/>
                <w:szCs w:val="15"/>
                <w:color w:val="auto"/>
              </w:rPr>
              <w:t>The location and the fair value of the foreign currency contract was as follows:</w:t>
            </w:r>
          </w:p>
        </w:tc>
        <w:tc>
          <w:tcPr>
            <w:tcW w:w="2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70"/>
        </w:trPr>
        <w:tc>
          <w:tcPr>
            <w:tcW w:w="61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20" w:type="dxa"/>
            <w:vAlign w:val="bottom"/>
          </w:tcPr>
          <w:p>
            <w:pPr>
              <w:spacing w:after="0"/>
              <w:rPr>
                <w:sz w:val="6"/>
                <w:szCs w:val="6"/>
                <w:color w:val="auto"/>
              </w:rPr>
            </w:pPr>
          </w:p>
        </w:tc>
      </w:tr>
      <w:tr>
        <w:trPr>
          <w:trHeight w:val="206"/>
        </w:trPr>
        <w:tc>
          <w:tcPr>
            <w:tcW w:w="6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80" w:type="dxa"/>
            <w:vAlign w:val="bottom"/>
            <w:shd w:val="clear" w:color="auto" w:fill="1D2758"/>
          </w:tcPr>
          <w:p>
            <w:pPr>
              <w:ind w:left="680"/>
              <w:spacing w:after="0"/>
              <w:rPr>
                <w:sz w:val="20"/>
                <w:szCs w:val="20"/>
                <w:color w:val="auto"/>
              </w:rPr>
            </w:pPr>
            <w:r>
              <w:rPr>
                <w:rFonts w:ascii="Arial" w:cs="Arial" w:eastAsia="Arial" w:hAnsi="Arial"/>
                <w:sz w:val="15"/>
                <w:szCs w:val="15"/>
                <w:b w:val="1"/>
                <w:bCs w:val="1"/>
                <w:color w:val="FFFFFF"/>
              </w:rPr>
              <w:t>Balance Sheet Location</w:t>
            </w:r>
          </w:p>
        </w:tc>
        <w:tc>
          <w:tcPr>
            <w:tcW w:w="480" w:type="dxa"/>
            <w:vAlign w:val="bottom"/>
            <w:shd w:val="clear" w:color="auto" w:fill="1D2758"/>
          </w:tcPr>
          <w:p>
            <w:pPr>
              <w:spacing w:after="0"/>
              <w:rPr>
                <w:sz w:val="17"/>
                <w:szCs w:val="17"/>
                <w:color w:val="auto"/>
              </w:rPr>
            </w:pPr>
          </w:p>
        </w:tc>
        <w:tc>
          <w:tcPr>
            <w:tcW w:w="1920" w:type="dxa"/>
            <w:vAlign w:val="bottom"/>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6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Foreign currency contract</w:t>
            </w:r>
          </w:p>
        </w:tc>
        <w:tc>
          <w:tcPr>
            <w:tcW w:w="2680" w:type="dxa"/>
            <w:vAlign w:val="bottom"/>
            <w:shd w:val="clear" w:color="auto" w:fill="DBDBDB"/>
          </w:tcPr>
          <w:p>
            <w:pPr>
              <w:ind w:left="200"/>
              <w:spacing w:after="0"/>
              <w:rPr>
                <w:sz w:val="20"/>
                <w:szCs w:val="20"/>
                <w:color w:val="auto"/>
              </w:rPr>
            </w:pPr>
            <w:r>
              <w:rPr>
                <w:rFonts w:ascii="Arial" w:cs="Arial" w:eastAsia="Arial" w:hAnsi="Arial"/>
                <w:sz w:val="15"/>
                <w:szCs w:val="15"/>
                <w:color w:val="auto"/>
              </w:rPr>
              <w:t>Accrued liabilities</w:t>
            </w:r>
          </w:p>
        </w:tc>
        <w:tc>
          <w:tcPr>
            <w:tcW w:w="48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930</w:t>
            </w:r>
          </w:p>
        </w:tc>
      </w:tr>
    </w:tbl>
    <w:p>
      <w:pPr>
        <w:spacing w:after="0" w:line="121"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5"/>
          <w:szCs w:val="15"/>
          <w:color w:val="auto"/>
        </w:rPr>
        <w:t>The fair value of the foreign currency contract was based on dealer quotes of market forward rates, a Level 2 input on the fair value hierarchy, and reflected the amount that the Company would receive or pay for contracts involving the same attributes and maturity dates.</w:t>
      </w:r>
    </w:p>
    <w:p>
      <w:pPr>
        <w:jc w:val="both"/>
        <w:ind w:firstLine="619"/>
        <w:spacing w:after="0" w:line="283" w:lineRule="auto"/>
        <w:rPr>
          <w:sz w:val="20"/>
          <w:szCs w:val="20"/>
          <w:color w:val="auto"/>
        </w:rPr>
      </w:pPr>
      <w:r>
        <w:rPr>
          <w:rFonts w:ascii="Arial" w:cs="Arial" w:eastAsia="Arial" w:hAnsi="Arial"/>
          <w:sz w:val="15"/>
          <w:szCs w:val="15"/>
          <w:color w:val="auto"/>
        </w:rPr>
        <w:t>The location and the impact of the foreign currency contract, excluding the impact of income taxes, on the Company’s statement of operations for the six months ended June 30, 2023 was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00" w:type="dxa"/>
            <w:vAlign w:val="bottom"/>
            <w:vMerge w:val="restart"/>
            <w:shd w:val="clear" w:color="auto" w:fill="1D2758"/>
          </w:tcPr>
          <w:p>
            <w:pPr>
              <w:ind w:left="2600"/>
              <w:spacing w:after="0"/>
              <w:rPr>
                <w:sz w:val="20"/>
                <w:szCs w:val="20"/>
                <w:color w:val="auto"/>
              </w:rPr>
            </w:pPr>
            <w:r>
              <w:rPr>
                <w:rFonts w:ascii="Arial" w:cs="Arial" w:eastAsia="Arial" w:hAnsi="Arial"/>
                <w:sz w:val="15"/>
                <w:szCs w:val="15"/>
                <w:b w:val="1"/>
                <w:bCs w:val="1"/>
                <w:color w:val="FFFFFF"/>
              </w:rPr>
              <w:t>Income Statement Location</w:t>
            </w:r>
          </w:p>
        </w:tc>
        <w:tc>
          <w:tcPr>
            <w:tcW w:w="2340" w:type="dxa"/>
            <w:vAlign w:val="bottom"/>
            <w:gridSpan w:val="2"/>
            <w:shd w:val="clear" w:color="auto" w:fill="1D2758"/>
          </w:tcPr>
          <w:p>
            <w:pPr>
              <w:jc w:val="center"/>
              <w:ind w:left="103"/>
              <w:spacing w:after="0"/>
              <w:rPr>
                <w:sz w:val="20"/>
                <w:szCs w:val="20"/>
                <w:color w:val="auto"/>
              </w:rPr>
            </w:pPr>
            <w:r>
              <w:rPr>
                <w:rFonts w:ascii="Arial" w:cs="Arial" w:eastAsia="Arial" w:hAnsi="Arial"/>
                <w:sz w:val="15"/>
                <w:szCs w:val="15"/>
                <w:b w:val="1"/>
                <w:bCs w:val="1"/>
                <w:color w:val="FFFFFF"/>
              </w:rPr>
              <w:t>Six Months Ended June 30,</w:t>
            </w:r>
          </w:p>
        </w:tc>
        <w:tc>
          <w:tcPr>
            <w:tcW w:w="0" w:type="dxa"/>
            <w:vAlign w:val="bottom"/>
          </w:tcPr>
          <w:p>
            <w:pPr>
              <w:spacing w:after="0"/>
              <w:rPr>
                <w:sz w:val="1"/>
                <w:szCs w:val="1"/>
                <w:color w:val="auto"/>
              </w:rPr>
            </w:pPr>
          </w:p>
        </w:tc>
      </w:tr>
      <w:tr>
        <w:trPr>
          <w:trHeight w:val="206"/>
        </w:trPr>
        <w:tc>
          <w:tcPr>
            <w:tcW w:w="4100" w:type="dxa"/>
            <w:vAlign w:val="bottom"/>
            <w:vMerge w:val="continue"/>
            <w:shd w:val="clear" w:color="auto" w:fill="1D2758"/>
          </w:tcPr>
          <w:p>
            <w:pPr>
              <w:spacing w:after="0"/>
              <w:rPr>
                <w:sz w:val="17"/>
                <w:szCs w:val="17"/>
                <w:color w:val="auto"/>
              </w:rPr>
            </w:pPr>
          </w:p>
        </w:tc>
        <w:tc>
          <w:tcPr>
            <w:tcW w:w="4800" w:type="dxa"/>
            <w:vAlign w:val="bottom"/>
            <w:vMerge w:val="continue"/>
            <w:shd w:val="clear" w:color="auto" w:fill="1D2758"/>
          </w:tcPr>
          <w:p>
            <w:pPr>
              <w:spacing w:after="0"/>
              <w:rPr>
                <w:sz w:val="17"/>
                <w:szCs w:val="17"/>
                <w:color w:val="auto"/>
              </w:rPr>
            </w:pPr>
          </w:p>
        </w:tc>
        <w:tc>
          <w:tcPr>
            <w:tcW w:w="680" w:type="dxa"/>
            <w:vAlign w:val="bottom"/>
            <w:shd w:val="clear" w:color="auto" w:fill="1D2758"/>
          </w:tcPr>
          <w:p>
            <w:pPr>
              <w:spacing w:after="0"/>
              <w:rPr>
                <w:sz w:val="17"/>
                <w:szCs w:val="17"/>
                <w:color w:val="auto"/>
              </w:rPr>
            </w:pPr>
          </w:p>
        </w:tc>
        <w:tc>
          <w:tcPr>
            <w:tcW w:w="1660" w:type="dxa"/>
            <w:vAlign w:val="bottom"/>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206"/>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recognized in income</w:t>
            </w:r>
          </w:p>
        </w:tc>
        <w:tc>
          <w:tcPr>
            <w:tcW w:w="4800" w:type="dxa"/>
            <w:vAlign w:val="bottom"/>
            <w:shd w:val="clear" w:color="auto" w:fill="DBDBDB"/>
          </w:tcPr>
          <w:p>
            <w:pPr>
              <w:ind w:left="2260"/>
              <w:spacing w:after="0"/>
              <w:rPr>
                <w:sz w:val="20"/>
                <w:szCs w:val="20"/>
                <w:color w:val="auto"/>
              </w:rPr>
            </w:pPr>
            <w:r>
              <w:rPr>
                <w:rFonts w:ascii="Arial" w:cs="Arial" w:eastAsia="Arial" w:hAnsi="Arial"/>
                <w:sz w:val="15"/>
                <w:szCs w:val="15"/>
                <w:color w:val="auto"/>
              </w:rPr>
              <w:t>Currency losses, net</w:t>
            </w:r>
          </w:p>
        </w:tc>
        <w:tc>
          <w:tcPr>
            <w:tcW w:w="68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1D2758"/>
        </w:rPr>
        <w:t>NOTE 13 - Fair Value Measures</w:t>
      </w:r>
    </w:p>
    <w:p>
      <w:pPr>
        <w:spacing w:after="0" w:line="12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utilizes the suggested accounting guidance for the three levels of inputs that may be used to measure fair value:</w:t>
      </w:r>
    </w:p>
    <w:p>
      <w:pPr>
        <w:spacing w:after="0" w:line="98"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3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3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16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 of finance leases at June 30, 2023 approximate their respective book values.</w:t>
      </w:r>
    </w:p>
    <w:p>
      <w:pPr>
        <w:spacing w:after="0" w:line="3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following table shows the carrying amounts and fair values of financial liabilities which are disclosed, but not measured, at fair value, including their levels in the fair value hierarchy: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4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80" w:type="dxa"/>
            <w:vAlign w:val="bottom"/>
            <w:gridSpan w:val="2"/>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June 30, 2023</w:t>
            </w:r>
          </w:p>
        </w:tc>
        <w:tc>
          <w:tcPr>
            <w:tcW w:w="220" w:type="dxa"/>
            <w:vAlign w:val="bottom"/>
            <w:shd w:val="clear" w:color="auto" w:fill="1D2758"/>
          </w:tcPr>
          <w:p>
            <w:pPr>
              <w:spacing w:after="0"/>
              <w:rPr>
                <w:sz w:val="17"/>
                <w:szCs w:val="17"/>
                <w:color w:val="auto"/>
              </w:rPr>
            </w:pPr>
          </w:p>
        </w:tc>
        <w:tc>
          <w:tcPr>
            <w:tcW w:w="114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80" w:type="dxa"/>
            <w:vAlign w:val="bottom"/>
            <w:gridSpan w:val="2"/>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2022</w:t>
            </w:r>
          </w:p>
        </w:tc>
        <w:tc>
          <w:tcPr>
            <w:tcW w:w="22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94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Fair Value</w:t>
            </w:r>
          </w:p>
        </w:tc>
        <w:tc>
          <w:tcPr>
            <w:tcW w:w="22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94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Fair Value</w:t>
            </w:r>
          </w:p>
        </w:tc>
        <w:tc>
          <w:tcPr>
            <w:tcW w:w="22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9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0" w:type="dxa"/>
            <w:vAlign w:val="bottom"/>
            <w:shd w:val="clear" w:color="auto" w:fill="1D2758"/>
          </w:tcPr>
          <w:p>
            <w:pPr>
              <w:spacing w:after="0"/>
              <w:rPr>
                <w:sz w:val="5"/>
                <w:szCs w:val="5"/>
                <w:color w:val="auto"/>
              </w:rPr>
            </w:pPr>
          </w:p>
        </w:tc>
        <w:tc>
          <w:tcPr>
            <w:tcW w:w="940" w:type="dxa"/>
            <w:vAlign w:val="bottom"/>
            <w:vMerge w:val="continue"/>
            <w:shd w:val="clear" w:color="auto" w:fill="1D2758"/>
          </w:tcPr>
          <w:p>
            <w:pPr>
              <w:spacing w:after="0"/>
              <w:rPr>
                <w:sz w:val="5"/>
                <w:szCs w:val="5"/>
                <w:color w:val="auto"/>
              </w:rPr>
            </w:pPr>
          </w:p>
        </w:tc>
        <w:tc>
          <w:tcPr>
            <w:tcW w:w="240" w:type="dxa"/>
            <w:vAlign w:val="bottom"/>
            <w:shd w:val="clear" w:color="auto" w:fill="1D2758"/>
          </w:tcPr>
          <w:p>
            <w:pPr>
              <w:spacing w:after="0"/>
              <w:rPr>
                <w:sz w:val="5"/>
                <w:szCs w:val="5"/>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8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Level 2</w:t>
            </w:r>
          </w:p>
        </w:tc>
        <w:tc>
          <w:tcPr>
            <w:tcW w:w="220" w:type="dxa"/>
            <w:vAlign w:val="bottom"/>
            <w:shd w:val="clear" w:color="auto" w:fill="1D2758"/>
          </w:tcPr>
          <w:p>
            <w:pPr>
              <w:spacing w:after="0"/>
              <w:rPr>
                <w:sz w:val="5"/>
                <w:szCs w:val="5"/>
                <w:color w:val="auto"/>
              </w:rPr>
            </w:pPr>
          </w:p>
        </w:tc>
        <w:tc>
          <w:tcPr>
            <w:tcW w:w="1140" w:type="dxa"/>
            <w:vAlign w:val="bottom"/>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Level 3</w:t>
            </w:r>
          </w:p>
        </w:tc>
        <w:tc>
          <w:tcPr>
            <w:tcW w:w="940" w:type="dxa"/>
            <w:vAlign w:val="bottom"/>
            <w:vMerge w:val="continue"/>
            <w:shd w:val="clear" w:color="auto" w:fill="1D2758"/>
          </w:tcPr>
          <w:p>
            <w:pPr>
              <w:spacing w:after="0"/>
              <w:rPr>
                <w:sz w:val="5"/>
                <w:szCs w:val="5"/>
                <w:color w:val="auto"/>
              </w:rPr>
            </w:pPr>
          </w:p>
        </w:tc>
        <w:tc>
          <w:tcPr>
            <w:tcW w:w="240" w:type="dxa"/>
            <w:vAlign w:val="bottom"/>
            <w:shd w:val="clear" w:color="auto" w:fill="1D2758"/>
          </w:tcPr>
          <w:p>
            <w:pPr>
              <w:spacing w:after="0"/>
              <w:rPr>
                <w:sz w:val="5"/>
                <w:szCs w:val="5"/>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8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Level 2</w:t>
            </w:r>
          </w:p>
        </w:tc>
        <w:tc>
          <w:tcPr>
            <w:tcW w:w="220" w:type="dxa"/>
            <w:vAlign w:val="bottom"/>
            <w:shd w:val="clear" w:color="auto" w:fill="1D2758"/>
          </w:tcPr>
          <w:p>
            <w:pPr>
              <w:spacing w:after="0"/>
              <w:rPr>
                <w:sz w:val="5"/>
                <w:szCs w:val="5"/>
                <w:color w:val="auto"/>
              </w:rPr>
            </w:pPr>
          </w:p>
        </w:tc>
        <w:tc>
          <w:tcPr>
            <w:tcW w:w="960" w:type="dxa"/>
            <w:vAlign w:val="bottom"/>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Level 3</w:t>
            </w:r>
          </w:p>
        </w:tc>
        <w:tc>
          <w:tcPr>
            <w:tcW w:w="0" w:type="dxa"/>
            <w:vAlign w:val="bottom"/>
          </w:tcPr>
          <w:p>
            <w:pPr>
              <w:spacing w:after="0"/>
              <w:rPr>
                <w:sz w:val="1"/>
                <w:szCs w:val="1"/>
                <w:color w:val="auto"/>
              </w:rPr>
            </w:pPr>
          </w:p>
        </w:tc>
      </w:tr>
      <w:tr>
        <w:trPr>
          <w:trHeight w:val="216"/>
        </w:trPr>
        <w:tc>
          <w:tcPr>
            <w:tcW w:w="194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94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80" w:type="dxa"/>
            <w:vAlign w:val="bottom"/>
            <w:vMerge w:val="continue"/>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1140" w:type="dxa"/>
            <w:vAlign w:val="bottom"/>
            <w:vMerge w:val="continue"/>
            <w:shd w:val="clear" w:color="auto" w:fill="1D2758"/>
          </w:tcPr>
          <w:p>
            <w:pPr>
              <w:spacing w:after="0"/>
              <w:rPr>
                <w:sz w:val="18"/>
                <w:szCs w:val="18"/>
                <w:color w:val="auto"/>
              </w:rPr>
            </w:pPr>
          </w:p>
        </w:tc>
        <w:tc>
          <w:tcPr>
            <w:tcW w:w="94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80" w:type="dxa"/>
            <w:vAlign w:val="bottom"/>
            <w:vMerge w:val="continue"/>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94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80" w:type="dxa"/>
            <w:vAlign w:val="bottom"/>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140" w:type="dxa"/>
            <w:vAlign w:val="bottom"/>
            <w:shd w:val="clear" w:color="auto" w:fill="1D2758"/>
          </w:tcPr>
          <w:p>
            <w:pPr>
              <w:spacing w:after="0"/>
              <w:rPr>
                <w:sz w:val="7"/>
                <w:szCs w:val="7"/>
                <w:color w:val="auto"/>
              </w:rPr>
            </w:pPr>
          </w:p>
        </w:tc>
        <w:tc>
          <w:tcPr>
            <w:tcW w:w="94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80" w:type="dxa"/>
            <w:vAlign w:val="bottom"/>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ABL Facility</w:t>
            </w:r>
          </w:p>
        </w:tc>
        <w:tc>
          <w:tcPr>
            <w:tcW w:w="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1,943,243</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1,973,819</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1,988,176</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2,020,000</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rPr>
                <w:sz w:val="20"/>
                <w:szCs w:val="20"/>
                <w:color w:val="auto"/>
              </w:rPr>
            </w:pPr>
            <w:r>
              <w:rPr>
                <w:rFonts w:ascii="Arial" w:cs="Arial" w:eastAsia="Arial" w:hAnsi="Arial"/>
                <w:sz w:val="15"/>
                <w:szCs w:val="15"/>
                <w:color w:val="auto"/>
              </w:rPr>
              <w:t>2025 Secured Notes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521,523</w:t>
            </w:r>
          </w:p>
        </w:tc>
        <w:tc>
          <w:tcPr>
            <w:tcW w:w="240" w:type="dxa"/>
            <w:vAlign w:val="bottom"/>
          </w:tcPr>
          <w:p>
            <w:pPr>
              <w:spacing w:after="0"/>
              <w:rPr>
                <w:sz w:val="17"/>
                <w:szCs w:val="17"/>
                <w:color w:val="auto"/>
              </w:rPr>
            </w:pPr>
          </w:p>
        </w:tc>
        <w:tc>
          <w:tcPr>
            <w:tcW w:w="1100" w:type="dxa"/>
            <w:vAlign w:val="bottom"/>
          </w:tcPr>
          <w:p>
            <w:pPr>
              <w:ind w:left="7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524,989</w:t>
            </w:r>
          </w:p>
        </w:tc>
        <w:tc>
          <w:tcPr>
            <w:tcW w:w="220" w:type="dxa"/>
            <w:vAlign w:val="bottom"/>
          </w:tcPr>
          <w:p>
            <w:pPr>
              <w:spacing w:after="0"/>
              <w:rPr>
                <w:sz w:val="17"/>
                <w:szCs w:val="17"/>
                <w:color w:val="auto"/>
              </w:rPr>
            </w:pPr>
          </w:p>
        </w:tc>
        <w:tc>
          <w:tcPr>
            <w:tcW w:w="1140" w:type="dxa"/>
            <w:vAlign w:val="bottom"/>
          </w:tcPr>
          <w:p>
            <w:pPr>
              <w:ind w:left="72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520,350</w:t>
            </w:r>
          </w:p>
        </w:tc>
        <w:tc>
          <w:tcPr>
            <w:tcW w:w="240" w:type="dxa"/>
            <w:vAlign w:val="bottom"/>
          </w:tcPr>
          <w:p>
            <w:pPr>
              <w:spacing w:after="0"/>
              <w:rPr>
                <w:sz w:val="17"/>
                <w:szCs w:val="17"/>
                <w:color w:val="auto"/>
              </w:rPr>
            </w:pPr>
          </w:p>
        </w:tc>
        <w:tc>
          <w:tcPr>
            <w:tcW w:w="1100" w:type="dxa"/>
            <w:vAlign w:val="bottom"/>
          </w:tcPr>
          <w:p>
            <w:pPr>
              <w:ind w:left="7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526,800</w:t>
            </w:r>
          </w:p>
        </w:tc>
        <w:tc>
          <w:tcPr>
            <w:tcW w:w="220" w:type="dxa"/>
            <w:vAlign w:val="bottom"/>
          </w:tcPr>
          <w:p>
            <w:pPr>
              <w:spacing w:after="0"/>
              <w:rPr>
                <w:sz w:val="17"/>
                <w:szCs w:val="17"/>
                <w:color w:val="auto"/>
              </w:rPr>
            </w:pPr>
          </w:p>
        </w:tc>
        <w:tc>
          <w:tcPr>
            <w:tcW w:w="960" w:type="dxa"/>
            <w:vAlign w:val="bottom"/>
          </w:tcPr>
          <w:p>
            <w:pPr>
              <w:ind w:left="7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1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2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493,979</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459,790</w:t>
            </w:r>
          </w:p>
        </w:tc>
        <w:tc>
          <w:tcPr>
            <w:tcW w:w="22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493,470</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450,135</w:t>
            </w:r>
          </w:p>
        </w:tc>
        <w:tc>
          <w:tcPr>
            <w:tcW w:w="22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1940" w:type="dxa"/>
            <w:vAlign w:val="bottom"/>
          </w:tcPr>
          <w:p>
            <w:pPr>
              <w:ind w:left="2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2,958,745</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2,958,598</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3,001,996</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2,996,935</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As of June 30, 2023, the carrying values of the ABL Facility, the 2025 Secured Notes, and the 2028 Secured Notes included $30.6 million, $5.0 million, and $6.0 million, respectively, of unamortized debt issuance costs, which were presented as a direct reduction of the corresponding liability. As of December 31, 2022, the carrying value of the ABL Facility, the 2025 Secured Notes, and the 2028 Secured Notes included $31.8 million, $6.2 million, and $6.5 million, respectively, of unamortized debt issuance costs, which were presented as a direct reduction of the corresponding liability.</w:t>
      </w:r>
    </w:p>
    <w:p>
      <w:pPr>
        <w:spacing w:after="0" w:line="1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carrying value of the ABL Facility, excluding debt issuance costs, approximates fair value as the interest rates are variable and reflective of current market rates. The fair value of the 2025 Secured Notes and the 2028 Secured Notes is based on their last trading price at the end of each period obtained from a third party. The classification and the fair value of derivative assets and liabilities are disclosed in Note 12.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1D2758"/>
        </w:rPr>
        <w:t>NOTE 14 - Stock-Based Compensation</w:t>
      </w:r>
    </w:p>
    <w:p>
      <w:pPr>
        <w:spacing w:after="0" w:line="12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includes grants of restricted stock awards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 for the six months ended June 30, 2023 and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5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Weighted-Average</w:t>
            </w:r>
          </w:p>
        </w:tc>
        <w:tc>
          <w:tcPr>
            <w:tcW w:w="2020" w:type="dxa"/>
            <w:vAlign w:val="bottom"/>
            <w:gridSpan w:val="4"/>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10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BDBDB"/>
          </w:tcPr>
          <w:p>
            <w:pPr>
              <w:jc w:val="center"/>
              <w:ind w:left="1003"/>
              <w:spacing w:after="0"/>
              <w:rPr>
                <w:sz w:val="20"/>
                <w:szCs w:val="20"/>
                <w:color w:val="auto"/>
              </w:rPr>
            </w:pPr>
            <w:r>
              <w:rPr>
                <w:rFonts w:ascii="Arial" w:cs="Arial" w:eastAsia="Arial" w:hAnsi="Arial"/>
                <w:sz w:val="15"/>
                <w:szCs w:val="15"/>
                <w:color w:val="auto"/>
              </w:rPr>
              <w:t>35,244</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1780" w:type="dxa"/>
            <w:vAlign w:val="bottom"/>
            <w:gridSpan w:val="2"/>
            <w:shd w:val="clear" w:color="auto" w:fill="DBDBDB"/>
          </w:tcPr>
          <w:p>
            <w:pPr>
              <w:jc w:val="center"/>
              <w:ind w:left="1083"/>
              <w:spacing w:after="0"/>
              <w:rPr>
                <w:sz w:val="20"/>
                <w:szCs w:val="20"/>
                <w:color w:val="auto"/>
              </w:rPr>
            </w:pPr>
            <w:r>
              <w:rPr>
                <w:rFonts w:ascii="Arial" w:cs="Arial" w:eastAsia="Arial" w:hAnsi="Arial"/>
                <w:sz w:val="15"/>
                <w:szCs w:val="15"/>
                <w:color w:val="auto"/>
              </w:rPr>
              <w:t>36,176</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center"/>
              <w:ind w:left="1003"/>
              <w:spacing w:after="0"/>
              <w:rPr>
                <w:sz w:val="20"/>
                <w:szCs w:val="20"/>
                <w:color w:val="auto"/>
              </w:rPr>
            </w:pPr>
            <w:r>
              <w:rPr>
                <w:rFonts w:ascii="Arial" w:cs="Arial" w:eastAsia="Arial" w:hAnsi="Arial"/>
                <w:sz w:val="15"/>
                <w:szCs w:val="15"/>
                <w:color w:val="auto"/>
              </w:rPr>
              <w:t>25,483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44.59</w:t>
            </w:r>
          </w:p>
        </w:tc>
        <w:tc>
          <w:tcPr>
            <w:tcW w:w="1780" w:type="dxa"/>
            <w:vAlign w:val="bottom"/>
            <w:gridSpan w:val="2"/>
          </w:tcPr>
          <w:p>
            <w:pPr>
              <w:jc w:val="center"/>
              <w:ind w:left="1083"/>
              <w:spacing w:after="0"/>
              <w:rPr>
                <w:sz w:val="20"/>
                <w:szCs w:val="20"/>
                <w:color w:val="auto"/>
              </w:rPr>
            </w:pPr>
            <w:r>
              <w:rPr>
                <w:rFonts w:ascii="Arial" w:cs="Arial" w:eastAsia="Arial" w:hAnsi="Arial"/>
                <w:sz w:val="15"/>
                <w:szCs w:val="15"/>
                <w:color w:val="auto"/>
              </w:rPr>
              <w:t>35,244</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06"/>
        </w:trPr>
        <w:tc>
          <w:tcPr>
            <w:tcW w:w="42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shd w:val="clear" w:color="auto" w:fill="DBDBDB"/>
          </w:tcPr>
          <w:p>
            <w:pPr>
              <w:jc w:val="center"/>
              <w:ind w:left="983"/>
              <w:spacing w:after="0"/>
              <w:rPr>
                <w:sz w:val="20"/>
                <w:szCs w:val="20"/>
                <w:color w:val="auto"/>
              </w:rPr>
            </w:pPr>
            <w:r>
              <w:rPr>
                <w:rFonts w:ascii="Arial" w:cs="Arial" w:eastAsia="Arial" w:hAnsi="Arial"/>
                <w:sz w:val="15"/>
                <w:szCs w:val="15"/>
                <w:color w:val="auto"/>
              </w:rPr>
              <w:t>(35,244)</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100" w:type="dxa"/>
            <w:vAlign w:val="bottom"/>
            <w:tcBorders>
              <w:bottom w:val="single" w:sz="8" w:color="DBDBDB"/>
            </w:tcBorders>
            <w:shd w:val="clear" w:color="auto" w:fill="DBDBDB"/>
          </w:tcPr>
          <w:p>
            <w:pPr>
              <w:spacing w:after="0"/>
              <w:rPr>
                <w:sz w:val="17"/>
                <w:szCs w:val="17"/>
                <w:color w:val="auto"/>
              </w:rPr>
            </w:pPr>
          </w:p>
        </w:tc>
        <w:tc>
          <w:tcPr>
            <w:tcW w:w="1680" w:type="dxa"/>
            <w:vAlign w:val="bottom"/>
            <w:tcBorders>
              <w:bottom w:val="single" w:sz="8" w:color="auto"/>
            </w:tcBorders>
            <w:shd w:val="clear" w:color="auto" w:fill="DBDBDB"/>
          </w:tcPr>
          <w:p>
            <w:pPr>
              <w:jc w:val="center"/>
              <w:ind w:left="983"/>
              <w:spacing w:after="0"/>
              <w:rPr>
                <w:sz w:val="20"/>
                <w:szCs w:val="20"/>
                <w:color w:val="auto"/>
              </w:rPr>
            </w:pPr>
            <w:r>
              <w:rPr>
                <w:rFonts w:ascii="Arial" w:cs="Arial" w:eastAsia="Arial" w:hAnsi="Arial"/>
                <w:sz w:val="15"/>
                <w:szCs w:val="15"/>
                <w:color w:val="auto"/>
              </w:rPr>
              <w:t>(36,176)</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Pr>
          <w:p>
            <w:pPr>
              <w:jc w:val="center"/>
              <w:ind w:left="1003"/>
              <w:spacing w:after="0"/>
              <w:rPr>
                <w:sz w:val="20"/>
                <w:szCs w:val="20"/>
                <w:color w:val="auto"/>
              </w:rPr>
            </w:pPr>
            <w:r>
              <w:rPr>
                <w:rFonts w:ascii="Arial" w:cs="Arial" w:eastAsia="Arial" w:hAnsi="Arial"/>
                <w:sz w:val="15"/>
                <w:szCs w:val="15"/>
                <w:color w:val="auto"/>
              </w:rPr>
              <w:t>25,483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44.59</w:t>
            </w:r>
          </w:p>
        </w:tc>
        <w:tc>
          <w:tcPr>
            <w:tcW w:w="1780" w:type="dxa"/>
            <w:vAlign w:val="bottom"/>
            <w:gridSpan w:val="2"/>
          </w:tcPr>
          <w:p>
            <w:pPr>
              <w:jc w:val="center"/>
              <w:ind w:left="1083"/>
              <w:spacing w:after="0"/>
              <w:rPr>
                <w:sz w:val="20"/>
                <w:szCs w:val="20"/>
                <w:color w:val="auto"/>
              </w:rPr>
            </w:pPr>
            <w:r>
              <w:rPr>
                <w:rFonts w:ascii="Arial" w:cs="Arial" w:eastAsia="Arial" w:hAnsi="Arial"/>
                <w:sz w:val="15"/>
                <w:szCs w:val="15"/>
                <w:color w:val="auto"/>
              </w:rPr>
              <w:t>35,244</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37.17</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3" w:name="page24"/>
    <w:bookmarkEnd w:id="23"/>
    <w:p>
      <w:pPr>
        <w:jc w:val="both"/>
        <w:ind w:firstLine="619"/>
        <w:spacing w:after="0" w:line="268" w:lineRule="auto"/>
        <w:rPr>
          <w:sz w:val="20"/>
          <w:szCs w:val="20"/>
          <w:color w:val="auto"/>
        </w:rPr>
      </w:pPr>
      <w:r>
        <w:rPr>
          <w:rFonts w:ascii="Arial" w:cs="Arial" w:eastAsia="Arial" w:hAnsi="Arial"/>
          <w:sz w:val="15"/>
          <w:szCs w:val="15"/>
          <w:color w:val="auto"/>
        </w:rPr>
        <w:t>Compensation expense for RSAs recognized in SG&amp;A on the condensed consolidated statements of operations was $0.3 million and $0.3 million for the three months ended June 30, 2023 and 2022, respectively. Compensation expense for RSAs recognized in SG&amp;A on the condensed consolidated statements of operations was $0.6 million and $0.6 million for the six months ended June 30, 2023 and 2022, respectively. At June 30, 2023, there was $1.0 million of unrecognized compensation cost related to RSAs that is expected to be recognized over the remaining weighted average vesting period of 0.9 years.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Time-Based RSUs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 for the six months ended June 30, 2023 and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5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Weighted-Average</w:t>
            </w:r>
          </w:p>
        </w:tc>
        <w:tc>
          <w:tcPr>
            <w:tcW w:w="2020" w:type="dxa"/>
            <w:vAlign w:val="bottom"/>
            <w:gridSpan w:val="4"/>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10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789,779</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26.16</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997,451</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18.54</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spacing w:after="0"/>
              <w:rPr>
                <w:sz w:val="20"/>
                <w:szCs w:val="20"/>
                <w:color w:val="auto"/>
              </w:rPr>
            </w:pPr>
            <w:r>
              <w:rPr>
                <w:rFonts w:ascii="Arial" w:cs="Arial" w:eastAsia="Arial" w:hAnsi="Arial"/>
                <w:sz w:val="15"/>
                <w:szCs w:val="15"/>
                <w:color w:val="auto"/>
              </w:rPr>
              <w:t>213,388</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50.74</w:t>
            </w:r>
          </w:p>
        </w:tc>
        <w:tc>
          <w:tcPr>
            <w:tcW w:w="1780" w:type="dxa"/>
            <w:vAlign w:val="bottom"/>
            <w:gridSpan w:val="2"/>
          </w:tcPr>
          <w:p>
            <w:pPr>
              <w:jc w:val="right"/>
              <w:spacing w:after="0"/>
              <w:rPr>
                <w:sz w:val="20"/>
                <w:szCs w:val="20"/>
                <w:color w:val="auto"/>
              </w:rPr>
            </w:pPr>
            <w:r>
              <w:rPr>
                <w:rFonts w:ascii="Arial" w:cs="Arial" w:eastAsia="Arial" w:hAnsi="Arial"/>
                <w:sz w:val="15"/>
                <w:szCs w:val="15"/>
                <w:color w:val="auto"/>
              </w:rPr>
              <w:t>357,639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35.53</w:t>
            </w:r>
          </w:p>
        </w:tc>
        <w:tc>
          <w:tcPr>
            <w:tcW w:w="0" w:type="dxa"/>
            <w:vAlign w:val="bottom"/>
          </w:tcPr>
          <w:p>
            <w:pPr>
              <w:spacing w:after="0"/>
              <w:rPr>
                <w:sz w:val="1"/>
                <w:szCs w:val="1"/>
                <w:color w:val="auto"/>
              </w:rPr>
            </w:pPr>
          </w:p>
        </w:tc>
      </w:tr>
      <w:tr>
        <w:trPr>
          <w:trHeight w:val="20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(43,486)</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34.67</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(31,712)</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30.45</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(281,153)</w:t>
            </w:r>
          </w:p>
        </w:tc>
        <w:tc>
          <w:tcPr>
            <w:tcW w:w="10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22.40</w:t>
            </w:r>
          </w:p>
        </w:tc>
        <w:tc>
          <w:tcPr>
            <w:tcW w:w="10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(437,571)</w:t>
            </w:r>
          </w:p>
        </w:tc>
        <w:tc>
          <w:tcPr>
            <w:tcW w:w="10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w:t>
            </w:r>
          </w:p>
        </w:tc>
        <w:tc>
          <w:tcPr>
            <w:tcW w:w="0" w:type="dxa"/>
            <w:vAlign w:val="bottom"/>
          </w:tcPr>
          <w:p>
            <w:pPr>
              <w:spacing w:after="0"/>
              <w:rPr>
                <w:sz w:val="1"/>
                <w:szCs w:val="1"/>
                <w:color w:val="auto"/>
              </w:rPr>
            </w:pPr>
          </w:p>
        </w:tc>
      </w:tr>
      <w:tr>
        <w:trPr>
          <w:trHeight w:val="219"/>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678,528</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34.91</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885,807</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25.93</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Compensation expense for Time-Based RSUs recognized in SG&amp;A on the condensed consolidated statements of operations was $2.2 million and $2.5 million for the three months ended June 30, 2023 and 2022, respectively. Compensation expense for RSUs recognized in SG&amp;A on the condensed consolidated statements of operations was $4.0 million and $4.7 million for the six months ended June 30, 2023 and 2022, respectively. At June 30, 2023,</w:t>
      </w:r>
    </w:p>
    <w:p>
      <w:pPr>
        <w:spacing w:after="0" w:line="3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unrecognized compensation cost related to Time-Based RSUs totaled $19.0 million and is expected to be recognized over the remaining weighted average vesting period of 2.5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award activity for the six months ended June 30, 2023 and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5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Weighted-Average</w:t>
            </w:r>
          </w:p>
        </w:tc>
        <w:tc>
          <w:tcPr>
            <w:tcW w:w="2020" w:type="dxa"/>
            <w:vAlign w:val="bottom"/>
            <w:gridSpan w:val="4"/>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10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1,894,250</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33.67</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1,536,394</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26.34</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spacing w:after="0"/>
              <w:rPr>
                <w:sz w:val="20"/>
                <w:szCs w:val="20"/>
                <w:color w:val="auto"/>
              </w:rPr>
            </w:pPr>
            <w:r>
              <w:rPr>
                <w:rFonts w:ascii="Arial" w:cs="Arial" w:eastAsia="Arial" w:hAnsi="Arial"/>
                <w:sz w:val="15"/>
                <w:szCs w:val="15"/>
                <w:color w:val="auto"/>
              </w:rPr>
              <w:t>376,826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69.52</w:t>
            </w:r>
          </w:p>
        </w:tc>
        <w:tc>
          <w:tcPr>
            <w:tcW w:w="1780" w:type="dxa"/>
            <w:vAlign w:val="bottom"/>
            <w:gridSpan w:val="2"/>
          </w:tcPr>
          <w:p>
            <w:pPr>
              <w:jc w:val="right"/>
              <w:spacing w:after="0"/>
              <w:rPr>
                <w:sz w:val="20"/>
                <w:szCs w:val="20"/>
                <w:color w:val="auto"/>
              </w:rPr>
            </w:pPr>
            <w:r>
              <w:rPr>
                <w:rFonts w:ascii="Arial" w:cs="Arial" w:eastAsia="Arial" w:hAnsi="Arial"/>
                <w:sz w:val="15"/>
                <w:szCs w:val="15"/>
                <w:color w:val="auto"/>
              </w:rPr>
              <w:t>745,079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42.34</w:t>
            </w:r>
          </w:p>
        </w:tc>
        <w:tc>
          <w:tcPr>
            <w:tcW w:w="0" w:type="dxa"/>
            <w:vAlign w:val="bottom"/>
          </w:tcPr>
          <w:p>
            <w:pPr>
              <w:spacing w:after="0"/>
              <w:rPr>
                <w:sz w:val="1"/>
                <w:szCs w:val="1"/>
                <w:color w:val="auto"/>
              </w:rPr>
            </w:pPr>
          </w:p>
        </w:tc>
      </w:tr>
      <w:tr>
        <w:trPr>
          <w:trHeight w:val="20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(985)</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69.52</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(30,712)</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41.81</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(181,319)</w:t>
            </w:r>
          </w:p>
        </w:tc>
        <w:tc>
          <w:tcPr>
            <w:tcW w:w="10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16.82</w:t>
            </w:r>
          </w:p>
        </w:tc>
        <w:tc>
          <w:tcPr>
            <w:tcW w:w="10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(313,152)</w:t>
            </w:r>
          </w:p>
        </w:tc>
        <w:tc>
          <w:tcPr>
            <w:tcW w:w="10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16.45</w:t>
            </w:r>
          </w:p>
        </w:tc>
        <w:tc>
          <w:tcPr>
            <w:tcW w:w="0" w:type="dxa"/>
            <w:vAlign w:val="bottom"/>
          </w:tcPr>
          <w:p>
            <w:pPr>
              <w:spacing w:after="0"/>
              <w:rPr>
                <w:sz w:val="1"/>
                <w:szCs w:val="1"/>
                <w:color w:val="auto"/>
              </w:rPr>
            </w:pPr>
          </w:p>
        </w:tc>
      </w:tr>
      <w:tr>
        <w:trPr>
          <w:trHeight w:val="219"/>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2,088,772</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41.54</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1,937,609</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33.84</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Compensation expense for Performance-Based RSUs recognized in SG&amp;A on the condensed consolidated statements of operations was $6.9 million and $6.5 million for the three months ended June 30, 2023 and 2022, respectively. Compensation expense for Performance-Based RSUs recognized in SG&amp;A on the condensed consolidated statements of operations was $12.7 million and $10.3 million for the six months ended June 30, 2023 and 2022, respectively. At June 30, 2023, unrecognized compensation cost related to Performance-Based RSUs totaled $49.2 million and is expected to be recognized over the remaining vesting period of 1.9 years.</w:t>
      </w:r>
    </w:p>
    <w:p>
      <w:pPr>
        <w:spacing w:after="0" w:line="1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an index at the grant date over the performance period of three years. For 2023 grants, the TSR of the Company's Common Stock is compared to the TSR of the constituents in the S&amp;P 400 Index.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Stock Options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six months ended June 30,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Weighted-Average</w:t>
            </w:r>
          </w:p>
        </w:tc>
        <w:tc>
          <w:tcPr>
            <w:tcW w:w="100" w:type="dxa"/>
            <w:vAlign w:val="bottom"/>
            <w:shd w:val="clear" w:color="auto" w:fill="1D2758"/>
          </w:tcPr>
          <w:p>
            <w:pPr>
              <w:spacing w:after="0"/>
              <w:rPr>
                <w:sz w:val="14"/>
                <w:szCs w:val="14"/>
                <w:color w:val="auto"/>
              </w:rPr>
            </w:pPr>
          </w:p>
        </w:tc>
        <w:tc>
          <w:tcPr>
            <w:tcW w:w="168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Converted</w:t>
            </w:r>
          </w:p>
        </w:tc>
        <w:tc>
          <w:tcPr>
            <w:tcW w:w="10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54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10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100" w:type="dxa"/>
            <w:vAlign w:val="bottom"/>
            <w:shd w:val="clear" w:color="auto" w:fill="1D2758"/>
          </w:tcPr>
          <w:p>
            <w:pPr>
              <w:spacing w:after="0"/>
              <w:rPr>
                <w:sz w:val="13"/>
                <w:szCs w:val="13"/>
                <w:color w:val="auto"/>
              </w:rPr>
            </w:pPr>
          </w:p>
        </w:tc>
        <w:tc>
          <w:tcPr>
            <w:tcW w:w="1680" w:type="dxa"/>
            <w:vAlign w:val="bottom"/>
            <w:vMerge w:val="continue"/>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4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Share</w:t>
            </w:r>
          </w:p>
        </w:tc>
        <w:tc>
          <w:tcPr>
            <w:tcW w:w="100" w:type="dxa"/>
            <w:vAlign w:val="bottom"/>
            <w:shd w:val="clear" w:color="auto" w:fill="1D2758"/>
          </w:tcPr>
          <w:p>
            <w:pPr>
              <w:spacing w:after="0"/>
              <w:rPr>
                <w:sz w:val="17"/>
                <w:szCs w:val="17"/>
                <w:color w:val="auto"/>
              </w:rPr>
            </w:pPr>
          </w:p>
        </w:tc>
        <w:tc>
          <w:tcPr>
            <w:tcW w:w="1680" w:type="dxa"/>
            <w:vAlign w:val="bottom"/>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Mobile Mini Options</w:t>
            </w: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54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gridSpan w:val="2"/>
            <w:shd w:val="clear" w:color="auto" w:fill="DDDDDD"/>
          </w:tcPr>
          <w:p>
            <w:pPr>
              <w:jc w:val="right"/>
              <w:ind w:right="20"/>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13.60</w:t>
            </w:r>
          </w:p>
        </w:tc>
        <w:tc>
          <w:tcPr>
            <w:tcW w:w="1780" w:type="dxa"/>
            <w:vAlign w:val="bottom"/>
            <w:gridSpan w:val="2"/>
            <w:shd w:val="clear" w:color="auto" w:fill="DDDDDD"/>
          </w:tcPr>
          <w:p>
            <w:pPr>
              <w:jc w:val="right"/>
              <w:ind w:right="3"/>
              <w:spacing w:after="0"/>
              <w:rPr>
                <w:sz w:val="20"/>
                <w:szCs w:val="20"/>
                <w:color w:val="auto"/>
              </w:rPr>
            </w:pPr>
            <w:r>
              <w:rPr>
                <w:rFonts w:ascii="Arial" w:cs="Arial" w:eastAsia="Arial" w:hAnsi="Arial"/>
                <w:sz w:val="15"/>
                <w:szCs w:val="15"/>
                <w:color w:val="auto"/>
              </w:rPr>
              <w:t>864,276</w:t>
            </w:r>
          </w:p>
        </w:tc>
        <w:tc>
          <w:tcPr>
            <w:tcW w:w="240" w:type="dxa"/>
            <w:vAlign w:val="bottom"/>
            <w:gridSpan w:val="2"/>
            <w:shd w:val="clear" w:color="auto" w:fill="DDDDDD"/>
          </w:tcPr>
          <w:p>
            <w:pPr>
              <w:jc w:val="right"/>
              <w:ind w:right="40"/>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12.91</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(29,335)</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14.06</w:t>
            </w:r>
          </w:p>
        </w:tc>
        <w:tc>
          <w:tcPr>
            <w:tcW w:w="0" w:type="dxa"/>
            <w:vAlign w:val="bottom"/>
          </w:tcPr>
          <w:p>
            <w:pPr>
              <w:spacing w:after="0"/>
              <w:rPr>
                <w:sz w:val="1"/>
                <w:szCs w:val="1"/>
                <w:color w:val="auto"/>
              </w:rPr>
            </w:pPr>
          </w:p>
        </w:tc>
      </w:tr>
      <w:tr>
        <w:trPr>
          <w:trHeight w:val="219"/>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gridSpan w:val="2"/>
            <w:shd w:val="clear" w:color="auto" w:fill="DDDDDD"/>
          </w:tcPr>
          <w:p>
            <w:pPr>
              <w:jc w:val="right"/>
              <w:ind w:right="20"/>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13.60</w:t>
            </w:r>
          </w:p>
        </w:tc>
        <w:tc>
          <w:tcPr>
            <w:tcW w:w="1780" w:type="dxa"/>
            <w:vAlign w:val="bottom"/>
            <w:gridSpan w:val="2"/>
            <w:shd w:val="clear" w:color="auto" w:fill="DDDDDD"/>
          </w:tcPr>
          <w:p>
            <w:pPr>
              <w:jc w:val="right"/>
              <w:ind w:right="3"/>
              <w:spacing w:after="0"/>
              <w:rPr>
                <w:sz w:val="20"/>
                <w:szCs w:val="20"/>
                <w:color w:val="auto"/>
              </w:rPr>
            </w:pPr>
            <w:r>
              <w:rPr>
                <w:rFonts w:ascii="Arial" w:cs="Arial" w:eastAsia="Arial" w:hAnsi="Arial"/>
                <w:sz w:val="15"/>
                <w:szCs w:val="15"/>
                <w:color w:val="auto"/>
              </w:rPr>
              <w:t>834,941</w:t>
            </w:r>
          </w:p>
        </w:tc>
        <w:tc>
          <w:tcPr>
            <w:tcW w:w="240" w:type="dxa"/>
            <w:vAlign w:val="bottom"/>
            <w:gridSpan w:val="2"/>
            <w:shd w:val="clear" w:color="auto" w:fill="DDDDDD"/>
          </w:tcPr>
          <w:p>
            <w:pPr>
              <w:jc w:val="right"/>
              <w:ind w:right="40"/>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June 30, 2023</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gridSpan w:val="2"/>
            <w:shd w:val="clear" w:color="auto" w:fill="DDDDDD"/>
          </w:tcPr>
          <w:p>
            <w:pPr>
              <w:jc w:val="right"/>
              <w:ind w:right="20"/>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13.60</w:t>
            </w:r>
          </w:p>
        </w:tc>
        <w:tc>
          <w:tcPr>
            <w:tcW w:w="1780" w:type="dxa"/>
            <w:vAlign w:val="bottom"/>
            <w:gridSpan w:val="2"/>
            <w:shd w:val="clear" w:color="auto" w:fill="DDDDDD"/>
          </w:tcPr>
          <w:p>
            <w:pPr>
              <w:jc w:val="right"/>
              <w:ind w:right="3"/>
              <w:spacing w:after="0"/>
              <w:rPr>
                <w:sz w:val="20"/>
                <w:szCs w:val="20"/>
                <w:color w:val="auto"/>
              </w:rPr>
            </w:pPr>
            <w:r>
              <w:rPr>
                <w:rFonts w:ascii="Arial" w:cs="Arial" w:eastAsia="Arial" w:hAnsi="Arial"/>
                <w:sz w:val="15"/>
                <w:szCs w:val="15"/>
                <w:color w:val="auto"/>
              </w:rPr>
              <w:t>834,941</w:t>
            </w:r>
          </w:p>
        </w:tc>
        <w:tc>
          <w:tcPr>
            <w:tcW w:w="240" w:type="dxa"/>
            <w:vAlign w:val="bottom"/>
            <w:gridSpan w:val="2"/>
            <w:shd w:val="clear" w:color="auto" w:fill="DDDDDD"/>
          </w:tcPr>
          <w:p>
            <w:pPr>
              <w:jc w:val="right"/>
              <w:ind w:right="40"/>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six months ended June 30,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Weighted-Average</w:t>
            </w:r>
          </w:p>
        </w:tc>
        <w:tc>
          <w:tcPr>
            <w:tcW w:w="100" w:type="dxa"/>
            <w:vAlign w:val="bottom"/>
            <w:shd w:val="clear" w:color="auto" w:fill="1D2758"/>
          </w:tcPr>
          <w:p>
            <w:pPr>
              <w:spacing w:after="0"/>
              <w:rPr>
                <w:sz w:val="14"/>
                <w:szCs w:val="14"/>
                <w:color w:val="auto"/>
              </w:rPr>
            </w:pPr>
          </w:p>
        </w:tc>
        <w:tc>
          <w:tcPr>
            <w:tcW w:w="1680" w:type="dxa"/>
            <w:vAlign w:val="bottom"/>
            <w:vMerge w:val="restart"/>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Converted Mobile</w:t>
            </w:r>
          </w:p>
        </w:tc>
        <w:tc>
          <w:tcPr>
            <w:tcW w:w="10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54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10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100" w:type="dxa"/>
            <w:vAlign w:val="bottom"/>
            <w:shd w:val="clear" w:color="auto" w:fill="1D2758"/>
          </w:tcPr>
          <w:p>
            <w:pPr>
              <w:spacing w:after="0"/>
              <w:rPr>
                <w:sz w:val="13"/>
                <w:szCs w:val="13"/>
                <w:color w:val="auto"/>
              </w:rPr>
            </w:pPr>
          </w:p>
        </w:tc>
        <w:tc>
          <w:tcPr>
            <w:tcW w:w="1680" w:type="dxa"/>
            <w:vAlign w:val="bottom"/>
            <w:vMerge w:val="continue"/>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4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Share</w:t>
            </w:r>
          </w:p>
        </w:tc>
        <w:tc>
          <w:tcPr>
            <w:tcW w:w="100" w:type="dxa"/>
            <w:vAlign w:val="bottom"/>
            <w:shd w:val="clear" w:color="auto" w:fill="1D2758"/>
          </w:tcPr>
          <w:p>
            <w:pPr>
              <w:spacing w:after="0"/>
              <w:rPr>
                <w:sz w:val="17"/>
                <w:szCs w:val="17"/>
                <w:color w:val="auto"/>
              </w:rPr>
            </w:pPr>
          </w:p>
        </w:tc>
        <w:tc>
          <w:tcPr>
            <w:tcW w:w="1680" w:type="dxa"/>
            <w:vAlign w:val="bottom"/>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Mini Options</w:t>
            </w: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54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13.60</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1,527,643</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(237,819)</w:t>
            </w:r>
          </w:p>
        </w:tc>
        <w:tc>
          <w:tcPr>
            <w:tcW w:w="10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14.51</w:t>
            </w:r>
          </w:p>
        </w:tc>
        <w:tc>
          <w:tcPr>
            <w:tcW w:w="0" w:type="dxa"/>
            <w:vAlign w:val="bottom"/>
          </w:tcPr>
          <w:p>
            <w:pPr>
              <w:spacing w:after="0"/>
              <w:rPr>
                <w:sz w:val="1"/>
                <w:szCs w:val="1"/>
                <w:color w:val="auto"/>
              </w:rPr>
            </w:pPr>
          </w:p>
        </w:tc>
      </w:tr>
      <w:tr>
        <w:trPr>
          <w:trHeight w:val="20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13.60</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1,289,824</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14.68</w:t>
            </w:r>
          </w:p>
        </w:tc>
        <w:tc>
          <w:tcPr>
            <w:tcW w:w="0" w:type="dxa"/>
            <w:vAlign w:val="bottom"/>
          </w:tcPr>
          <w:p>
            <w:pPr>
              <w:spacing w:after="0"/>
              <w:rPr>
                <w:sz w:val="1"/>
                <w:szCs w:val="1"/>
                <w:color w:val="auto"/>
              </w:rPr>
            </w:pPr>
          </w:p>
        </w:tc>
      </w:tr>
      <w:tr>
        <w:trPr>
          <w:trHeight w:val="232"/>
        </w:trPr>
        <w:tc>
          <w:tcPr>
            <w:tcW w:w="4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June 30, 2022</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13.60</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1,289,824</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14.68</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WillScot Options</w:t>
      </w:r>
    </w:p>
    <w:p>
      <w:pPr>
        <w:spacing w:after="0" w:line="68"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Compensation expense for stock option awards, recognized in SG&amp;A on the condensed consolidated statements of operations, was $0.2 million for the six months ended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1D2758"/>
        </w:rPr>
        <w:t>NOTE 15 - Commitments and Contingencies</w:t>
      </w:r>
    </w:p>
    <w:p>
      <w:pPr>
        <w:spacing w:after="0" w:line="12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June 30, 2023,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1D2758"/>
        </w:rPr>
        <w:t>NOTE 16 - Segment Reporting</w:t>
      </w:r>
    </w:p>
    <w:p>
      <w:pPr>
        <w:spacing w:after="0" w:line="12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The Company operates in two reportable segments as follows: Modular Solutions ("Modular") and Storage Solutions ("Storage"). Total assets for each reportable segment are not available because the Company utilizes a centralized approach to working capital management. Transactions between reportable segments are not significant. During the first quarter of 2023, the ground level office business within the Modular segment was transferred to the Storage segment, and associated revenues, expenses, and operating metrics were transferred to the Storage segment. All periods presented have been retrospectively revised to reflect this change within the Modular and Storage segments. For the three months ended June 30, 2022, this resulted in approximately $12.4 million of revenue and $7.2 million of gross profit being transferred from the Modular segment to the Storage segment. For the six months ended June 30, 2022, $23.6 million of revenue and $13.5 million of gross profit were transferred from the Modular segment to the Storage segment.</w:t>
      </w:r>
    </w:p>
    <w:p>
      <w:pPr>
        <w:spacing w:after="0" w:line="3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The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segments, inclusive of indirect costs. The Company also regularly evaluates gross profit by segment to assist in the assessment of its operational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Reportable Segments</w:t>
      </w:r>
    </w:p>
    <w:p>
      <w:pPr>
        <w:spacing w:after="0" w:line="75"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The following tables set forth certain information regarding each of the Company’s reportable segments for the three and six months ended June 30, 2023 and 2022, respectively.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0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2780" w:type="dxa"/>
            <w:vAlign w:val="bottom"/>
            <w:gridSpan w:val="3"/>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Three Months Ended June 30, 2023</w:t>
            </w: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Modular</w:t>
            </w:r>
          </w:p>
        </w:tc>
        <w:tc>
          <w:tcPr>
            <w:tcW w:w="100" w:type="dxa"/>
            <w:vAlign w:val="bottom"/>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24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shd w:val="clear" w:color="auto" w:fill="1D2758"/>
          </w:tcPr>
          <w:p>
            <w:pPr>
              <w:spacing w:after="0"/>
              <w:rPr>
                <w:sz w:val="13"/>
                <w:szCs w:val="13"/>
                <w:color w:val="auto"/>
              </w:rPr>
            </w:pPr>
          </w:p>
        </w:tc>
        <w:tc>
          <w:tcPr>
            <w:tcW w:w="1280" w:type="dxa"/>
            <w:vAlign w:val="bottom"/>
            <w:shd w:val="clear" w:color="auto" w:fill="1D2758"/>
          </w:tcPr>
          <w:p>
            <w:pPr>
              <w:jc w:val="right"/>
              <w:ind w:right="243"/>
              <w:spacing w:after="0" w:line="155" w:lineRule="exact"/>
              <w:rPr>
                <w:sz w:val="20"/>
                <w:szCs w:val="20"/>
                <w:color w:val="auto"/>
              </w:rPr>
            </w:pPr>
            <w:r>
              <w:rPr>
                <w:rFonts w:ascii="Arial" w:cs="Arial" w:eastAsia="Arial" w:hAnsi="Arial"/>
                <w:sz w:val="15"/>
                <w:szCs w:val="15"/>
                <w:b w:val="1"/>
                <w:bCs w:val="1"/>
                <w:color w:val="FFFFFF"/>
              </w:rPr>
              <w:t>Unallocated</w:t>
            </w:r>
          </w:p>
        </w:tc>
        <w:tc>
          <w:tcPr>
            <w:tcW w:w="30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0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4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shd w:val="clear" w:color="auto" w:fill="1D2758"/>
          </w:tcPr>
          <w:p>
            <w:pPr>
              <w:spacing w:after="0"/>
              <w:rPr>
                <w:sz w:val="17"/>
                <w:szCs w:val="17"/>
                <w:color w:val="auto"/>
              </w:rPr>
            </w:pPr>
          </w:p>
        </w:tc>
        <w:tc>
          <w:tcPr>
            <w:tcW w:w="10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281,095</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168,225</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449,320</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75,168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37,586</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112,754</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7,171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1,833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9,004</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7,241</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3,770</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11,011</w:t>
            </w:r>
          </w:p>
        </w:tc>
        <w:tc>
          <w:tcPr>
            <w:tcW w:w="0" w:type="dxa"/>
            <w:vAlign w:val="bottom"/>
          </w:tcPr>
          <w:p>
            <w:pPr>
              <w:spacing w:after="0"/>
              <w:rPr>
                <w:sz w:val="1"/>
                <w:szCs w:val="1"/>
                <w:color w:val="auto"/>
              </w:rPr>
            </w:pPr>
          </w:p>
        </w:tc>
      </w:tr>
      <w:tr>
        <w:trPr>
          <w:trHeight w:val="196"/>
        </w:trPr>
        <w:tc>
          <w:tcPr>
            <w:tcW w:w="560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370,675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211,414</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582,089</w:t>
            </w:r>
          </w:p>
        </w:tc>
        <w:tc>
          <w:tcPr>
            <w:tcW w:w="0" w:type="dxa"/>
            <w:vAlign w:val="bottom"/>
          </w:tcPr>
          <w:p>
            <w:pPr>
              <w:spacing w:after="0"/>
              <w:rPr>
                <w:sz w:val="1"/>
                <w:szCs w:val="1"/>
                <w:color w:val="auto"/>
              </w:rPr>
            </w:pPr>
          </w:p>
        </w:tc>
      </w:tr>
      <w:tr>
        <w:trPr>
          <w:trHeight w:val="235"/>
        </w:trPr>
        <w:tc>
          <w:tcPr>
            <w:tcW w:w="56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Costs: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Leasing</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77,342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21,214</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98,556</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58,543</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22,806</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81,349</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3,855</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940</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4,795</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1,876</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5,067</w:t>
            </w:r>
          </w:p>
        </w:tc>
        <w:tc>
          <w:tcPr>
            <w:tcW w:w="0" w:type="dxa"/>
            <w:vAlign w:val="bottom"/>
          </w:tcPr>
          <w:p>
            <w:pPr>
              <w:spacing w:after="0"/>
              <w:rPr>
                <w:sz w:val="1"/>
                <w:szCs w:val="1"/>
                <w:color w:val="auto"/>
              </w:rPr>
            </w:pPr>
          </w:p>
        </w:tc>
      </w:tr>
      <w:tr>
        <w:trPr>
          <w:trHeight w:val="206"/>
        </w:trPr>
        <w:tc>
          <w:tcPr>
            <w:tcW w:w="5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55,004</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9,446</w:t>
            </w:r>
          </w:p>
        </w:tc>
        <w:tc>
          <w:tcPr>
            <w:tcW w:w="26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64,450</w:t>
            </w:r>
          </w:p>
        </w:tc>
        <w:tc>
          <w:tcPr>
            <w:tcW w:w="0" w:type="dxa"/>
            <w:vAlign w:val="bottom"/>
          </w:tcPr>
          <w:p>
            <w:pPr>
              <w:spacing w:after="0"/>
              <w:rPr>
                <w:sz w:val="1"/>
                <w:szCs w:val="1"/>
                <w:color w:val="auto"/>
              </w:rPr>
            </w:pPr>
          </w:p>
        </w:tc>
      </w:tr>
      <w:tr>
        <w:trPr>
          <w:trHeight w:val="199"/>
        </w:trPr>
        <w:tc>
          <w:tcPr>
            <w:tcW w:w="560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172,740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155,132</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327,872</w:t>
            </w:r>
          </w:p>
        </w:tc>
        <w:tc>
          <w:tcPr>
            <w:tcW w:w="0" w:type="dxa"/>
            <w:vAlign w:val="bottom"/>
          </w:tcPr>
          <w:p>
            <w:pPr>
              <w:spacing w:after="0"/>
              <w:rPr>
                <w:sz w:val="1"/>
                <w:szCs w:val="1"/>
                <w:color w:val="auto"/>
              </w:rPr>
            </w:pPr>
          </w:p>
        </w:tc>
      </w:tr>
      <w:tr>
        <w:trPr>
          <w:trHeight w:val="20"/>
        </w:trPr>
        <w:tc>
          <w:tcPr>
            <w:tcW w:w="560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151,443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109,898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261,341</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79,397</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54,710</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12,703</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146,810</w:t>
            </w:r>
          </w:p>
        </w:tc>
        <w:tc>
          <w:tcPr>
            <w:tcW w:w="0" w:type="dxa"/>
            <w:vAlign w:val="bottom"/>
          </w:tcPr>
          <w:p>
            <w:pPr>
              <w:spacing w:after="0"/>
              <w:rPr>
                <w:sz w:val="1"/>
                <w:szCs w:val="1"/>
                <w:color w:val="auto"/>
              </w:rPr>
            </w:pPr>
          </w:p>
        </w:tc>
      </w:tr>
      <w:tr>
        <w:trPr>
          <w:trHeight w:val="201"/>
        </w:trPr>
        <w:tc>
          <w:tcPr>
            <w:tcW w:w="560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50,371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5,210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55,581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6" w:name="page27"/>
    <w:bookmarkEnd w:id="26"/>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694690</wp:posOffset>
            </wp:positionV>
            <wp:extent cx="7138670" cy="130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567"/>
        </w:trPr>
        <w:tc>
          <w:tcPr>
            <w:tcW w:w="56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 w:type="dxa"/>
            <w:vAlign w:val="bottom"/>
          </w:tcPr>
          <w:p>
            <w:pPr>
              <w:spacing w:after="0"/>
              <w:rPr>
                <w:sz w:val="24"/>
                <w:szCs w:val="24"/>
                <w:color w:val="auto"/>
              </w:rPr>
            </w:pPr>
          </w:p>
        </w:tc>
      </w:tr>
      <w:tr>
        <w:trPr>
          <w:trHeight w:val="201"/>
        </w:trPr>
        <w:tc>
          <w:tcPr>
            <w:tcW w:w="5600" w:type="dxa"/>
            <w:vAlign w:val="bottom"/>
          </w:tcPr>
          <w:p>
            <w:pPr>
              <w:ind w:left="20"/>
              <w:spacing w:after="0"/>
              <w:rPr>
                <w:sz w:val="20"/>
                <w:szCs w:val="20"/>
                <w:color w:val="auto"/>
              </w:rPr>
            </w:pPr>
            <w:r>
              <w:rPr>
                <w:rFonts w:ascii="Arial" w:cs="Arial" w:eastAsia="Arial" w:hAnsi="Arial"/>
                <w:sz w:val="15"/>
                <w:szCs w:val="15"/>
                <w:color w:val="auto"/>
              </w:rPr>
              <w:t>Revenues:</w:t>
            </w:r>
          </w:p>
        </w:tc>
        <w:tc>
          <w:tcPr>
            <w:tcW w:w="100" w:type="dxa"/>
            <w:vAlign w:val="bottom"/>
          </w:tcPr>
          <w:p>
            <w:pPr>
              <w:spacing w:after="0"/>
              <w:rPr>
                <w:sz w:val="17"/>
                <w:szCs w:val="17"/>
                <w:color w:val="auto"/>
              </w:rPr>
            </w:pPr>
          </w:p>
        </w:tc>
      </w:tr>
      <w:tr>
        <w:trPr>
          <w:trHeight w:val="206"/>
        </w:trPr>
        <w:tc>
          <w:tcPr>
            <w:tcW w:w="560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Leasing</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00" w:type="dxa"/>
            <w:vAlign w:val="bottom"/>
          </w:tcPr>
          <w:p>
            <w:pPr>
              <w:spacing w:after="0"/>
              <w:rPr>
                <w:sz w:val="17"/>
                <w:szCs w:val="17"/>
                <w:color w:val="auto"/>
              </w:rPr>
            </w:pPr>
          </w:p>
        </w:tc>
      </w:tr>
      <w:tr>
        <w:trPr>
          <w:trHeight w:val="206"/>
        </w:trPr>
        <w:tc>
          <w:tcPr>
            <w:tcW w:w="5600" w:type="dxa"/>
            <w:vAlign w:val="bottom"/>
          </w:tcPr>
          <w:p>
            <w:pPr>
              <w:ind w:left="20"/>
              <w:spacing w:after="0"/>
              <w:rPr>
                <w:sz w:val="20"/>
                <w:szCs w:val="20"/>
                <w:color w:val="auto"/>
              </w:rPr>
            </w:pPr>
            <w:r>
              <w:rPr>
                <w:rFonts w:ascii="Arial" w:cs="Arial" w:eastAsia="Arial" w:hAnsi="Arial"/>
                <w:sz w:val="15"/>
                <w:szCs w:val="15"/>
                <w:color w:val="auto"/>
              </w:rPr>
              <w:t>Sales revenue:</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00" w:type="dxa"/>
            <w:vAlign w:val="bottom"/>
          </w:tcPr>
          <w:p>
            <w:pPr>
              <w:spacing w:after="0"/>
              <w:rPr>
                <w:sz w:val="17"/>
                <w:szCs w:val="17"/>
                <w:color w:val="auto"/>
              </w:rPr>
            </w:pPr>
          </w:p>
        </w:tc>
      </w:tr>
      <w:tr>
        <w:trPr>
          <w:trHeight w:val="219"/>
        </w:trPr>
        <w:tc>
          <w:tcPr>
            <w:tcW w:w="560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00" w:type="dxa"/>
            <w:vAlign w:val="bottom"/>
          </w:tcPr>
          <w:p>
            <w:pPr>
              <w:spacing w:after="0"/>
              <w:rPr>
                <w:sz w:val="19"/>
                <w:szCs w:val="19"/>
                <w:color w:val="auto"/>
              </w:rPr>
            </w:pPr>
          </w:p>
        </w:tc>
      </w:tr>
      <w:tr>
        <w:trPr>
          <w:trHeight w:val="464"/>
        </w:trPr>
        <w:tc>
          <w:tcPr>
            <w:tcW w:w="5600" w:type="dxa"/>
            <w:vAlign w:val="bottom"/>
          </w:tcPr>
          <w:p>
            <w:pPr>
              <w:ind w:left="20"/>
              <w:spacing w:after="0"/>
              <w:rPr>
                <w:sz w:val="20"/>
                <w:szCs w:val="20"/>
                <w:color w:val="auto"/>
              </w:rPr>
            </w:pPr>
            <w:r>
              <w:rPr>
                <w:rFonts w:ascii="Arial" w:cs="Arial" w:eastAsia="Arial" w:hAnsi="Arial"/>
                <w:sz w:val="15"/>
                <w:szCs w:val="15"/>
                <w:color w:val="auto"/>
              </w:rPr>
              <w:t>Costs:</w:t>
            </w:r>
          </w:p>
        </w:tc>
        <w:tc>
          <w:tcPr>
            <w:tcW w:w="100" w:type="dxa"/>
            <w:vAlign w:val="bottom"/>
          </w:tcPr>
          <w:p>
            <w:pPr>
              <w:spacing w:after="0"/>
              <w:rPr>
                <w:sz w:val="24"/>
                <w:szCs w:val="24"/>
                <w:color w:val="auto"/>
              </w:rPr>
            </w:pPr>
          </w:p>
        </w:tc>
      </w:tr>
      <w:tr>
        <w:trPr>
          <w:trHeight w:val="206"/>
        </w:trPr>
        <w:tc>
          <w:tcPr>
            <w:tcW w:w="5600" w:type="dxa"/>
            <w:vAlign w:val="bottom"/>
          </w:tcPr>
          <w:p>
            <w:pPr>
              <w:ind w:left="20"/>
              <w:spacing w:after="0"/>
              <w:rPr>
                <w:sz w:val="20"/>
                <w:szCs w:val="20"/>
                <w:color w:val="auto"/>
              </w:rPr>
            </w:pPr>
            <w:r>
              <w:rPr>
                <w:rFonts w:ascii="Arial" w:cs="Arial" w:eastAsia="Arial" w:hAnsi="Arial"/>
                <w:sz w:val="15"/>
                <w:szCs w:val="15"/>
                <w:color w:val="auto"/>
              </w:rPr>
              <w:t>Cost of leasing and services:</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Leasing</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00" w:type="dxa"/>
            <w:vAlign w:val="bottom"/>
          </w:tcPr>
          <w:p>
            <w:pPr>
              <w:spacing w:after="0"/>
              <w:rPr>
                <w:sz w:val="17"/>
                <w:szCs w:val="17"/>
                <w:color w:val="auto"/>
              </w:rPr>
            </w:pPr>
          </w:p>
        </w:tc>
      </w:tr>
      <w:tr>
        <w:trPr>
          <w:trHeight w:val="206"/>
        </w:trPr>
        <w:tc>
          <w:tcPr>
            <w:tcW w:w="560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Depreciation of rental equipment</w:t>
            </w:r>
          </w:p>
        </w:tc>
        <w:tc>
          <w:tcPr>
            <w:tcW w:w="100" w:type="dxa"/>
            <w:vAlign w:val="bottom"/>
          </w:tcPr>
          <w:p>
            <w:pPr>
              <w:spacing w:after="0"/>
              <w:rPr>
                <w:sz w:val="17"/>
                <w:szCs w:val="17"/>
                <w:color w:val="auto"/>
              </w:rPr>
            </w:pPr>
          </w:p>
        </w:tc>
      </w:tr>
      <w:tr>
        <w:trPr>
          <w:trHeight w:val="219"/>
        </w:trPr>
        <w:tc>
          <w:tcPr>
            <w:tcW w:w="560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32"/>
        </w:trPr>
        <w:tc>
          <w:tcPr>
            <w:tcW w:w="5600" w:type="dxa"/>
            <w:vAlign w:val="bottom"/>
          </w:tcPr>
          <w:p>
            <w:pPr>
              <w:ind w:left="20"/>
              <w:spacing w:after="0"/>
              <w:rPr>
                <w:sz w:val="20"/>
                <w:szCs w:val="20"/>
                <w:color w:val="auto"/>
              </w:rPr>
            </w:pPr>
            <w:r>
              <w:rPr>
                <w:rFonts w:ascii="Arial" w:cs="Arial" w:eastAsia="Arial" w:hAnsi="Arial"/>
                <w:sz w:val="15"/>
                <w:szCs w:val="15"/>
                <w:color w:val="auto"/>
              </w:rPr>
              <w:t>Other selected data:</w:t>
            </w:r>
          </w:p>
        </w:tc>
        <w:tc>
          <w:tcPr>
            <w:tcW w:w="100" w:type="dxa"/>
            <w:vAlign w:val="bottom"/>
          </w:tcPr>
          <w:p>
            <w:pPr>
              <w:spacing w:after="0"/>
              <w:rPr>
                <w:sz w:val="20"/>
                <w:szCs w:val="20"/>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-2943225</wp:posOffset>
            </wp:positionV>
            <wp:extent cx="7138670" cy="130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-2680970</wp:posOffset>
            </wp:positionV>
            <wp:extent cx="7138670" cy="130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-2418715</wp:posOffset>
            </wp:positionV>
            <wp:extent cx="7138670" cy="130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-1886585</wp:posOffset>
            </wp:positionV>
            <wp:extent cx="7138670" cy="163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-1591945</wp:posOffset>
            </wp:positionV>
            <wp:extent cx="7138670" cy="130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-1330325</wp:posOffset>
            </wp:positionV>
            <wp:extent cx="7138670" cy="130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-1068070</wp:posOffset>
            </wp:positionV>
            <wp:extent cx="7138670" cy="130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7138670" cy="130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-2157095</wp:posOffset>
            </wp:positionV>
            <wp:extent cx="713867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-806450</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-520065</wp:posOffset>
            </wp:positionV>
            <wp:extent cx="7138670" cy="130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Arial" w:cs="Arial" w:eastAsia="Arial" w:hAnsi="Arial"/>
          <w:sz w:val="15"/>
          <w:szCs w:val="15"/>
          <w:b w:val="1"/>
          <w:bCs w:val="1"/>
          <w:color w:val="FFFFFF"/>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23495</wp:posOffset>
            </wp:positionV>
            <wp:extent cx="3585845" cy="229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85845" cy="2292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060" w:type="dxa"/>
            <w:vAlign w:val="bottom"/>
            <w:vMerge w:val="restart"/>
          </w:tcPr>
          <w:p>
            <w:pPr>
              <w:jc w:val="right"/>
              <w:ind w:right="383"/>
              <w:spacing w:after="0"/>
              <w:rPr>
                <w:sz w:val="20"/>
                <w:szCs w:val="20"/>
                <w:color w:val="auto"/>
              </w:rPr>
            </w:pPr>
            <w:r>
              <w:rPr>
                <w:rFonts w:ascii="Arial" w:cs="Arial" w:eastAsia="Arial" w:hAnsi="Arial"/>
                <w:sz w:val="15"/>
                <w:szCs w:val="15"/>
                <w:b w:val="1"/>
                <w:bCs w:val="1"/>
                <w:color w:val="FFFFFF"/>
                <w:w w:val="99"/>
              </w:rPr>
              <w:t>Modular</w:t>
            </w:r>
          </w:p>
        </w:tc>
        <w:tc>
          <w:tcPr>
            <w:tcW w:w="240" w:type="dxa"/>
            <w:vAlign w:val="bottom"/>
          </w:tcPr>
          <w:p>
            <w:pPr>
              <w:spacing w:after="0"/>
              <w:rPr>
                <w:sz w:val="14"/>
                <w:szCs w:val="14"/>
                <w:color w:val="auto"/>
              </w:rPr>
            </w:pPr>
          </w:p>
        </w:tc>
        <w:tc>
          <w:tcPr>
            <w:tcW w:w="1100" w:type="dxa"/>
            <w:vAlign w:val="bottom"/>
            <w:vMerge w:val="restart"/>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tcPr>
          <w:p>
            <w:pPr>
              <w:spacing w:after="0"/>
              <w:rPr>
                <w:sz w:val="14"/>
                <w:szCs w:val="14"/>
                <w:color w:val="auto"/>
              </w:rPr>
            </w:pPr>
          </w:p>
        </w:tc>
        <w:tc>
          <w:tcPr>
            <w:tcW w:w="1280" w:type="dxa"/>
            <w:vAlign w:val="bottom"/>
          </w:tcPr>
          <w:p>
            <w:pPr>
              <w:jc w:val="right"/>
              <w:ind w:right="243"/>
              <w:spacing w:after="0"/>
              <w:rPr>
                <w:sz w:val="20"/>
                <w:szCs w:val="20"/>
                <w:color w:val="auto"/>
              </w:rPr>
            </w:pPr>
            <w:r>
              <w:rPr>
                <w:rFonts w:ascii="Arial" w:cs="Arial" w:eastAsia="Arial" w:hAnsi="Arial"/>
                <w:sz w:val="15"/>
                <w:szCs w:val="15"/>
                <w:b w:val="1"/>
                <w:bCs w:val="1"/>
                <w:color w:val="FFFFFF"/>
              </w:rPr>
              <w:t>Unallocated</w:t>
            </w:r>
          </w:p>
        </w:tc>
        <w:tc>
          <w:tcPr>
            <w:tcW w:w="300" w:type="dxa"/>
            <w:vAlign w:val="bottom"/>
          </w:tcPr>
          <w:p>
            <w:pPr>
              <w:spacing w:after="0"/>
              <w:rPr>
                <w:sz w:val="14"/>
                <w:szCs w:val="14"/>
                <w:color w:val="auto"/>
              </w:rPr>
            </w:pPr>
          </w:p>
        </w:tc>
        <w:tc>
          <w:tcPr>
            <w:tcW w:w="1040" w:type="dxa"/>
            <w:vAlign w:val="bottom"/>
            <w:vMerge w:val="restart"/>
          </w:tcPr>
          <w:p>
            <w:pPr>
              <w:jc w:val="right"/>
              <w:ind w:right="4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241,525</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144,861</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386,386</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71,988</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38,853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110,841</w:t>
            </w:r>
          </w:p>
        </w:tc>
        <w:tc>
          <w:tcPr>
            <w:tcW w:w="0" w:type="dxa"/>
            <w:vAlign w:val="bottom"/>
          </w:tcPr>
          <w:p>
            <w:pPr>
              <w:spacing w:after="0"/>
              <w:rPr>
                <w:sz w:val="1"/>
                <w:szCs w:val="1"/>
                <w:color w:val="auto"/>
              </w:rPr>
            </w:pPr>
          </w:p>
        </w:tc>
      </w:tr>
      <w:tr>
        <w:trPr>
          <w:trHeight w:val="413"/>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8,450</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1,477</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9,927</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13,291</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2,445</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15,736</w:t>
            </w:r>
          </w:p>
        </w:tc>
        <w:tc>
          <w:tcPr>
            <w:tcW w:w="0" w:type="dxa"/>
            <w:vAlign w:val="bottom"/>
          </w:tcPr>
          <w:p>
            <w:pPr>
              <w:spacing w:after="0"/>
              <w:rPr>
                <w:sz w:val="1"/>
                <w:szCs w:val="1"/>
                <w:color w:val="auto"/>
              </w:rPr>
            </w:pPr>
          </w:p>
        </w:tc>
      </w:tr>
      <w:tr>
        <w:trPr>
          <w:trHeight w:val="199"/>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335,254</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187,636</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522,890</w:t>
            </w:r>
          </w:p>
        </w:tc>
        <w:tc>
          <w:tcPr>
            <w:tcW w:w="0" w:type="dxa"/>
            <w:vAlign w:val="bottom"/>
          </w:tcPr>
          <w:p>
            <w:pPr>
              <w:spacing w:after="0"/>
              <w:rPr>
                <w:sz w:val="1"/>
                <w:szCs w:val="1"/>
                <w:color w:val="auto"/>
              </w:rPr>
            </w:pPr>
          </w:p>
        </w:tc>
      </w:tr>
      <w:tr>
        <w:trPr>
          <w:trHeight w:val="877"/>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65,446</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22,665</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88,111</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57,615</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24,922</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82,537</w:t>
            </w:r>
          </w:p>
        </w:tc>
        <w:tc>
          <w:tcPr>
            <w:tcW w:w="0" w:type="dxa"/>
            <w:vAlign w:val="bottom"/>
          </w:tcPr>
          <w:p>
            <w:pPr>
              <w:spacing w:after="0"/>
              <w:rPr>
                <w:sz w:val="1"/>
                <w:szCs w:val="1"/>
                <w:color w:val="auto"/>
              </w:rPr>
            </w:pPr>
          </w:p>
        </w:tc>
      </w:tr>
      <w:tr>
        <w:trPr>
          <w:trHeight w:val="413"/>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4,209</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1,112</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5,321</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6,878</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1,600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8,478</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54,495</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8,735</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63,230</w:t>
            </w:r>
          </w:p>
        </w:tc>
        <w:tc>
          <w:tcPr>
            <w:tcW w:w="0" w:type="dxa"/>
            <w:vAlign w:val="bottom"/>
          </w:tcPr>
          <w:p>
            <w:pPr>
              <w:spacing w:after="0"/>
              <w:rPr>
                <w:sz w:val="1"/>
                <w:szCs w:val="1"/>
                <w:color w:val="auto"/>
              </w:rPr>
            </w:pPr>
          </w:p>
        </w:tc>
      </w:tr>
      <w:tr>
        <w:trPr>
          <w:trHeight w:val="202"/>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146,611</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128,602</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275,213</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122,824</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85,819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208,643</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82,366</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52,492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15,271</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150,129</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82,482</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34,282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116,764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-535940</wp:posOffset>
            </wp:positionV>
            <wp:extent cx="8432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ectPr>
          <w:pgSz w:w="11900" w:h="16838" w:orient="portrait"/>
          <w:cols w:equalWidth="0" w:num="2">
            <w:col w:w="5700" w:space="260"/>
            <w:col w:w="5280"/>
          </w:cols>
          <w:pgMar w:left="320" w:top="1090" w:right="339" w:bottom="1440" w:gutter="0" w:footer="0" w:header="0"/>
        </w:sectPr>
      </w:pPr>
    </w:p>
    <w:bookmarkStart w:id="27" w:name="page28"/>
    <w:bookmarkEnd w:id="27"/>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694690</wp:posOffset>
            </wp:positionV>
            <wp:extent cx="7138670" cy="130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567"/>
        </w:trPr>
        <w:tc>
          <w:tcPr>
            <w:tcW w:w="56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 w:type="dxa"/>
            <w:vAlign w:val="bottom"/>
          </w:tcPr>
          <w:p>
            <w:pPr>
              <w:spacing w:after="0"/>
              <w:rPr>
                <w:sz w:val="24"/>
                <w:szCs w:val="24"/>
                <w:color w:val="auto"/>
              </w:rPr>
            </w:pPr>
          </w:p>
        </w:tc>
      </w:tr>
      <w:tr>
        <w:trPr>
          <w:trHeight w:val="201"/>
        </w:trPr>
        <w:tc>
          <w:tcPr>
            <w:tcW w:w="5600" w:type="dxa"/>
            <w:vAlign w:val="bottom"/>
          </w:tcPr>
          <w:p>
            <w:pPr>
              <w:ind w:left="20"/>
              <w:spacing w:after="0"/>
              <w:rPr>
                <w:sz w:val="20"/>
                <w:szCs w:val="20"/>
                <w:color w:val="auto"/>
              </w:rPr>
            </w:pPr>
            <w:r>
              <w:rPr>
                <w:rFonts w:ascii="Arial" w:cs="Arial" w:eastAsia="Arial" w:hAnsi="Arial"/>
                <w:sz w:val="15"/>
                <w:szCs w:val="15"/>
                <w:color w:val="auto"/>
              </w:rPr>
              <w:t>Revenues:</w:t>
            </w:r>
          </w:p>
        </w:tc>
        <w:tc>
          <w:tcPr>
            <w:tcW w:w="100" w:type="dxa"/>
            <w:vAlign w:val="bottom"/>
          </w:tcPr>
          <w:p>
            <w:pPr>
              <w:spacing w:after="0"/>
              <w:rPr>
                <w:sz w:val="17"/>
                <w:szCs w:val="17"/>
                <w:color w:val="auto"/>
              </w:rPr>
            </w:pPr>
          </w:p>
        </w:tc>
      </w:tr>
      <w:tr>
        <w:trPr>
          <w:trHeight w:val="206"/>
        </w:trPr>
        <w:tc>
          <w:tcPr>
            <w:tcW w:w="560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Leasing</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00" w:type="dxa"/>
            <w:vAlign w:val="bottom"/>
          </w:tcPr>
          <w:p>
            <w:pPr>
              <w:spacing w:after="0"/>
              <w:rPr>
                <w:sz w:val="17"/>
                <w:szCs w:val="17"/>
                <w:color w:val="auto"/>
              </w:rPr>
            </w:pPr>
          </w:p>
        </w:tc>
      </w:tr>
      <w:tr>
        <w:trPr>
          <w:trHeight w:val="206"/>
        </w:trPr>
        <w:tc>
          <w:tcPr>
            <w:tcW w:w="5600" w:type="dxa"/>
            <w:vAlign w:val="bottom"/>
          </w:tcPr>
          <w:p>
            <w:pPr>
              <w:ind w:left="20"/>
              <w:spacing w:after="0"/>
              <w:rPr>
                <w:sz w:val="20"/>
                <w:szCs w:val="20"/>
                <w:color w:val="auto"/>
              </w:rPr>
            </w:pPr>
            <w:r>
              <w:rPr>
                <w:rFonts w:ascii="Arial" w:cs="Arial" w:eastAsia="Arial" w:hAnsi="Arial"/>
                <w:sz w:val="15"/>
                <w:szCs w:val="15"/>
                <w:color w:val="auto"/>
              </w:rPr>
              <w:t>Sales revenue:</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00" w:type="dxa"/>
            <w:vAlign w:val="bottom"/>
          </w:tcPr>
          <w:p>
            <w:pPr>
              <w:spacing w:after="0"/>
              <w:rPr>
                <w:sz w:val="17"/>
                <w:szCs w:val="17"/>
                <w:color w:val="auto"/>
              </w:rPr>
            </w:pPr>
          </w:p>
        </w:tc>
      </w:tr>
      <w:tr>
        <w:trPr>
          <w:trHeight w:val="219"/>
        </w:trPr>
        <w:tc>
          <w:tcPr>
            <w:tcW w:w="560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100" w:type="dxa"/>
            <w:vAlign w:val="bottom"/>
          </w:tcPr>
          <w:p>
            <w:pPr>
              <w:spacing w:after="0"/>
              <w:rPr>
                <w:sz w:val="19"/>
                <w:szCs w:val="19"/>
                <w:color w:val="auto"/>
              </w:rPr>
            </w:pPr>
          </w:p>
        </w:tc>
      </w:tr>
      <w:tr>
        <w:trPr>
          <w:trHeight w:val="451"/>
        </w:trPr>
        <w:tc>
          <w:tcPr>
            <w:tcW w:w="5600" w:type="dxa"/>
            <w:vAlign w:val="bottom"/>
          </w:tcPr>
          <w:p>
            <w:pPr>
              <w:ind w:left="20"/>
              <w:spacing w:after="0"/>
              <w:rPr>
                <w:sz w:val="20"/>
                <w:szCs w:val="20"/>
                <w:color w:val="auto"/>
              </w:rPr>
            </w:pPr>
            <w:r>
              <w:rPr>
                <w:rFonts w:ascii="Arial" w:cs="Arial" w:eastAsia="Arial" w:hAnsi="Arial"/>
                <w:sz w:val="15"/>
                <w:szCs w:val="15"/>
                <w:color w:val="auto"/>
              </w:rPr>
              <w:t>Costs:</w:t>
            </w:r>
          </w:p>
        </w:tc>
        <w:tc>
          <w:tcPr>
            <w:tcW w:w="100" w:type="dxa"/>
            <w:vAlign w:val="bottom"/>
          </w:tcPr>
          <w:p>
            <w:pPr>
              <w:spacing w:after="0"/>
              <w:rPr>
                <w:sz w:val="24"/>
                <w:szCs w:val="24"/>
                <w:color w:val="auto"/>
              </w:rPr>
            </w:pPr>
          </w:p>
        </w:tc>
      </w:tr>
      <w:tr>
        <w:trPr>
          <w:trHeight w:val="206"/>
        </w:trPr>
        <w:tc>
          <w:tcPr>
            <w:tcW w:w="5600" w:type="dxa"/>
            <w:vAlign w:val="bottom"/>
          </w:tcPr>
          <w:p>
            <w:pPr>
              <w:ind w:left="20"/>
              <w:spacing w:after="0"/>
              <w:rPr>
                <w:sz w:val="20"/>
                <w:szCs w:val="20"/>
                <w:color w:val="auto"/>
              </w:rPr>
            </w:pPr>
            <w:r>
              <w:rPr>
                <w:rFonts w:ascii="Arial" w:cs="Arial" w:eastAsia="Arial" w:hAnsi="Arial"/>
                <w:sz w:val="15"/>
                <w:szCs w:val="15"/>
                <w:color w:val="auto"/>
              </w:rPr>
              <w:t>Cost of leasing and services:</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Leasing</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00" w:type="dxa"/>
            <w:vAlign w:val="bottom"/>
          </w:tcPr>
          <w:p>
            <w:pPr>
              <w:spacing w:after="0"/>
              <w:rPr>
                <w:sz w:val="17"/>
                <w:szCs w:val="17"/>
                <w:color w:val="auto"/>
              </w:rPr>
            </w:pPr>
          </w:p>
        </w:tc>
      </w:tr>
      <w:tr>
        <w:trPr>
          <w:trHeight w:val="206"/>
        </w:trPr>
        <w:tc>
          <w:tcPr>
            <w:tcW w:w="560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00" w:type="dxa"/>
            <w:vAlign w:val="bottom"/>
          </w:tcPr>
          <w:p>
            <w:pPr>
              <w:spacing w:after="0"/>
              <w:rPr>
                <w:sz w:val="17"/>
                <w:szCs w:val="17"/>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00" w:type="dxa"/>
            <w:vAlign w:val="bottom"/>
          </w:tcPr>
          <w:p>
            <w:pPr>
              <w:spacing w:after="0"/>
              <w:rPr>
                <w:sz w:val="17"/>
                <w:szCs w:val="17"/>
                <w:color w:val="auto"/>
              </w:rPr>
            </w:pPr>
          </w:p>
        </w:tc>
      </w:tr>
      <w:tr>
        <w:trPr>
          <w:trHeight w:val="206"/>
        </w:trPr>
        <w:tc>
          <w:tcPr>
            <w:tcW w:w="5600" w:type="dxa"/>
            <w:vAlign w:val="bottom"/>
          </w:tcPr>
          <w:p>
            <w:pPr>
              <w:ind w:left="20"/>
              <w:spacing w:after="0"/>
              <w:rPr>
                <w:sz w:val="20"/>
                <w:szCs w:val="20"/>
                <w:color w:val="auto"/>
              </w:rPr>
            </w:pPr>
            <w:r>
              <w:rPr>
                <w:rFonts w:ascii="Arial" w:cs="Arial" w:eastAsia="Arial" w:hAnsi="Arial"/>
                <w:sz w:val="15"/>
                <w:szCs w:val="15"/>
                <w:color w:val="auto"/>
              </w:rPr>
              <w:t>Depreciation of rental equipment</w:t>
            </w:r>
          </w:p>
        </w:tc>
        <w:tc>
          <w:tcPr>
            <w:tcW w:w="100" w:type="dxa"/>
            <w:vAlign w:val="bottom"/>
          </w:tcPr>
          <w:p>
            <w:pPr>
              <w:spacing w:after="0"/>
              <w:rPr>
                <w:sz w:val="17"/>
                <w:szCs w:val="17"/>
                <w:color w:val="auto"/>
              </w:rPr>
            </w:pPr>
          </w:p>
        </w:tc>
      </w:tr>
      <w:tr>
        <w:trPr>
          <w:trHeight w:val="219"/>
        </w:trPr>
        <w:tc>
          <w:tcPr>
            <w:tcW w:w="560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32"/>
        </w:trPr>
        <w:tc>
          <w:tcPr>
            <w:tcW w:w="5600" w:type="dxa"/>
            <w:vAlign w:val="bottom"/>
          </w:tcPr>
          <w:p>
            <w:pPr>
              <w:ind w:left="20"/>
              <w:spacing w:after="0"/>
              <w:rPr>
                <w:sz w:val="20"/>
                <w:szCs w:val="20"/>
                <w:color w:val="auto"/>
              </w:rPr>
            </w:pPr>
            <w:r>
              <w:rPr>
                <w:rFonts w:ascii="Arial" w:cs="Arial" w:eastAsia="Arial" w:hAnsi="Arial"/>
                <w:sz w:val="15"/>
                <w:szCs w:val="15"/>
                <w:color w:val="auto"/>
              </w:rPr>
              <w:t>Other selected data:</w:t>
            </w:r>
          </w:p>
        </w:tc>
        <w:tc>
          <w:tcPr>
            <w:tcW w:w="100" w:type="dxa"/>
            <w:vAlign w:val="bottom"/>
          </w:tcPr>
          <w:p>
            <w:pPr>
              <w:spacing w:after="0"/>
              <w:rPr>
                <w:sz w:val="20"/>
                <w:szCs w:val="20"/>
                <w:color w:val="auto"/>
              </w:rPr>
            </w:pP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r>
        <w:trPr>
          <w:trHeight w:val="206"/>
        </w:trPr>
        <w:tc>
          <w:tcPr>
            <w:tcW w:w="560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-2934970</wp:posOffset>
            </wp:positionV>
            <wp:extent cx="7138670" cy="1308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-2672715</wp:posOffset>
            </wp:positionV>
            <wp:extent cx="7138670" cy="130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-2411095</wp:posOffset>
            </wp:positionV>
            <wp:extent cx="7138670" cy="130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-1878965</wp:posOffset>
            </wp:positionV>
            <wp:extent cx="7138670" cy="155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-1591945</wp:posOffset>
            </wp:positionV>
            <wp:extent cx="7138670" cy="130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-1330325</wp:posOffset>
            </wp:positionV>
            <wp:extent cx="7138670" cy="130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-1068070</wp:posOffset>
            </wp:positionV>
            <wp:extent cx="7138670" cy="130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-806450</wp:posOffset>
            </wp:positionV>
            <wp:extent cx="7138670" cy="1308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7138670" cy="1308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-2148840</wp:posOffset>
            </wp:positionV>
            <wp:extent cx="7138670" cy="139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-520065</wp:posOffset>
            </wp:positionV>
            <wp:extent cx="7138670" cy="1308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Arial" w:cs="Arial" w:eastAsia="Arial" w:hAnsi="Arial"/>
          <w:sz w:val="15"/>
          <w:szCs w:val="15"/>
          <w:b w:val="1"/>
          <w:bCs w:val="1"/>
          <w:color w:val="FFFFFF"/>
        </w:rPr>
        <w:t>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23495</wp:posOffset>
            </wp:positionV>
            <wp:extent cx="3585845" cy="229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85845" cy="2292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060" w:type="dxa"/>
            <w:vAlign w:val="bottom"/>
            <w:vMerge w:val="restart"/>
          </w:tcPr>
          <w:p>
            <w:pPr>
              <w:jc w:val="right"/>
              <w:ind w:right="383"/>
              <w:spacing w:after="0"/>
              <w:rPr>
                <w:sz w:val="20"/>
                <w:szCs w:val="20"/>
                <w:color w:val="auto"/>
              </w:rPr>
            </w:pPr>
            <w:r>
              <w:rPr>
                <w:rFonts w:ascii="Arial" w:cs="Arial" w:eastAsia="Arial" w:hAnsi="Arial"/>
                <w:sz w:val="15"/>
                <w:szCs w:val="15"/>
                <w:b w:val="1"/>
                <w:bCs w:val="1"/>
                <w:color w:val="FFFFFF"/>
                <w:w w:val="99"/>
              </w:rPr>
              <w:t>Modular</w:t>
            </w:r>
          </w:p>
        </w:tc>
        <w:tc>
          <w:tcPr>
            <w:tcW w:w="240" w:type="dxa"/>
            <w:vAlign w:val="bottom"/>
          </w:tcPr>
          <w:p>
            <w:pPr>
              <w:spacing w:after="0"/>
              <w:rPr>
                <w:sz w:val="14"/>
                <w:szCs w:val="14"/>
                <w:color w:val="auto"/>
              </w:rPr>
            </w:pPr>
          </w:p>
        </w:tc>
        <w:tc>
          <w:tcPr>
            <w:tcW w:w="1100" w:type="dxa"/>
            <w:vAlign w:val="bottom"/>
            <w:vMerge w:val="restart"/>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tcPr>
          <w:p>
            <w:pPr>
              <w:spacing w:after="0"/>
              <w:rPr>
                <w:sz w:val="14"/>
                <w:szCs w:val="14"/>
                <w:color w:val="auto"/>
              </w:rPr>
            </w:pPr>
          </w:p>
        </w:tc>
        <w:tc>
          <w:tcPr>
            <w:tcW w:w="1280" w:type="dxa"/>
            <w:vAlign w:val="bottom"/>
          </w:tcPr>
          <w:p>
            <w:pPr>
              <w:jc w:val="right"/>
              <w:ind w:right="243"/>
              <w:spacing w:after="0"/>
              <w:rPr>
                <w:sz w:val="20"/>
                <w:szCs w:val="20"/>
                <w:color w:val="auto"/>
              </w:rPr>
            </w:pPr>
            <w:r>
              <w:rPr>
                <w:rFonts w:ascii="Arial" w:cs="Arial" w:eastAsia="Arial" w:hAnsi="Arial"/>
                <w:sz w:val="15"/>
                <w:szCs w:val="15"/>
                <w:b w:val="1"/>
                <w:bCs w:val="1"/>
                <w:color w:val="FFFFFF"/>
              </w:rPr>
              <w:t>Unallocated</w:t>
            </w:r>
          </w:p>
        </w:tc>
        <w:tc>
          <w:tcPr>
            <w:tcW w:w="300" w:type="dxa"/>
            <w:vAlign w:val="bottom"/>
          </w:tcPr>
          <w:p>
            <w:pPr>
              <w:spacing w:after="0"/>
              <w:rPr>
                <w:sz w:val="14"/>
                <w:szCs w:val="14"/>
                <w:color w:val="auto"/>
              </w:rPr>
            </w:pPr>
          </w:p>
        </w:tc>
        <w:tc>
          <w:tcPr>
            <w:tcW w:w="1040" w:type="dxa"/>
            <w:vAlign w:val="bottom"/>
            <w:vMerge w:val="restart"/>
          </w:tcPr>
          <w:p>
            <w:pPr>
              <w:jc w:val="right"/>
              <w:ind w:right="4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550,366</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338,905</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889,271</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139,989</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79,395</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219,384</w:t>
            </w:r>
          </w:p>
        </w:tc>
        <w:tc>
          <w:tcPr>
            <w:tcW w:w="0" w:type="dxa"/>
            <w:vAlign w:val="bottom"/>
          </w:tcPr>
          <w:p>
            <w:pPr>
              <w:spacing w:after="0"/>
              <w:rPr>
                <w:sz w:val="1"/>
                <w:szCs w:val="1"/>
                <w:color w:val="auto"/>
              </w:rPr>
            </w:pPr>
          </w:p>
        </w:tc>
      </w:tr>
      <w:tr>
        <w:trPr>
          <w:trHeight w:val="413"/>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16,092</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3,569</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19,661</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13,898</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19,241</w:t>
            </w:r>
          </w:p>
        </w:tc>
        <w:tc>
          <w:tcPr>
            <w:tcW w:w="0" w:type="dxa"/>
            <w:vAlign w:val="bottom"/>
          </w:tcPr>
          <w:p>
            <w:pPr>
              <w:spacing w:after="0"/>
              <w:rPr>
                <w:sz w:val="1"/>
                <w:szCs w:val="1"/>
                <w:color w:val="auto"/>
              </w:rPr>
            </w:pPr>
          </w:p>
        </w:tc>
      </w:tr>
      <w:tr>
        <w:trPr>
          <w:trHeight w:val="199"/>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720,345</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427,212</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1,147,557</w:t>
            </w:r>
          </w:p>
        </w:tc>
        <w:tc>
          <w:tcPr>
            <w:tcW w:w="0" w:type="dxa"/>
            <w:vAlign w:val="bottom"/>
          </w:tcPr>
          <w:p>
            <w:pPr>
              <w:spacing w:after="0"/>
              <w:rPr>
                <w:sz w:val="1"/>
                <w:szCs w:val="1"/>
                <w:color w:val="auto"/>
              </w:rPr>
            </w:pPr>
          </w:p>
        </w:tc>
      </w:tr>
      <w:tr>
        <w:trPr>
          <w:trHeight w:val="864"/>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150,924</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45,147</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196,071</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110,046</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46,310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156,356</w:t>
            </w:r>
          </w:p>
        </w:tc>
        <w:tc>
          <w:tcPr>
            <w:tcW w:w="0" w:type="dxa"/>
            <w:vAlign w:val="bottom"/>
          </w:tcPr>
          <w:p>
            <w:pPr>
              <w:spacing w:after="0"/>
              <w:rPr>
                <w:sz w:val="1"/>
                <w:szCs w:val="1"/>
                <w:color w:val="auto"/>
              </w:rPr>
            </w:pPr>
          </w:p>
        </w:tc>
      </w:tr>
      <w:tr>
        <w:trPr>
          <w:trHeight w:val="413"/>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9,520</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1,483</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11,003</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6,561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2,960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9,521</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105,219</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18,387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123,606</w:t>
            </w:r>
          </w:p>
        </w:tc>
        <w:tc>
          <w:tcPr>
            <w:tcW w:w="0" w:type="dxa"/>
            <w:vAlign w:val="bottom"/>
          </w:tcPr>
          <w:p>
            <w:pPr>
              <w:spacing w:after="0"/>
              <w:rPr>
                <w:sz w:val="1"/>
                <w:szCs w:val="1"/>
                <w:color w:val="auto"/>
              </w:rPr>
            </w:pPr>
          </w:p>
        </w:tc>
      </w:tr>
      <w:tr>
        <w:trPr>
          <w:trHeight w:val="202"/>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338,075</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312,925</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651,000</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288,407</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219,776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508,183</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161,213</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112,385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24,104</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297,702</w:t>
            </w:r>
          </w:p>
        </w:tc>
        <w:tc>
          <w:tcPr>
            <w:tcW w:w="0" w:type="dxa"/>
            <w:vAlign w:val="bottom"/>
          </w:tcPr>
          <w:p>
            <w:pPr>
              <w:spacing w:after="0"/>
              <w:rPr>
                <w:sz w:val="1"/>
                <w:szCs w:val="1"/>
                <w:color w:val="auto"/>
              </w:rPr>
            </w:pPr>
          </w:p>
        </w:tc>
      </w:tr>
      <w:tr>
        <w:trPr>
          <w:trHeight w:val="206"/>
        </w:trPr>
        <w:tc>
          <w:tcPr>
            <w:tcW w:w="1060" w:type="dxa"/>
            <w:vAlign w:val="bottom"/>
          </w:tcPr>
          <w:p>
            <w:pPr>
              <w:jc w:val="right"/>
              <w:ind w:right="83"/>
              <w:spacing w:after="0"/>
              <w:rPr>
                <w:sz w:val="20"/>
                <w:szCs w:val="20"/>
                <w:color w:val="auto"/>
              </w:rPr>
            </w:pPr>
            <w:r>
              <w:rPr>
                <w:rFonts w:ascii="Arial" w:cs="Arial" w:eastAsia="Arial" w:hAnsi="Arial"/>
                <w:sz w:val="15"/>
                <w:szCs w:val="15"/>
                <w:color w:val="auto"/>
              </w:rPr>
              <w:t>89,783</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12,555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102,338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-675005</wp:posOffset>
            </wp:positionV>
            <wp:extent cx="8432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4328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-535940</wp:posOffset>
            </wp:positionV>
            <wp:extent cx="843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ectPr>
          <w:pgSz w:w="11900" w:h="16838" w:orient="portrait"/>
          <w:cols w:equalWidth="0" w:num="2">
            <w:col w:w="5700" w:space="260"/>
            <w:col w:w="5280"/>
          </w:cols>
          <w:pgMar w:left="320" w:top="109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6"/>
        </w:trPr>
        <w:tc>
          <w:tcPr>
            <w:tcW w:w="560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2720" w:type="dxa"/>
            <w:vAlign w:val="bottom"/>
            <w:gridSpan w:val="3"/>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Six Months Ended June 30, 2022</w:t>
            </w: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Modular</w:t>
            </w:r>
          </w:p>
        </w:tc>
        <w:tc>
          <w:tcPr>
            <w:tcW w:w="10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18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shd w:val="clear" w:color="auto" w:fill="1D2758"/>
          </w:tcPr>
          <w:p>
            <w:pPr>
              <w:spacing w:after="0"/>
              <w:rPr>
                <w:sz w:val="13"/>
                <w:szCs w:val="13"/>
                <w:color w:val="auto"/>
              </w:rPr>
            </w:pPr>
          </w:p>
        </w:tc>
        <w:tc>
          <w:tcPr>
            <w:tcW w:w="1280" w:type="dxa"/>
            <w:vAlign w:val="bottom"/>
            <w:shd w:val="clear" w:color="auto" w:fill="1D2758"/>
          </w:tcPr>
          <w:p>
            <w:pPr>
              <w:jc w:val="right"/>
              <w:ind w:right="243"/>
              <w:spacing w:after="0" w:line="155" w:lineRule="exact"/>
              <w:rPr>
                <w:sz w:val="20"/>
                <w:szCs w:val="20"/>
                <w:color w:val="auto"/>
              </w:rPr>
            </w:pPr>
            <w:r>
              <w:rPr>
                <w:rFonts w:ascii="Arial" w:cs="Arial" w:eastAsia="Arial" w:hAnsi="Arial"/>
                <w:sz w:val="15"/>
                <w:szCs w:val="15"/>
                <w:b w:val="1"/>
                <w:bCs w:val="1"/>
                <w:color w:val="FFFFFF"/>
              </w:rPr>
              <w:t>Unallocated</w:t>
            </w:r>
          </w:p>
        </w:tc>
        <w:tc>
          <w:tcPr>
            <w:tcW w:w="30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0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18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shd w:val="clear" w:color="auto" w:fill="1D2758"/>
          </w:tcPr>
          <w:p>
            <w:pPr>
              <w:spacing w:after="0"/>
              <w:rPr>
                <w:sz w:val="17"/>
                <w:szCs w:val="17"/>
                <w:color w:val="auto"/>
              </w:rPr>
            </w:pPr>
          </w:p>
        </w:tc>
        <w:tc>
          <w:tcPr>
            <w:tcW w:w="10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464,823</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273,122</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737,945</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126,320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70,060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196,380</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13,294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2,420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15,714</w:t>
            </w:r>
          </w:p>
        </w:tc>
        <w:tc>
          <w:tcPr>
            <w:tcW w:w="0" w:type="dxa"/>
            <w:vAlign w:val="bottom"/>
          </w:tcPr>
          <w:p>
            <w:pPr>
              <w:spacing w:after="0"/>
              <w:rPr>
                <w:sz w:val="1"/>
                <w:szCs w:val="1"/>
                <w:color w:val="auto"/>
              </w:rPr>
            </w:pPr>
          </w:p>
        </w:tc>
      </w:tr>
      <w:tr>
        <w:trPr>
          <w:trHeight w:val="206"/>
        </w:trPr>
        <w:tc>
          <w:tcPr>
            <w:tcW w:w="56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19,364</w:t>
            </w:r>
          </w:p>
        </w:tc>
        <w:tc>
          <w:tcPr>
            <w:tcW w:w="1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4,658</w:t>
            </w:r>
          </w:p>
        </w:tc>
        <w:tc>
          <w:tcPr>
            <w:tcW w:w="26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24,022</w:t>
            </w:r>
          </w:p>
        </w:tc>
        <w:tc>
          <w:tcPr>
            <w:tcW w:w="0" w:type="dxa"/>
            <w:vAlign w:val="bottom"/>
          </w:tcPr>
          <w:p>
            <w:pPr>
              <w:spacing w:after="0"/>
              <w:rPr>
                <w:sz w:val="1"/>
                <w:szCs w:val="1"/>
                <w:color w:val="auto"/>
              </w:rPr>
            </w:pPr>
          </w:p>
        </w:tc>
      </w:tr>
      <w:tr>
        <w:trPr>
          <w:trHeight w:val="199"/>
        </w:trPr>
        <w:tc>
          <w:tcPr>
            <w:tcW w:w="560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623,801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350,260</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974,061</w:t>
            </w:r>
          </w:p>
        </w:tc>
        <w:tc>
          <w:tcPr>
            <w:tcW w:w="0" w:type="dxa"/>
            <w:vAlign w:val="bottom"/>
          </w:tcPr>
          <w:p>
            <w:pPr>
              <w:spacing w:after="0"/>
              <w:rPr>
                <w:sz w:val="1"/>
                <w:szCs w:val="1"/>
                <w:color w:val="auto"/>
              </w:rPr>
            </w:pPr>
          </w:p>
        </w:tc>
      </w:tr>
      <w:tr>
        <w:trPr>
          <w:trHeight w:val="248"/>
        </w:trPr>
        <w:tc>
          <w:tcPr>
            <w:tcW w:w="56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Costs: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Leasing</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126,776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41,669</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168,445</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105,521</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47,596</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153,117</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7,465</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1,612</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9,077</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3,043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13,370</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104,503</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16,275</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120,778</w:t>
            </w:r>
          </w:p>
        </w:tc>
        <w:tc>
          <w:tcPr>
            <w:tcW w:w="0" w:type="dxa"/>
            <w:vAlign w:val="bottom"/>
          </w:tcPr>
          <w:p>
            <w:pPr>
              <w:spacing w:after="0"/>
              <w:rPr>
                <w:sz w:val="1"/>
                <w:szCs w:val="1"/>
                <w:color w:val="auto"/>
              </w:rPr>
            </w:pPr>
          </w:p>
        </w:tc>
      </w:tr>
      <w:tr>
        <w:trPr>
          <w:trHeight w:val="196"/>
        </w:trPr>
        <w:tc>
          <w:tcPr>
            <w:tcW w:w="560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269,209</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240,065</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509,274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Arial" w:cs="Arial" w:eastAsia="Arial" w:hAnsi="Arial"/>
                <w:sz w:val="15"/>
                <w:szCs w:val="15"/>
                <w:color w:val="auto"/>
              </w:rPr>
              <w:t>Adjusted EBITDA from continuing operations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222,410</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154,006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376,416</w:t>
            </w:r>
          </w:p>
        </w:tc>
        <w:tc>
          <w:tcPr>
            <w:tcW w:w="0" w:type="dxa"/>
            <w:vAlign w:val="bottom"/>
          </w:tcPr>
          <w:p>
            <w:pPr>
              <w:spacing w:after="0"/>
              <w:rPr>
                <w:sz w:val="1"/>
                <w:szCs w:val="1"/>
                <w:color w:val="auto"/>
              </w:rPr>
            </w:pPr>
          </w:p>
        </w:tc>
      </w:tr>
      <w:tr>
        <w:trPr>
          <w:trHeight w:val="209"/>
        </w:trPr>
        <w:tc>
          <w:tcPr>
            <w:tcW w:w="56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157,004</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104,354</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26,915</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288,273</w:t>
            </w:r>
          </w:p>
        </w:tc>
        <w:tc>
          <w:tcPr>
            <w:tcW w:w="0" w:type="dxa"/>
            <w:vAlign w:val="bottom"/>
          </w:tcPr>
          <w:p>
            <w:pPr>
              <w:spacing w:after="0"/>
              <w:rPr>
                <w:sz w:val="1"/>
                <w:szCs w:val="1"/>
                <w:color w:val="auto"/>
              </w:rPr>
            </w:pPr>
          </w:p>
        </w:tc>
      </w:tr>
      <w:tr>
        <w:trPr>
          <w:trHeight w:val="201"/>
        </w:trPr>
        <w:tc>
          <w:tcPr>
            <w:tcW w:w="560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140,059</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54,453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194,512</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reconciliations of the Company’s income from continuing operations to Adjusted EBITDA for the three and six months ended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June 30, 2023 and 2022,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2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2940" w:type="dxa"/>
            <w:vAlign w:val="bottom"/>
            <w:gridSpan w:val="4"/>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Three Months Ended June 30,</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900" w:type="dxa"/>
            <w:vAlign w:val="bottom"/>
            <w:gridSpan w:val="4"/>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Six Months Ended June 30,</w:t>
            </w:r>
          </w:p>
        </w:tc>
        <w:tc>
          <w:tcPr>
            <w:tcW w:w="0" w:type="dxa"/>
            <w:vAlign w:val="bottom"/>
          </w:tcPr>
          <w:p>
            <w:pPr>
              <w:spacing w:after="0"/>
              <w:rPr>
                <w:sz w:val="1"/>
                <w:szCs w:val="1"/>
                <w:color w:val="auto"/>
              </w:rPr>
            </w:pPr>
          </w:p>
        </w:tc>
      </w:tr>
      <w:tr>
        <w:trPr>
          <w:trHeight w:val="206"/>
        </w:trPr>
        <w:tc>
          <w:tcPr>
            <w:tcW w:w="4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2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206"/>
        </w:trPr>
        <w:tc>
          <w:tcPr>
            <w:tcW w:w="4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87,729</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60,099</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99,147</w:t>
            </w: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31,565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20,848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62,075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32,931</w:t>
            </w:r>
          </w:p>
        </w:tc>
        <w:tc>
          <w:tcPr>
            <w:tcW w:w="0" w:type="dxa"/>
            <w:vAlign w:val="bottom"/>
          </w:tcPr>
          <w:p>
            <w:pPr>
              <w:spacing w:after="0"/>
              <w:rPr>
                <w:sz w:val="1"/>
                <w:szCs w:val="1"/>
                <w:color w:val="auto"/>
              </w:rPr>
            </w:pPr>
          </w:p>
        </w:tc>
      </w:tr>
      <w:tr>
        <w:trPr>
          <w:trHeight w:val="209"/>
        </w:trPr>
        <w:tc>
          <w:tcPr>
            <w:tcW w:w="4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47,246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33,153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92,112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63,723</w:t>
            </w: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81,796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78,181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158,125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151,091</w:t>
            </w:r>
          </w:p>
        </w:tc>
        <w:tc>
          <w:tcPr>
            <w:tcW w:w="0" w:type="dxa"/>
            <w:vAlign w:val="bottom"/>
          </w:tcPr>
          <w:p>
            <w:pPr>
              <w:spacing w:after="0"/>
              <w:rPr>
                <w:sz w:val="1"/>
                <w:szCs w:val="1"/>
                <w:color w:val="auto"/>
              </w:rPr>
            </w:pPr>
          </w:p>
        </w:tc>
      </w:tr>
      <w:tr>
        <w:trPr>
          <w:trHeight w:val="209"/>
        </w:trPr>
        <w:tc>
          <w:tcPr>
            <w:tcW w:w="4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6,789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59"/>
        </w:trPr>
        <w:tc>
          <w:tcPr>
            <w:tcW w:w="4620" w:type="dxa"/>
            <w:vAlign w:val="bottom"/>
          </w:tcPr>
          <w:p>
            <w:pPr>
              <w:ind w:left="220"/>
              <w:spacing w:after="0" w:line="159" w:lineRule="exact"/>
              <w:rPr>
                <w:sz w:val="20"/>
                <w:szCs w:val="20"/>
                <w:color w:val="auto"/>
              </w:rPr>
            </w:pPr>
            <w:r>
              <w:rPr>
                <w:rFonts w:ascii="Arial" w:cs="Arial" w:eastAsia="Arial" w:hAnsi="Arial"/>
                <w:sz w:val="15"/>
                <w:szCs w:val="15"/>
                <w:color w:val="auto"/>
              </w:rPr>
              <w:t>Restructuring costs, lease impairment expense and other</w:t>
            </w:r>
          </w:p>
        </w:tc>
        <w:tc>
          <w:tcPr>
            <w:tcW w:w="3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99"/>
        </w:trPr>
        <w:tc>
          <w:tcPr>
            <w:tcW w:w="4620" w:type="dxa"/>
            <w:vAlign w:val="bottom"/>
          </w:tcPr>
          <w:p>
            <w:pPr>
              <w:ind w:left="220"/>
              <w:spacing w:after="0"/>
              <w:rPr>
                <w:sz w:val="20"/>
                <w:szCs w:val="20"/>
                <w:color w:val="auto"/>
              </w:rPr>
            </w:pPr>
            <w:r>
              <w:rPr>
                <w:rFonts w:ascii="Arial" w:cs="Arial" w:eastAsia="Arial" w:hAnsi="Arial"/>
                <w:sz w:val="15"/>
                <w:szCs w:val="15"/>
                <w:color w:val="auto"/>
              </w:rPr>
              <w:t>related charges (income)</w:t>
            </w:r>
          </w:p>
        </w:tc>
        <w:tc>
          <w:tcPr>
            <w:tcW w:w="3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2,247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5,193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6,120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9,280</w:t>
            </w:r>
          </w:p>
        </w:tc>
        <w:tc>
          <w:tcPr>
            <w:tcW w:w="0" w:type="dxa"/>
            <w:vAlign w:val="bottom"/>
          </w:tcPr>
          <w:p>
            <w:pPr>
              <w:spacing w:after="0"/>
              <w:rPr>
                <w:sz w:val="1"/>
                <w:szCs w:val="1"/>
                <w:color w:val="auto"/>
              </w:rPr>
            </w:pPr>
          </w:p>
        </w:tc>
      </w:tr>
      <w:tr>
        <w:trPr>
          <w:trHeight w:val="209"/>
        </w:trPr>
        <w:tc>
          <w:tcPr>
            <w:tcW w:w="4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9,348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9,128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17,498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15,401</w:t>
            </w:r>
          </w:p>
        </w:tc>
        <w:tc>
          <w:tcPr>
            <w:tcW w:w="0" w:type="dxa"/>
            <w:vAlign w:val="bottom"/>
          </w:tcPr>
          <w:p>
            <w:pPr>
              <w:spacing w:after="0"/>
              <w:rPr>
                <w:sz w:val="1"/>
                <w:szCs w:val="1"/>
                <w:color w:val="auto"/>
              </w:rPr>
            </w:pPr>
          </w:p>
        </w:tc>
      </w:tr>
      <w:tr>
        <w:trPr>
          <w:trHeight w:val="206"/>
        </w:trPr>
        <w:tc>
          <w:tcPr>
            <w:tcW w:w="4620" w:type="dxa"/>
            <w:vAlign w:val="bottom"/>
          </w:tcPr>
          <w:p>
            <w:pPr>
              <w:ind w:left="22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4,676</w:t>
            </w:r>
          </w:p>
        </w:tc>
        <w:tc>
          <w:tcPr>
            <w:tcW w:w="0" w:type="dxa"/>
            <w:vAlign w:val="bottom"/>
          </w:tcPr>
          <w:p>
            <w:pPr>
              <w:spacing w:after="0"/>
              <w:rPr>
                <w:sz w:val="1"/>
                <w:szCs w:val="1"/>
                <w:color w:val="auto"/>
              </w:rPr>
            </w:pPr>
          </w:p>
        </w:tc>
      </w:tr>
      <w:tr>
        <w:trPr>
          <w:trHeight w:val="219"/>
        </w:trPr>
        <w:tc>
          <w:tcPr>
            <w:tcW w:w="4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261,341</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208,643</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508,183</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376,416</w:t>
            </w:r>
          </w:p>
        </w:tc>
        <w:tc>
          <w:tcPr>
            <w:tcW w:w="0" w:type="dxa"/>
            <w:vAlign w:val="bottom"/>
          </w:tcPr>
          <w:p>
            <w:pPr>
              <w:spacing w:after="0"/>
              <w:rPr>
                <w:sz w:val="1"/>
                <w:szCs w:val="1"/>
                <w:color w:val="auto"/>
              </w:rPr>
            </w:pPr>
          </w:p>
        </w:tc>
      </w:tr>
      <w:tr>
        <w:trPr>
          <w:trHeight w:val="20"/>
        </w:trPr>
        <w:tc>
          <w:tcPr>
            <w:tcW w:w="46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1D2758"/>
        </w:rPr>
        <w:t>NOTE 17 - Earnings Per Share</w:t>
      </w:r>
    </w:p>
    <w:p>
      <w:pPr>
        <w:spacing w:after="0" w:line="125"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The following table reconciles the weighted average shares outstanding for the basic calculation to the weighted average shares outstanding for the diluted calculation: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2380" w:type="dxa"/>
            <w:vAlign w:val="bottom"/>
            <w:gridSpan w:val="4"/>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Three Months Ended</w:t>
            </w:r>
          </w:p>
        </w:tc>
        <w:tc>
          <w:tcPr>
            <w:tcW w:w="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2380" w:type="dxa"/>
            <w:vAlign w:val="bottom"/>
            <w:gridSpan w:val="4"/>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Six Months Ended</w:t>
            </w:r>
          </w:p>
        </w:tc>
      </w:tr>
      <w:tr>
        <w:trPr>
          <w:trHeight w:val="203"/>
        </w:trPr>
        <w:tc>
          <w:tcPr>
            <w:tcW w:w="580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440" w:type="dxa"/>
            <w:vAlign w:val="bottom"/>
            <w:gridSpan w:val="3"/>
            <w:shd w:val="clear" w:color="auto" w:fill="1D2758"/>
          </w:tcPr>
          <w:p>
            <w:pPr>
              <w:jc w:val="right"/>
              <w:ind w:right="120"/>
              <w:spacing w:after="0"/>
              <w:rPr>
                <w:sz w:val="20"/>
                <w:szCs w:val="20"/>
                <w:color w:val="auto"/>
              </w:rPr>
            </w:pPr>
            <w:r>
              <w:rPr>
                <w:rFonts w:ascii="Arial" w:cs="Arial" w:eastAsia="Arial" w:hAnsi="Arial"/>
                <w:sz w:val="15"/>
                <w:szCs w:val="15"/>
                <w:b w:val="1"/>
                <w:bCs w:val="1"/>
                <w:color w:val="FFFFFF"/>
              </w:rPr>
              <w:t>June 30</w:t>
            </w:r>
          </w:p>
        </w:tc>
        <w:tc>
          <w:tcPr>
            <w:tcW w:w="9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00" w:type="dxa"/>
            <w:vAlign w:val="bottom"/>
            <w:shd w:val="clear" w:color="auto" w:fill="1D2758"/>
          </w:tcPr>
          <w:p>
            <w:pPr>
              <w:spacing w:after="0"/>
              <w:rPr>
                <w:sz w:val="17"/>
                <w:szCs w:val="17"/>
                <w:color w:val="auto"/>
              </w:rPr>
            </w:pPr>
          </w:p>
        </w:tc>
        <w:tc>
          <w:tcPr>
            <w:tcW w:w="1460" w:type="dxa"/>
            <w:vAlign w:val="bottom"/>
            <w:gridSpan w:val="3"/>
            <w:shd w:val="clear" w:color="auto" w:fill="1D2758"/>
          </w:tcPr>
          <w:p>
            <w:pPr>
              <w:jc w:val="right"/>
              <w:ind w:right="120"/>
              <w:spacing w:after="0"/>
              <w:rPr>
                <w:sz w:val="20"/>
                <w:szCs w:val="20"/>
                <w:color w:val="auto"/>
              </w:rPr>
            </w:pPr>
            <w:r>
              <w:rPr>
                <w:rFonts w:ascii="Arial" w:cs="Arial" w:eastAsia="Arial" w:hAnsi="Arial"/>
                <w:sz w:val="15"/>
                <w:szCs w:val="15"/>
                <w:b w:val="1"/>
                <w:bCs w:val="1"/>
                <w:color w:val="FFFFFF"/>
              </w:rPr>
              <w:t>June 30</w:t>
            </w:r>
          </w:p>
        </w:tc>
        <w:tc>
          <w:tcPr>
            <w:tcW w:w="920" w:type="dxa"/>
            <w:vAlign w:val="bottom"/>
            <w:shd w:val="clear" w:color="auto" w:fill="1D2758"/>
          </w:tcPr>
          <w:p>
            <w:pPr>
              <w:spacing w:after="0"/>
              <w:rPr>
                <w:sz w:val="17"/>
                <w:szCs w:val="17"/>
                <w:color w:val="auto"/>
              </w:rPr>
            </w:pPr>
          </w:p>
        </w:tc>
      </w:tr>
      <w:tr>
        <w:trPr>
          <w:trHeight w:val="210"/>
        </w:trPr>
        <w:tc>
          <w:tcPr>
            <w:tcW w:w="5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18"/>
                <w:szCs w:val="18"/>
                <w:color w:val="auto"/>
              </w:rPr>
            </w:pPr>
          </w:p>
        </w:tc>
        <w:tc>
          <w:tcPr>
            <w:tcW w:w="100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94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00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92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3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87,729</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60,099</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164,000</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99,147</w:t>
            </w:r>
          </w:p>
        </w:tc>
      </w:tr>
      <w:tr>
        <w:trPr>
          <w:trHeight w:val="206"/>
        </w:trPr>
        <w:tc>
          <w:tcPr>
            <w:tcW w:w="5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3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13,277</w:t>
            </w:r>
          </w:p>
        </w:tc>
        <w:tc>
          <w:tcPr>
            <w:tcW w:w="8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134,613</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25,400</w:t>
            </w:r>
          </w:p>
        </w:tc>
      </w:tr>
      <w:tr>
        <w:trPr>
          <w:trHeight w:val="202"/>
        </w:trPr>
        <w:tc>
          <w:tcPr>
            <w:tcW w:w="58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87,729</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73,376</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298,613</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124,547</w:t>
            </w:r>
          </w:p>
        </w:tc>
      </w:tr>
      <w:tr>
        <w:trPr>
          <w:trHeight w:val="20"/>
        </w:trPr>
        <w:tc>
          <w:tcPr>
            <w:tcW w:w="580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8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5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200,947</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223,376</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204,636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222,197</w:t>
            </w:r>
          </w:p>
        </w:tc>
      </w:tr>
      <w:tr>
        <w:trPr>
          <w:trHeight w:val="203"/>
        </w:trPr>
        <w:tc>
          <w:tcPr>
            <w:tcW w:w="5800" w:type="dxa"/>
            <w:vAlign w:val="bottom"/>
          </w:tcPr>
          <w:p>
            <w:pPr>
              <w:ind w:left="220"/>
              <w:spacing w:after="0"/>
              <w:rPr>
                <w:sz w:val="20"/>
                <w:szCs w:val="20"/>
                <w:color w:val="auto"/>
              </w:rPr>
            </w:pPr>
            <w:r>
              <w:rPr>
                <w:rFonts w:ascii="Arial" w:cs="Arial" w:eastAsia="Arial" w:hAnsi="Arial"/>
                <w:sz w:val="15"/>
                <w:szCs w:val="15"/>
                <w:color w:val="auto"/>
              </w:rPr>
              <w:t>Dilutive effect of shares outstanding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5800" w:type="dxa"/>
            <w:vAlign w:val="bottom"/>
            <w:shd w:val="clear" w:color="auto" w:fill="DBDBDB"/>
          </w:tcPr>
          <w:p>
            <w:pPr>
              <w:ind w:left="320"/>
              <w:spacing w:after="0"/>
              <w:rPr>
                <w:sz w:val="20"/>
                <w:szCs w:val="20"/>
                <w:color w:val="auto"/>
              </w:rPr>
            </w:pPr>
            <w:r>
              <w:rPr>
                <w:rFonts w:ascii="Arial" w:cs="Arial" w:eastAsia="Arial" w:hAnsi="Arial"/>
                <w:sz w:val="15"/>
                <w:szCs w:val="15"/>
                <w:color w:val="auto"/>
              </w:rPr>
              <w:t>Warrants</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1,746</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1,818</w:t>
            </w:r>
          </w:p>
        </w:tc>
      </w:tr>
      <w:tr>
        <w:trPr>
          <w:trHeight w:val="203"/>
        </w:trPr>
        <w:tc>
          <w:tcPr>
            <w:tcW w:w="5800" w:type="dxa"/>
            <w:vAlign w:val="bottom"/>
          </w:tcPr>
          <w:p>
            <w:pPr>
              <w:ind w:left="320"/>
              <w:spacing w:after="0"/>
              <w:rPr>
                <w:sz w:val="20"/>
                <w:szCs w:val="20"/>
                <w:color w:val="auto"/>
              </w:rPr>
            </w:pPr>
            <w:r>
              <w:rPr>
                <w:rFonts w:ascii="Arial" w:cs="Arial" w:eastAsia="Arial" w:hAnsi="Arial"/>
                <w:sz w:val="15"/>
                <w:szCs w:val="15"/>
                <w:color w:val="auto"/>
              </w:rPr>
              <w:t>RSAs</w:t>
            </w: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9"/>
        </w:trPr>
        <w:tc>
          <w:tcPr>
            <w:tcW w:w="5800" w:type="dxa"/>
            <w:vAlign w:val="bottom"/>
            <w:shd w:val="clear" w:color="auto" w:fill="DBDBDB"/>
          </w:tcPr>
          <w:p>
            <w:pPr>
              <w:ind w:left="320"/>
              <w:spacing w:after="0"/>
              <w:rPr>
                <w:sz w:val="20"/>
                <w:szCs w:val="20"/>
                <w:color w:val="auto"/>
              </w:rPr>
            </w:pPr>
            <w:r>
              <w:rPr>
                <w:rFonts w:ascii="Arial" w:cs="Arial" w:eastAsia="Arial" w:hAnsi="Arial"/>
                <w:sz w:val="15"/>
                <w:szCs w:val="15"/>
                <w:color w:val="auto"/>
              </w:rPr>
              <w:t>Time-based RSUs</w:t>
            </w: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242</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307</w:t>
            </w:r>
          </w:p>
        </w:tc>
        <w:tc>
          <w:tcPr>
            <w:tcW w:w="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395</w:t>
            </w:r>
          </w:p>
        </w:tc>
      </w:tr>
      <w:tr>
        <w:trPr>
          <w:trHeight w:val="203"/>
        </w:trPr>
        <w:tc>
          <w:tcPr>
            <w:tcW w:w="5800" w:type="dxa"/>
            <w:vAlign w:val="bottom"/>
          </w:tcPr>
          <w:p>
            <w:pPr>
              <w:ind w:left="320"/>
              <w:spacing w:after="0"/>
              <w:rPr>
                <w:sz w:val="20"/>
                <w:szCs w:val="20"/>
                <w:color w:val="auto"/>
              </w:rPr>
            </w:pPr>
            <w:r>
              <w:rPr>
                <w:rFonts w:ascii="Arial" w:cs="Arial" w:eastAsia="Arial" w:hAnsi="Arial"/>
                <w:sz w:val="15"/>
                <w:szCs w:val="15"/>
                <w:color w:val="auto"/>
              </w:rPr>
              <w:t>Performance-based RSUs</w:t>
            </w: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2,148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952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2,274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1,385</w:t>
            </w:r>
          </w:p>
        </w:tc>
      </w:tr>
      <w:tr>
        <w:trPr>
          <w:trHeight w:val="206"/>
        </w:trPr>
        <w:tc>
          <w:tcPr>
            <w:tcW w:w="5800" w:type="dxa"/>
            <w:vAlign w:val="bottom"/>
            <w:shd w:val="clear" w:color="auto" w:fill="DBDBDB"/>
          </w:tcPr>
          <w:p>
            <w:pPr>
              <w:ind w:left="320"/>
              <w:spacing w:after="0"/>
              <w:rPr>
                <w:sz w:val="20"/>
                <w:szCs w:val="20"/>
                <w:color w:val="auto"/>
              </w:rPr>
            </w:pPr>
            <w:r>
              <w:rPr>
                <w:rFonts w:ascii="Arial" w:cs="Arial" w:eastAsia="Arial" w:hAnsi="Arial"/>
                <w:sz w:val="15"/>
                <w:szCs w:val="15"/>
                <w:color w:val="auto"/>
              </w:rPr>
              <w:t>Stock Options</w:t>
            </w:r>
          </w:p>
        </w:tc>
        <w:tc>
          <w:tcPr>
            <w:tcW w:w="3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973</w:t>
            </w:r>
          </w:p>
        </w:tc>
        <w:tc>
          <w:tcPr>
            <w:tcW w:w="8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1,085</w:t>
            </w:r>
          </w:p>
        </w:tc>
        <w:tc>
          <w:tcPr>
            <w:tcW w:w="8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993</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1,166</w:t>
            </w:r>
          </w:p>
        </w:tc>
      </w:tr>
      <w:tr>
        <w:trPr>
          <w:trHeight w:val="202"/>
        </w:trPr>
        <w:tc>
          <w:tcPr>
            <w:tcW w:w="580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204,326</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227,484</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208,233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226,983</w:t>
            </w: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The following amounts of common shares that the Company may be obligated to issue were excluded from the computation of dilutive EPS because their effect would have been anti-dilutive: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20" w:type="dxa"/>
            <w:vAlign w:val="bottom"/>
            <w:shd w:val="clear" w:color="auto" w:fill="1D2758"/>
          </w:tcPr>
          <w:p>
            <w:pPr>
              <w:spacing w:after="0"/>
              <w:rPr>
                <w:sz w:val="17"/>
                <w:szCs w:val="17"/>
                <w:color w:val="auto"/>
              </w:rPr>
            </w:pPr>
          </w:p>
        </w:tc>
        <w:tc>
          <w:tcPr>
            <w:tcW w:w="2660" w:type="dxa"/>
            <w:vAlign w:val="bottom"/>
            <w:gridSpan w:val="4"/>
            <w:shd w:val="clear" w:color="auto" w:fill="1D2758"/>
          </w:tcPr>
          <w:p>
            <w:pPr>
              <w:jc w:val="center"/>
              <w:spacing w:after="0"/>
              <w:rPr>
                <w:sz w:val="20"/>
                <w:szCs w:val="20"/>
                <w:color w:val="auto"/>
              </w:rPr>
            </w:pPr>
            <w:r>
              <w:rPr>
                <w:rFonts w:ascii="Arial" w:cs="Arial" w:eastAsia="Arial" w:hAnsi="Arial"/>
                <w:sz w:val="15"/>
                <w:szCs w:val="15"/>
                <w:b w:val="1"/>
                <w:bCs w:val="1"/>
                <w:color w:val="FFFFFF"/>
              </w:rPr>
              <w:t>Three Months Ended</w:t>
            </w:r>
          </w:p>
        </w:tc>
        <w:tc>
          <w:tcPr>
            <w:tcW w:w="100" w:type="dxa"/>
            <w:vAlign w:val="bottom"/>
            <w:shd w:val="clear" w:color="auto" w:fill="1D2758"/>
          </w:tcPr>
          <w:p>
            <w:pPr>
              <w:spacing w:after="0"/>
              <w:rPr>
                <w:sz w:val="17"/>
                <w:szCs w:val="17"/>
                <w:color w:val="auto"/>
              </w:rPr>
            </w:pPr>
          </w:p>
        </w:tc>
        <w:tc>
          <w:tcPr>
            <w:tcW w:w="2660" w:type="dxa"/>
            <w:vAlign w:val="bottom"/>
            <w:gridSpan w:val="4"/>
            <w:shd w:val="clear" w:color="auto" w:fill="1D2758"/>
          </w:tcPr>
          <w:p>
            <w:pPr>
              <w:jc w:val="center"/>
              <w:spacing w:after="0"/>
              <w:rPr>
                <w:sz w:val="20"/>
                <w:szCs w:val="20"/>
                <w:color w:val="auto"/>
              </w:rPr>
            </w:pPr>
            <w:r>
              <w:rPr>
                <w:rFonts w:ascii="Arial" w:cs="Arial" w:eastAsia="Arial" w:hAnsi="Arial"/>
                <w:sz w:val="15"/>
                <w:szCs w:val="15"/>
                <w:b w:val="1"/>
                <w:bCs w:val="1"/>
                <w:color w:val="FFFFFF"/>
              </w:rPr>
              <w:t>Six Months Ended</w:t>
            </w:r>
          </w:p>
        </w:tc>
      </w:tr>
      <w:tr>
        <w:trPr>
          <w:trHeight w:val="203"/>
        </w:trPr>
        <w:tc>
          <w:tcPr>
            <w:tcW w:w="5820" w:type="dxa"/>
            <w:vAlign w:val="bottom"/>
            <w:shd w:val="clear" w:color="auto" w:fill="1D2758"/>
          </w:tcPr>
          <w:p>
            <w:pPr>
              <w:spacing w:after="0"/>
              <w:rPr>
                <w:sz w:val="17"/>
                <w:szCs w:val="17"/>
                <w:color w:val="auto"/>
              </w:rPr>
            </w:pPr>
          </w:p>
        </w:tc>
        <w:tc>
          <w:tcPr>
            <w:tcW w:w="1740" w:type="dxa"/>
            <w:vAlign w:val="bottom"/>
            <w:gridSpan w:val="3"/>
            <w:shd w:val="clear" w:color="auto" w:fill="1D2758"/>
          </w:tcPr>
          <w:p>
            <w:pPr>
              <w:jc w:val="center"/>
              <w:ind w:left="843"/>
              <w:spacing w:after="0"/>
              <w:rPr>
                <w:sz w:val="20"/>
                <w:szCs w:val="20"/>
                <w:color w:val="auto"/>
              </w:rPr>
            </w:pPr>
            <w:r>
              <w:rPr>
                <w:rFonts w:ascii="Arial" w:cs="Arial" w:eastAsia="Arial" w:hAnsi="Arial"/>
                <w:sz w:val="15"/>
                <w:szCs w:val="15"/>
                <w:b w:val="1"/>
                <w:bCs w:val="1"/>
                <w:color w:val="FFFFFF"/>
              </w:rPr>
              <w:t>June 30</w:t>
            </w:r>
          </w:p>
        </w:tc>
        <w:tc>
          <w:tcPr>
            <w:tcW w:w="9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740" w:type="dxa"/>
            <w:vAlign w:val="bottom"/>
            <w:gridSpan w:val="3"/>
            <w:shd w:val="clear" w:color="auto" w:fill="1D2758"/>
          </w:tcPr>
          <w:p>
            <w:pPr>
              <w:jc w:val="center"/>
              <w:ind w:left="843"/>
              <w:spacing w:after="0"/>
              <w:rPr>
                <w:sz w:val="20"/>
                <w:szCs w:val="20"/>
                <w:color w:val="auto"/>
              </w:rPr>
            </w:pPr>
            <w:r>
              <w:rPr>
                <w:rFonts w:ascii="Arial" w:cs="Arial" w:eastAsia="Arial" w:hAnsi="Arial"/>
                <w:sz w:val="15"/>
                <w:szCs w:val="15"/>
                <w:b w:val="1"/>
                <w:bCs w:val="1"/>
                <w:color w:val="FFFFFF"/>
              </w:rPr>
              <w:t>June 30</w:t>
            </w:r>
          </w:p>
        </w:tc>
        <w:tc>
          <w:tcPr>
            <w:tcW w:w="920" w:type="dxa"/>
            <w:vAlign w:val="bottom"/>
            <w:shd w:val="clear" w:color="auto" w:fill="1D2758"/>
          </w:tcPr>
          <w:p>
            <w:pPr>
              <w:spacing w:after="0"/>
              <w:rPr>
                <w:sz w:val="17"/>
                <w:szCs w:val="17"/>
                <w:color w:val="auto"/>
              </w:rPr>
            </w:pPr>
          </w:p>
        </w:tc>
      </w:tr>
      <w:tr>
        <w:trPr>
          <w:trHeight w:val="210"/>
        </w:trPr>
        <w:tc>
          <w:tcPr>
            <w:tcW w:w="58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8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92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2022</w:t>
            </w:r>
          </w:p>
        </w:tc>
        <w:tc>
          <w:tcPr>
            <w:tcW w:w="1380" w:type="dxa"/>
            <w:vAlign w:val="bottom"/>
            <w:gridSpan w:val="2"/>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92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8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Time-based RSUs</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Performance-based RSUs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1,253</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w:t>
            </w:r>
          </w:p>
        </w:tc>
      </w:tr>
      <w:tr>
        <w:trPr>
          <w:trHeight w:val="222"/>
        </w:trPr>
        <w:tc>
          <w:tcPr>
            <w:tcW w:w="58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anti-dilutive shares</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1,253</w:t>
            </w:r>
          </w:p>
        </w:tc>
        <w:tc>
          <w:tcPr>
            <w:tcW w:w="138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398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904</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0" w:name="page31"/>
    <w:bookmarkEnd w:id="30"/>
    <w:p>
      <w:pPr>
        <w:ind w:left="1740" w:right="120" w:hanging="1855"/>
        <w:spacing w:after="0" w:line="281" w:lineRule="auto"/>
        <w:tabs>
          <w:tab w:leader="none" w:pos="1720" w:val="left"/>
        </w:tabs>
        <w:rPr>
          <w:sz w:val="20"/>
          <w:szCs w:val="20"/>
          <w:color w:val="auto"/>
        </w:rPr>
      </w:pPr>
      <w:r>
        <w:rPr>
          <w:rFonts w:ascii="Arial" w:cs="Arial" w:eastAsia="Arial" w:hAnsi="Arial"/>
          <w:sz w:val="38"/>
          <w:szCs w:val="38"/>
          <w:b w:val="1"/>
          <w:bCs w:val="1"/>
          <w:color w:val="auto"/>
        </w:rPr>
        <w:t>ITEM 2.</w:t>
      </w:r>
      <w:r>
        <w:rPr>
          <w:sz w:val="20"/>
          <w:szCs w:val="20"/>
          <w:color w:val="auto"/>
        </w:rPr>
        <w:tab/>
      </w:r>
      <w:r>
        <w:rPr>
          <w:rFonts w:ascii="Arial" w:cs="Arial" w:eastAsia="Arial" w:hAnsi="Arial"/>
          <w:sz w:val="38"/>
          <w:szCs w:val="38"/>
          <w:b w:val="1"/>
          <w:bCs w:val="1"/>
          <w:color w:val="auto"/>
        </w:rPr>
        <w:t>Management’s Discussion and Analysis of Financial Condition and Results of Operations</w:t>
      </w:r>
    </w:p>
    <w:p>
      <w:pPr>
        <w:spacing w:after="0" w:line="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Mobile Mini Holdings Corp. ("WillScot Mobile Mini"),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six months ended June 30, 2023 or prior periods.</w:t>
      </w:r>
    </w:p>
    <w:p>
      <w:pPr>
        <w:spacing w:after="0" w:line="12"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On September 30, 2022, the Company completed the sale of its former Tank and Pump Solutions ("Tank and Pump") segment. On January 31, 2023, the Company completed the sale of its former United Kingdom ("UK") Storage Solutions segment. This MD&amp;A presents the historical financial results of the former Tank and Pump segment and the former UK Storage Solutions segment as discontinued operations for all periods presented.</w:t>
      </w:r>
    </w:p>
    <w:p>
      <w:pPr>
        <w:spacing w:after="0" w:line="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 and Outlook</w:t>
      </w:r>
    </w:p>
    <w:p>
      <w:pPr>
        <w:spacing w:after="0" w:line="112"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We are a leading business services provider specializing in innovative flexible work space and portable storage solutions. We service diverse end markets across all sectors of the economy throughout the United States ("US"), Canada, and Mexico. As of June 30, 2023, our branch network included approximately 240 branch locations and additional drop lots to service our over 85,000 customers. We offer our customers an extensive selection of “Ready to Work” modular space and portable storage solutions with over 155,000 modular space units and over 211,000 portable storage units in our fleet.</w:t>
      </w:r>
    </w:p>
    <w:p>
      <w:pPr>
        <w:spacing w:after="0" w:line="1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reoccurring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reoccurring nature and the underlying stability and diversification of our lease portfolio. Furthermore, given that our customers value flexibility, they consistently extend their leases or renew on a month-to-month basis such that the average effective duration of our lease portfolio, excluding seasonal portable storage units, is</w:t>
      </w:r>
    </w:p>
    <w:p>
      <w:pPr>
        <w:spacing w:after="0" w:line="1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approximately 34 months. We complement our core leasing business by selling both new and used units, allowing us to leverage scale, achieve purchasing benefits and redeploy capital employed in our lease fleet.</w:t>
      </w:r>
    </w:p>
    <w:p>
      <w:pPr>
        <w:spacing w:after="0" w:line="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We track several market leading indicators to predict demand, including those related to our two largest end markets, the commercial and industrial sector and the construction sector, which collectively accounted for approximately 88% of our revenues in the six months ended June 30, 2023.</w:t>
      </w:r>
    </w:p>
    <w:p>
      <w:pPr>
        <w:spacing w:after="0" w:line="16"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15"/>
          <w:szCs w:val="15"/>
          <w:color w:val="auto"/>
        </w:rPr>
        <w:t>We remain focused on our core priorities of growing leasing revenues by increasing units on rent, both organically and through our acquisition strategy, delivering “Ready to Work” solutions to our customers with value added products and services ("VAPS"), and on continually improving the overall customer experience.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Customer Relationship Management ("CRM") System</w:t>
      </w:r>
    </w:p>
    <w:p>
      <w:pPr>
        <w:spacing w:after="0" w:line="8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On February 6, 2023, we successfully completed the harmonization of our separate Modular and Storage CRM systems onto a single unified system. With this enhanced platform, we have a combined view of our customers and projects across the entire sales team. Going forward, we will focus on productivity management and building a more targeted and predictive approach to anticipate and service customer demand, with continued improvement in engagement and outreach underpinned by our data warehouse.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Divestiture</w:t>
      </w:r>
    </w:p>
    <w:p>
      <w:pPr>
        <w:spacing w:after="0" w:line="8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On January 31, 2023, we completed the sale of our former UK Storage Solutions segment for total cash consideration of $418.1 million. Proceeds from the sale were used to support ongoing reinvestment in our Modular and Storage operating segments in North America and other capital allocation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i w:val="1"/>
          <w:iCs w:val="1"/>
          <w:color w:val="1D2758"/>
        </w:rPr>
        <w:t>Reportable Segments</w:t>
      </w:r>
    </w:p>
    <w:p>
      <w:pPr>
        <w:spacing w:after="0" w:line="6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Following the divestitures of the UK Storage Solutions and Tank and Pump segments, we operate in two reporting segments: Modular Solutions ("Modular") and Storage Solutions ("Storage"). The reporting segments are aligned with how we operate and analyze our business results. During the first quarter of 2023, the ground level office business within the Modular segment was transferred to the Storage segment, and associated revenues, expenses, and operating metrics were transferred to the Storage segment. All periods presented have been retrospectively revised to reflect this adjustment within the Modular and Storage segments. For the twelve months ended December 31, 2022, this resulted in approximately $49.8 million of revenue and $28.5 million of gross profit being transferred from the Modular segment to the Storage segment.</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Asset Acquisitions</w:t>
      </w:r>
    </w:p>
    <w:p>
      <w:pPr>
        <w:spacing w:after="0" w:line="68"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During the six months ended June 30, 2023, we acquired certain assets and liabilities of five regional and local storage and modular companies, which consisted primarily of approximately 1,800 storage units and 700 modular units, for $149.4 million in cash, net of cash acquired. The accompanying consolidated financial statements include $147.9 million of rental equipment and $4.5 million of land held for sale as a result of these acquisitions.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Share Repurchases</w:t>
      </w:r>
    </w:p>
    <w:p>
      <w:pPr>
        <w:spacing w:after="0" w:line="8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During the six months ended June 30, 2023, we repurchased 9,995,319 shares of Common Stock for $454.9 million. As of June 30, 2023, $854.1 million of the approved share repurchase pool remained available. Given the predictability of our free cash flow, we believe that repurchases will be a reoccurring capital allocation priority.</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Inflation and Supply Chain Issues</w:t>
      </w:r>
    </w:p>
    <w:p>
      <w:pPr>
        <w:spacing w:after="0" w:line="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Similar to many other organizations, we have faced inflationary pressures over the past several years across most of our input costs such as building materials, labor, transportation and fuel. Inflation has contributed to increased capital costs both for new units as well as for refurbishment of our existing units. However, given our scale and our strong rate performance, we believe we have been able to navigate the inflationary environment well and have consistently driven margin improvements during this period of rising costs. Additionally, because we derive the majority of our revenue from leasing our existing lease fleet units to customers and our material purchases to maintain these units consist primarily of general building materials, we have not experienced significant supply chain issues to date.</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Quarter Highlights</w:t>
      </w:r>
    </w:p>
    <w:p>
      <w:pPr>
        <w:spacing w:after="0" w:line="12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For the three months ended June 30, 2023, as compared to the three months ended June 30, 2022 unless otherwise noted, key drivers of our financial performance included:</w:t>
      </w:r>
    </w:p>
    <w:p>
      <w:pPr>
        <w:spacing w:after="0" w:line="9" w:lineRule="exact"/>
        <w:rPr>
          <w:sz w:val="20"/>
          <w:szCs w:val="20"/>
          <w:color w:val="auto"/>
        </w:rPr>
      </w:pPr>
    </w:p>
    <w:p>
      <w:pPr>
        <w:ind w:left="620" w:hanging="307"/>
        <w:spacing w:after="0" w:line="295" w:lineRule="auto"/>
        <w:tabs>
          <w:tab w:leader="none" w:pos="620"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color w:val="auto"/>
        </w:rPr>
        <w:t>Total revenues increased $59.2 million, or 11.3%. Leasing revenue increased $62.9 million, or 16.3%, delivery and installation revenue increased $1.9 million, or 1.7%, rental unit sales decreased $4.7 million, or 29.9%, and new unit sales revenue decreased $0.9 million, or 9.1%.</w:t>
      </w:r>
    </w:p>
    <w:p>
      <w:pPr>
        <w:spacing w:after="0" w:line="1" w:lineRule="exact"/>
        <w:rPr>
          <w:rFonts w:ascii="Arial" w:cs="Arial" w:eastAsia="Arial" w:hAnsi="Arial"/>
          <w:sz w:val="15"/>
          <w:szCs w:val="15"/>
          <w:b w:val="1"/>
          <w:bCs w:val="1"/>
          <w:i w:val="1"/>
          <w:iCs w:val="1"/>
          <w:color w:val="auto"/>
        </w:rPr>
      </w:pPr>
    </w:p>
    <w:p>
      <w:pPr>
        <w:ind w:left="620"/>
        <w:spacing w:after="0"/>
        <w:rPr>
          <w:rFonts w:ascii="Arial" w:cs="Arial" w:eastAsia="Arial" w:hAnsi="Arial"/>
          <w:sz w:val="15"/>
          <w:szCs w:val="15"/>
          <w:b w:val="1"/>
          <w:bCs w:val="1"/>
          <w:i w:val="1"/>
          <w:iCs w:val="1"/>
          <w:color w:val="auto"/>
        </w:rPr>
      </w:pPr>
      <w:r>
        <w:rPr>
          <w:rFonts w:ascii="Arial" w:cs="Arial" w:eastAsia="Arial" w:hAnsi="Arial"/>
          <w:sz w:val="15"/>
          <w:szCs w:val="15"/>
          <w:color w:val="auto"/>
        </w:rPr>
        <w:t>Key leasing revenue drivers included:</w:t>
      </w:r>
    </w:p>
    <w:p>
      <w:pPr>
        <w:spacing w:after="0" w:line="72" w:lineRule="exact"/>
        <w:rPr>
          <w:rFonts w:ascii="Arial" w:cs="Arial" w:eastAsia="Arial" w:hAnsi="Arial"/>
          <w:sz w:val="15"/>
          <w:szCs w:val="15"/>
          <w:b w:val="1"/>
          <w:bCs w:val="1"/>
          <w:i w:val="1"/>
          <w:iCs w:val="1"/>
          <w:color w:val="auto"/>
        </w:rPr>
      </w:pPr>
    </w:p>
    <w:p>
      <w:pPr>
        <w:ind w:left="1240" w:hanging="309"/>
        <w:spacing w:after="0" w:line="261" w:lineRule="auto"/>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portable storage units on rent decreased 10,301 units, or 6.3%, and average modular space units on rent decreased 3,529 units, or 3.4%.</w:t>
      </w:r>
    </w:p>
    <w:p>
      <w:pPr>
        <w:spacing w:after="0" w:line="224" w:lineRule="exact"/>
        <w:rPr>
          <w:rFonts w:ascii="Arial" w:cs="Arial" w:eastAsia="Arial" w:hAnsi="Arial"/>
          <w:sz w:val="15"/>
          <w:szCs w:val="15"/>
          <w:color w:val="auto"/>
        </w:rPr>
      </w:pPr>
    </w:p>
    <w:p>
      <w:pPr>
        <w:jc w:val="both"/>
        <w:ind w:left="1240" w:hanging="309"/>
        <w:spacing w:after="0" w:line="288" w:lineRule="auto"/>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modular space monthly rental rate increased $169, or 19.2%, to $1,051 driven by strong pricing performance across both segments. Average modular space monthly rental rates increased by $163, or 17.4%, in the Modular segment and by $167, or 25.0%, in the Storage segment.</w:t>
      </w:r>
    </w:p>
    <w:p>
      <w:pPr>
        <w:spacing w:after="0" w:line="204" w:lineRule="exact"/>
        <w:rPr>
          <w:rFonts w:ascii="Arial" w:cs="Arial" w:eastAsia="Arial" w:hAnsi="Arial"/>
          <w:sz w:val="15"/>
          <w:szCs w:val="15"/>
          <w:color w:val="auto"/>
        </w:rPr>
      </w:pPr>
    </w:p>
    <w:p>
      <w:pPr>
        <w:ind w:left="1240" w:hanging="309"/>
        <w:spacing w:after="0" w:line="283" w:lineRule="auto"/>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portable storage monthly rental rate increased $48, or 27.0%, to $226 driven by increased pricing as a result of our price management tools and processes.</w:t>
      </w:r>
    </w:p>
    <w:p>
      <w:pPr>
        <w:spacing w:after="0" w:line="5" w:lineRule="exact"/>
        <w:rPr>
          <w:rFonts w:ascii="Arial" w:cs="Arial" w:eastAsia="Arial" w:hAnsi="Arial"/>
          <w:sz w:val="15"/>
          <w:szCs w:val="15"/>
          <w:color w:val="auto"/>
        </w:rPr>
      </w:pPr>
    </w:p>
    <w:p>
      <w:pPr>
        <w:ind w:left="1240" w:hanging="309"/>
        <w:spacing w:after="0" w:line="290" w:lineRule="auto"/>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utilization for portable storage units decreased to 73.1% from 86.0% for the same period in 2022 driven by decreased demand in 2023 as compared to the same period in 2022. Average utilization for modular space units decreased 360 basis points ("bps") to 65.1%.</w:t>
      </w:r>
    </w:p>
    <w:p>
      <w:pPr>
        <w:spacing w:after="0" w:line="8" w:lineRule="exact"/>
        <w:rPr>
          <w:rFonts w:ascii="Arial" w:cs="Arial" w:eastAsia="Arial" w:hAnsi="Arial"/>
          <w:sz w:val="15"/>
          <w:szCs w:val="15"/>
          <w:color w:val="auto"/>
        </w:rPr>
      </w:pPr>
    </w:p>
    <w:p>
      <w:pPr>
        <w:jc w:val="both"/>
        <w:ind w:left="620" w:hanging="307"/>
        <w:spacing w:after="0" w:line="268" w:lineRule="auto"/>
        <w:tabs>
          <w:tab w:leader="none" w:pos="620" w:val="left"/>
        </w:tabs>
        <w:numPr>
          <w:ilvl w:val="0"/>
          <w:numId w:val="5"/>
        </w:numPr>
        <w:rPr>
          <w:rFonts w:ascii="Arial" w:cs="Arial" w:eastAsia="Arial" w:hAnsi="Arial"/>
          <w:sz w:val="15"/>
          <w:szCs w:val="15"/>
          <w:b w:val="1"/>
          <w:bCs w:val="1"/>
          <w:i w:val="1"/>
          <w:iCs w:val="1"/>
          <w:color w:val="1D2758"/>
        </w:rPr>
      </w:pPr>
      <w:r>
        <w:rPr>
          <w:rFonts w:ascii="Arial" w:cs="Arial" w:eastAsia="Arial" w:hAnsi="Arial"/>
          <w:sz w:val="15"/>
          <w:szCs w:val="15"/>
          <w:color w:val="auto"/>
        </w:rPr>
        <w:t>Modular segment revenue, which represented 63.7% of consolidated revenue for the three months ended June 30, 2023, increased $35.4 million, or 10.6%, to $370.7 million. The increase was driven by our core leasing revenue, which increased $39.6 million, or 16.4%, due to continued growth of pricing and VAPS, and by delivery and installation revenues, which increased $3.2 million, or 4.4%, driven by increased pricing. Rental unit sales decreased $6.2 million, or 46.3%, and new unit sales decreased $1.3 million, or 15.3%. Modular revenue drivers for the three months ended June 30, 2023 included:</w:t>
      </w:r>
    </w:p>
    <w:p>
      <w:pPr>
        <w:spacing w:after="0" w:line="28" w:lineRule="exact"/>
        <w:rPr>
          <w:rFonts w:ascii="Arial" w:cs="Arial" w:eastAsia="Arial" w:hAnsi="Arial"/>
          <w:sz w:val="15"/>
          <w:szCs w:val="15"/>
          <w:b w:val="1"/>
          <w:bCs w:val="1"/>
          <w:i w:val="1"/>
          <w:iCs w:val="1"/>
          <w:color w:val="1D2758"/>
        </w:rPr>
      </w:pPr>
    </w:p>
    <w:p>
      <w:pPr>
        <w:ind w:left="1240" w:hanging="309"/>
        <w:spacing w:after="0" w:line="283" w:lineRule="auto"/>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Modular space average monthly rental rate of $1,102 increased 17.4% year over year representing a continuation of the long-term price optimization and VAPS penetration opportunities across our portfolio.</w:t>
      </w:r>
    </w:p>
    <w:p>
      <w:pPr>
        <w:spacing w:after="0" w:line="5" w:lineRule="exact"/>
        <w:rPr>
          <w:rFonts w:ascii="Arial" w:cs="Arial" w:eastAsia="Arial" w:hAnsi="Arial"/>
          <w:sz w:val="15"/>
          <w:szCs w:val="15"/>
          <w:color w:val="auto"/>
        </w:rPr>
      </w:pPr>
    </w:p>
    <w:p>
      <w:pPr>
        <w:ind w:left="1240" w:hanging="309"/>
        <w:spacing w:after="0"/>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modular space units on rent decreased 497, or 0.6%, year over year.</w:t>
      </w:r>
    </w:p>
    <w:p>
      <w:pPr>
        <w:spacing w:after="0" w:line="72" w:lineRule="exact"/>
        <w:rPr>
          <w:rFonts w:ascii="Arial" w:cs="Arial" w:eastAsia="Arial" w:hAnsi="Arial"/>
          <w:sz w:val="15"/>
          <w:szCs w:val="15"/>
          <w:color w:val="auto"/>
        </w:rPr>
      </w:pPr>
    </w:p>
    <w:p>
      <w:pPr>
        <w:ind w:left="1240" w:hanging="309"/>
        <w:spacing w:after="0" w:line="283" w:lineRule="auto"/>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modular space monthly utilization decreased 190 bps to 65.8% for the three months ended June 30, 2023, as compared to the three months ended June 30, 2022.</w:t>
      </w:r>
    </w:p>
    <w:p>
      <w:pPr>
        <w:spacing w:after="0" w:line="18" w:lineRule="exact"/>
        <w:rPr>
          <w:rFonts w:ascii="Arial" w:cs="Arial" w:eastAsia="Arial" w:hAnsi="Arial"/>
          <w:sz w:val="15"/>
          <w:szCs w:val="15"/>
          <w:color w:val="auto"/>
        </w:rPr>
      </w:pPr>
    </w:p>
    <w:p>
      <w:pPr>
        <w:jc w:val="both"/>
        <w:ind w:left="620" w:hanging="307"/>
        <w:spacing w:after="0" w:line="267" w:lineRule="auto"/>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Storage segment revenue, which represented 36.3% of consolidated revenue for the three months ended June 30, 2023, increased $23.7 million, or 12.6%, to $211.4 million. The increase was driven by our core leasing revenue, which grew $23.3 million, or 16.1%, due to increased pricing, and was partially offset by lower units on rent volumes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2" w:name="page33"/>
    <w:bookmarkEnd w:id="32"/>
    <w:p>
      <w:pPr>
        <w:ind w:left="307"/>
        <w:spacing w:after="0" w:line="283" w:lineRule="auto"/>
        <w:rPr>
          <w:sz w:val="20"/>
          <w:szCs w:val="20"/>
          <w:color w:val="auto"/>
        </w:rPr>
      </w:pPr>
      <w:r>
        <w:rPr>
          <w:rFonts w:ascii="Arial" w:cs="Arial" w:eastAsia="Arial" w:hAnsi="Arial"/>
          <w:sz w:val="15"/>
          <w:szCs w:val="15"/>
          <w:color w:val="auto"/>
        </w:rPr>
        <w:t>and lower delivery and installation revenues, which decreased $1.3 million, or 3.3%. Rental unit sales increased $1.4 million, or 58.3%, and new unit sales increased $0.3 million, or 20.0%. Storage revenue drivers for the three months ended June 30, 2023 included:</w:t>
      </w:r>
    </w:p>
    <w:p>
      <w:pPr>
        <w:spacing w:after="0" w:line="19" w:lineRule="exact"/>
        <w:rPr>
          <w:sz w:val="20"/>
          <w:szCs w:val="20"/>
          <w:color w:val="auto"/>
        </w:rPr>
      </w:pPr>
    </w:p>
    <w:p>
      <w:pPr>
        <w:jc w:val="both"/>
        <w:ind w:left="927" w:hanging="309"/>
        <w:spacing w:after="0" w:line="276" w:lineRule="auto"/>
        <w:tabs>
          <w:tab w:leader="none" w:pos="927" w:val="left"/>
        </w:tabs>
        <w:numPr>
          <w:ilvl w:val="1"/>
          <w:numId w:val="6"/>
        </w:numPr>
        <w:rPr>
          <w:rFonts w:ascii="Arial" w:cs="Arial" w:eastAsia="Arial" w:hAnsi="Arial"/>
          <w:sz w:val="15"/>
          <w:szCs w:val="15"/>
          <w:color w:val="auto"/>
        </w:rPr>
      </w:pPr>
      <w:r>
        <w:rPr>
          <w:rFonts w:ascii="Arial" w:cs="Arial" w:eastAsia="Arial" w:hAnsi="Arial"/>
          <w:sz w:val="15"/>
          <w:szCs w:val="15"/>
          <w:color w:val="auto"/>
        </w:rPr>
        <w:t>Portable storage average monthly rental rate of $226 increased 27.0% year over year as a result of our price management tools and processes and early benefits from increased VAPS penetration opportunities. Modular space average monthly rental rate of $835 increased 25.0% year over year as a result of price optimization and increased VAPS penetration.</w:t>
      </w:r>
    </w:p>
    <w:p>
      <w:pPr>
        <w:spacing w:after="0" w:line="10" w:lineRule="exact"/>
        <w:rPr>
          <w:rFonts w:ascii="Arial" w:cs="Arial" w:eastAsia="Arial" w:hAnsi="Arial"/>
          <w:sz w:val="15"/>
          <w:szCs w:val="15"/>
          <w:color w:val="auto"/>
        </w:rPr>
      </w:pPr>
    </w:p>
    <w:p>
      <w:pPr>
        <w:ind w:left="927" w:hanging="309"/>
        <w:spacing w:after="0" w:line="283" w:lineRule="auto"/>
        <w:tabs>
          <w:tab w:leader="none" w:pos="927" w:val="left"/>
        </w:tabs>
        <w:numPr>
          <w:ilvl w:val="1"/>
          <w:numId w:val="6"/>
        </w:numPr>
        <w:rPr>
          <w:rFonts w:ascii="Arial" w:cs="Arial" w:eastAsia="Arial" w:hAnsi="Arial"/>
          <w:sz w:val="15"/>
          <w:szCs w:val="15"/>
          <w:color w:val="auto"/>
        </w:rPr>
      </w:pPr>
      <w:r>
        <w:rPr>
          <w:rFonts w:ascii="Arial" w:cs="Arial" w:eastAsia="Arial" w:hAnsi="Arial"/>
          <w:sz w:val="15"/>
          <w:szCs w:val="15"/>
          <w:color w:val="auto"/>
        </w:rPr>
        <w:t>Average portable storage units on rent decreased 10,282, or 6.3%, year over year driven by lower demand during 2023 versus the high growth achieved in 2022. Average modular space units on rent decreased 3,032, or 13.6%, year over year.</w:t>
      </w:r>
    </w:p>
    <w:p>
      <w:pPr>
        <w:spacing w:after="0" w:line="18" w:lineRule="exact"/>
        <w:rPr>
          <w:rFonts w:ascii="Arial" w:cs="Arial" w:eastAsia="Arial" w:hAnsi="Arial"/>
          <w:sz w:val="15"/>
          <w:szCs w:val="15"/>
          <w:color w:val="auto"/>
        </w:rPr>
      </w:pPr>
    </w:p>
    <w:p>
      <w:pPr>
        <w:jc w:val="both"/>
        <w:ind w:left="927" w:hanging="309"/>
        <w:spacing w:after="0" w:line="276" w:lineRule="auto"/>
        <w:tabs>
          <w:tab w:leader="none" w:pos="927" w:val="left"/>
        </w:tabs>
        <w:numPr>
          <w:ilvl w:val="1"/>
          <w:numId w:val="6"/>
        </w:numPr>
        <w:rPr>
          <w:rFonts w:ascii="Arial" w:cs="Arial" w:eastAsia="Arial" w:hAnsi="Arial"/>
          <w:sz w:val="15"/>
          <w:szCs w:val="15"/>
          <w:color w:val="auto"/>
        </w:rPr>
      </w:pPr>
      <w:r>
        <w:rPr>
          <w:rFonts w:ascii="Arial" w:cs="Arial" w:eastAsia="Arial" w:hAnsi="Arial"/>
          <w:sz w:val="15"/>
          <w:szCs w:val="15"/>
          <w:color w:val="auto"/>
        </w:rPr>
        <w:t>Average portable storage monthly utilization decreased 12.9% to 73.2% for the three months ended June 30, 2023, as compared to the three months ended June 30, 2022. Average modular space monthly utilization decreased 10.4% to 62.3% for the three months ended June 30, 2023, as compared to the three months ended June 30, 2022.</w:t>
      </w:r>
    </w:p>
    <w:p>
      <w:pPr>
        <w:spacing w:after="0" w:line="10" w:lineRule="exact"/>
        <w:rPr>
          <w:rFonts w:ascii="Arial" w:cs="Arial" w:eastAsia="Arial" w:hAnsi="Arial"/>
          <w:sz w:val="15"/>
          <w:szCs w:val="15"/>
          <w:color w:val="auto"/>
        </w:rPr>
      </w:pPr>
    </w:p>
    <w:p>
      <w:pPr>
        <w:ind w:left="307" w:hanging="307"/>
        <w:spacing w:after="0" w:line="283" w:lineRule="auto"/>
        <w:tabs>
          <w:tab w:leader="none" w:pos="307"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Generated income from continuing operations of $87.7 million for the three months ended June 30, 2023. Discrete costs in the period included $2.2 million of integration costs.</w:t>
      </w:r>
    </w:p>
    <w:p>
      <w:pPr>
        <w:spacing w:after="0" w:line="18" w:lineRule="exact"/>
        <w:rPr>
          <w:rFonts w:ascii="Arial" w:cs="Arial" w:eastAsia="Arial" w:hAnsi="Arial"/>
          <w:sz w:val="15"/>
          <w:szCs w:val="15"/>
          <w:color w:val="auto"/>
        </w:rPr>
      </w:pPr>
    </w:p>
    <w:p>
      <w:pPr>
        <w:jc w:val="both"/>
        <w:ind w:left="307" w:hanging="307"/>
        <w:spacing w:after="0" w:line="276" w:lineRule="auto"/>
        <w:tabs>
          <w:tab w:leader="none" w:pos="307"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color w:val="auto"/>
        </w:rPr>
        <w:t>Generated Adjusted EBITDA from continuing operations of $261.3 million for the three months ended June 30, 2023, representing an increase of $52.7 million, or 25.3%, as compared to the same period in 2022. This increase was driven primarily by increased leasing and delivery and installation gross profit.</w:t>
      </w:r>
    </w:p>
    <w:p>
      <w:pPr>
        <w:spacing w:after="0" w:line="209" w:lineRule="exact"/>
        <w:rPr>
          <w:rFonts w:ascii="Arial" w:cs="Arial" w:eastAsia="Arial" w:hAnsi="Arial"/>
          <w:sz w:val="15"/>
          <w:szCs w:val="15"/>
          <w:b w:val="1"/>
          <w:bCs w:val="1"/>
          <w:i w:val="1"/>
          <w:iCs w:val="1"/>
          <w:color w:val="auto"/>
        </w:rPr>
      </w:pPr>
    </w:p>
    <w:p>
      <w:pPr>
        <w:jc w:val="both"/>
        <w:ind w:left="927" w:hanging="309"/>
        <w:spacing w:after="0" w:line="265" w:lineRule="auto"/>
        <w:tabs>
          <w:tab w:leader="none" w:pos="927" w:val="left"/>
        </w:tabs>
        <w:numPr>
          <w:ilvl w:val="1"/>
          <w:numId w:val="6"/>
        </w:numPr>
        <w:rPr>
          <w:rFonts w:ascii="Arial" w:cs="Arial" w:eastAsia="Arial" w:hAnsi="Arial"/>
          <w:sz w:val="15"/>
          <w:szCs w:val="15"/>
          <w:b w:val="1"/>
          <w:bCs w:val="1"/>
          <w:i w:val="1"/>
          <w:iCs w:val="1"/>
          <w:color w:val="auto"/>
        </w:rPr>
      </w:pPr>
      <w:r>
        <w:rPr>
          <w:rFonts w:ascii="Arial" w:cs="Arial" w:eastAsia="Arial" w:hAnsi="Arial"/>
          <w:sz w:val="15"/>
          <w:szCs w:val="15"/>
          <w:color w:val="auto"/>
        </w:rPr>
        <w:t>Adjusted EBITDA margin from continuing operations was 44.9% in the second quarter of 2023 and increased 500 bps versus prior year driven by continued expansion of all margin lines. Most significantly, delivery and installation margins increased 230 bps versus prior year and leasing margins increased 90 bps versus prior year both driven primarily by increased pricing. Additionally, selling, general, and administrative expenses included in Adjusted EBITDA decreased as a percentage of revenue by 260 bps versus 2022 driving the majority of the remaining margin expansion.</w:t>
      </w:r>
    </w:p>
    <w:p>
      <w:pPr>
        <w:spacing w:after="0" w:line="230" w:lineRule="exact"/>
        <w:rPr>
          <w:rFonts w:ascii="Arial" w:cs="Arial" w:eastAsia="Arial" w:hAnsi="Arial"/>
          <w:sz w:val="15"/>
          <w:szCs w:val="15"/>
          <w:b w:val="1"/>
          <w:bCs w:val="1"/>
          <w:i w:val="1"/>
          <w:iCs w:val="1"/>
          <w:color w:val="auto"/>
        </w:rPr>
      </w:pPr>
    </w:p>
    <w:p>
      <w:pPr>
        <w:jc w:val="both"/>
        <w:ind w:left="307" w:hanging="307"/>
        <w:spacing w:after="0" w:line="259" w:lineRule="auto"/>
        <w:tabs>
          <w:tab w:leader="none" w:pos="307" w:val="left"/>
        </w:tabs>
        <w:numPr>
          <w:ilvl w:val="0"/>
          <w:numId w:val="6"/>
        </w:numPr>
        <w:rPr>
          <w:rFonts w:ascii="Arial" w:cs="Arial" w:eastAsia="Arial" w:hAnsi="Arial"/>
          <w:sz w:val="17"/>
          <w:szCs w:val="17"/>
          <w:b w:val="1"/>
          <w:bCs w:val="1"/>
          <w:i w:val="1"/>
          <w:iCs w:val="1"/>
          <w:color w:val="1D2758"/>
        </w:rPr>
      </w:pPr>
      <w:r>
        <w:rPr>
          <w:rFonts w:ascii="Arial" w:cs="Arial" w:eastAsia="Arial" w:hAnsi="Arial"/>
          <w:sz w:val="15"/>
          <w:szCs w:val="15"/>
          <w:color w:val="auto"/>
        </w:rPr>
        <w:t>Net cash provided by operating activities increased $13.8 million to $202.2 million for the three months ended June 30, 2023 despite the divestitures of the Tank and Pump and UK Storage Segments. Net cash used in investing activities, excluding cash used as part of acquisitions, decreased by $76.3 million as a result of reduced refurbishment spending and decreased purchases of new fleet as a result of lower utilization.</w:t>
      </w:r>
    </w:p>
    <w:p>
      <w:pPr>
        <w:spacing w:after="0" w:line="35" w:lineRule="exact"/>
        <w:rPr>
          <w:rFonts w:ascii="Arial" w:cs="Arial" w:eastAsia="Arial" w:hAnsi="Arial"/>
          <w:sz w:val="17"/>
          <w:szCs w:val="17"/>
          <w:b w:val="1"/>
          <w:bCs w:val="1"/>
          <w:i w:val="1"/>
          <w:iCs w:val="1"/>
          <w:color w:val="1D2758"/>
        </w:rPr>
      </w:pPr>
    </w:p>
    <w:p>
      <w:pPr>
        <w:jc w:val="both"/>
        <w:ind w:left="307" w:hanging="307"/>
        <w:spacing w:after="0" w:line="265" w:lineRule="auto"/>
        <w:tabs>
          <w:tab w:leader="none" w:pos="307" w:val="left"/>
        </w:tabs>
        <w:numPr>
          <w:ilvl w:val="0"/>
          <w:numId w:val="6"/>
        </w:numPr>
        <w:rPr>
          <w:rFonts w:ascii="Arial" w:cs="Arial" w:eastAsia="Arial" w:hAnsi="Arial"/>
          <w:sz w:val="15"/>
          <w:szCs w:val="15"/>
          <w:color w:val="1D2758"/>
        </w:rPr>
      </w:pPr>
      <w:r>
        <w:rPr>
          <w:rFonts w:ascii="Arial" w:cs="Arial" w:eastAsia="Arial" w:hAnsi="Arial"/>
          <w:sz w:val="15"/>
          <w:szCs w:val="15"/>
          <w:color w:val="auto"/>
        </w:rPr>
        <w:t>Generated Free Cash Flow of $159.6 million for the three months ended June 30, 2023 representing an increase of $90.2 million as compared to the same period in 2022. This Free Cash Flow along with additional net borrowings under the ABL Facility (defined as receipts from borrowings, less repayment of borrowings from the condensed consolidated statement of cash flows) and proceeds of $404.3 million related to the sale of the former UK Storage Solutions segment, net of the settlement of a contingent foreign currency forward contract to sell £330.0 million upon the closing of the sale, were deployed to:</w:t>
      </w:r>
    </w:p>
    <w:p>
      <w:pPr>
        <w:spacing w:after="0" w:line="217" w:lineRule="exact"/>
        <w:rPr>
          <w:rFonts w:ascii="Arial" w:cs="Arial" w:eastAsia="Arial" w:hAnsi="Arial"/>
          <w:sz w:val="15"/>
          <w:szCs w:val="15"/>
          <w:color w:val="1D2758"/>
        </w:rPr>
      </w:pPr>
    </w:p>
    <w:p>
      <w:pPr>
        <w:ind w:left="927" w:hanging="309"/>
        <w:spacing w:after="0"/>
        <w:tabs>
          <w:tab w:leader="none" w:pos="927" w:val="left"/>
        </w:tabs>
        <w:numPr>
          <w:ilvl w:val="1"/>
          <w:numId w:val="6"/>
        </w:numPr>
        <w:rPr>
          <w:rFonts w:ascii="Arial" w:cs="Arial" w:eastAsia="Arial" w:hAnsi="Arial"/>
          <w:sz w:val="15"/>
          <w:szCs w:val="15"/>
          <w:b w:val="1"/>
          <w:bCs w:val="1"/>
          <w:i w:val="1"/>
          <w:iCs w:val="1"/>
          <w:color w:val="auto"/>
        </w:rPr>
      </w:pPr>
      <w:r>
        <w:rPr>
          <w:rFonts w:ascii="Arial" w:cs="Arial" w:eastAsia="Arial" w:hAnsi="Arial"/>
          <w:sz w:val="15"/>
          <w:szCs w:val="15"/>
          <w:color w:val="auto"/>
        </w:rPr>
        <w:t>Acquire three regional and local storage and modular portfolios of approximately 1,500 storage units and 200 modular units for $69.8 million; and</w:t>
      </w:r>
    </w:p>
    <w:p>
      <w:pPr>
        <w:spacing w:after="0" w:line="59" w:lineRule="exact"/>
        <w:rPr>
          <w:rFonts w:ascii="Arial" w:cs="Arial" w:eastAsia="Arial" w:hAnsi="Arial"/>
          <w:sz w:val="15"/>
          <w:szCs w:val="15"/>
          <w:b w:val="1"/>
          <w:bCs w:val="1"/>
          <w:i w:val="1"/>
          <w:iCs w:val="1"/>
          <w:color w:val="auto"/>
        </w:rPr>
      </w:pPr>
    </w:p>
    <w:p>
      <w:pPr>
        <w:ind w:left="927" w:hanging="309"/>
        <w:spacing w:after="0"/>
        <w:tabs>
          <w:tab w:leader="none" w:pos="927" w:val="left"/>
        </w:tabs>
        <w:numPr>
          <w:ilvl w:val="1"/>
          <w:numId w:val="6"/>
        </w:numPr>
        <w:rPr>
          <w:rFonts w:ascii="Arial" w:cs="Arial" w:eastAsia="Arial" w:hAnsi="Arial"/>
          <w:sz w:val="15"/>
          <w:szCs w:val="15"/>
          <w:color w:val="auto"/>
        </w:rPr>
      </w:pPr>
      <w:r>
        <w:rPr>
          <w:rFonts w:ascii="Arial" w:cs="Arial" w:eastAsia="Arial" w:hAnsi="Arial"/>
          <w:sz w:val="15"/>
          <w:szCs w:val="15"/>
          <w:color w:val="auto"/>
        </w:rPr>
        <w:t>Return $239.2 million to shareholders through stock repurchases, reducing outstanding Common Stock by 5,406,011 shares.</w:t>
      </w:r>
    </w:p>
    <w:p>
      <w:pPr>
        <w:spacing w:after="0" w:line="59" w:lineRule="exact"/>
        <w:rPr>
          <w:rFonts w:ascii="Arial" w:cs="Arial" w:eastAsia="Arial" w:hAnsi="Arial"/>
          <w:sz w:val="15"/>
          <w:szCs w:val="15"/>
          <w:color w:val="auto"/>
        </w:rPr>
      </w:pPr>
    </w:p>
    <w:p>
      <w:pPr>
        <w:jc w:val="both"/>
        <w:ind w:left="307" w:hanging="307"/>
        <w:spacing w:after="0" w:line="276" w:lineRule="auto"/>
        <w:tabs>
          <w:tab w:leader="none" w:pos="307"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color w:val="auto"/>
        </w:rPr>
        <w:t>We believe the predictability of our free cash flow allows us to pursue multiple capital allocation priorities opportunistically, including investing in organic opportunities we see in the market, maintaining leverage in our stated range, opportunistically executing accretive acquisitions, and returning capital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3"/>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60325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1060"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1D2758"/>
        </w:rPr>
        <w:t>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June 30, 2023 Compared to the Three Months Ended June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20" w:type="dxa"/>
            <w:vAlign w:val="bottom"/>
            <w:gridSpan w:val="7"/>
          </w:tcPr>
          <w:p>
            <w:pPr>
              <w:ind w:left="620"/>
              <w:spacing w:after="0"/>
              <w:rPr>
                <w:sz w:val="20"/>
                <w:szCs w:val="20"/>
                <w:color w:val="auto"/>
              </w:rPr>
            </w:pPr>
            <w:r>
              <w:rPr>
                <w:rFonts w:ascii="Arial" w:cs="Arial" w:eastAsia="Arial" w:hAnsi="Arial"/>
                <w:sz w:val="15"/>
                <w:szCs w:val="15"/>
                <w:color w:val="auto"/>
              </w:rPr>
              <w:t>Our condensed consolidated statements of operations for the three months ended June 30, 2023 and 2022 are presented below.</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5580" w:type="dxa"/>
            <w:vAlign w:val="bottom"/>
          </w:tcPr>
          <w:p>
            <w:pPr>
              <w:spacing w:after="0"/>
              <w:rPr>
                <w:sz w:val="6"/>
                <w:szCs w:val="6"/>
                <w:color w:val="auto"/>
              </w:rPr>
            </w:pPr>
          </w:p>
        </w:tc>
        <w:tc>
          <w:tcPr>
            <w:tcW w:w="1920" w:type="dxa"/>
            <w:vAlign w:val="bottom"/>
            <w:gridSpan w:val="3"/>
          </w:tcPr>
          <w:p>
            <w:pPr>
              <w:spacing w:after="0"/>
              <w:rPr>
                <w:sz w:val="6"/>
                <w:szCs w:val="6"/>
                <w:color w:val="auto"/>
              </w:rPr>
            </w:pPr>
          </w:p>
        </w:tc>
        <w:tc>
          <w:tcPr>
            <w:tcW w:w="1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5580" w:type="dxa"/>
            <w:vAlign w:val="bottom"/>
            <w:shd w:val="clear" w:color="auto" w:fill="1D2758"/>
          </w:tcPr>
          <w:p>
            <w:pPr>
              <w:spacing w:after="0"/>
              <w:rPr>
                <w:sz w:val="21"/>
                <w:szCs w:val="21"/>
                <w:color w:val="auto"/>
              </w:rPr>
            </w:pPr>
          </w:p>
        </w:tc>
        <w:tc>
          <w:tcPr>
            <w:tcW w:w="3080" w:type="dxa"/>
            <w:vAlign w:val="bottom"/>
            <w:gridSpan w:val="4"/>
            <w:shd w:val="clear" w:color="auto" w:fill="1D2758"/>
          </w:tcPr>
          <w:p>
            <w:pPr>
              <w:jc w:val="right"/>
              <w:ind w:right="60"/>
              <w:spacing w:after="0"/>
              <w:rPr>
                <w:sz w:val="20"/>
                <w:szCs w:val="20"/>
                <w:color w:val="auto"/>
              </w:rPr>
            </w:pPr>
            <w:r>
              <w:rPr>
                <w:rFonts w:ascii="Arial" w:cs="Arial" w:eastAsia="Arial" w:hAnsi="Arial"/>
                <w:sz w:val="15"/>
                <w:szCs w:val="15"/>
                <w:b w:val="1"/>
                <w:bCs w:val="1"/>
                <w:color w:val="FFFFFF"/>
              </w:rPr>
              <w:t>Three Months Ended June 30,</w:t>
            </w:r>
          </w:p>
        </w:tc>
        <w:tc>
          <w:tcPr>
            <w:tcW w:w="66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260" w:type="dxa"/>
            <w:vAlign w:val="bottom"/>
            <w:shd w:val="clear" w:color="auto" w:fill="1D2758"/>
          </w:tcPr>
          <w:p>
            <w:pPr>
              <w:spacing w:after="0"/>
              <w:rPr>
                <w:sz w:val="21"/>
                <w:szCs w:val="21"/>
                <w:color w:val="auto"/>
              </w:rPr>
            </w:pPr>
          </w:p>
        </w:tc>
        <w:tc>
          <w:tcPr>
            <w:tcW w:w="1560" w:type="dxa"/>
            <w:vAlign w:val="bottom"/>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2023 vs. 2022</w:t>
            </w:r>
          </w:p>
        </w:tc>
        <w:tc>
          <w:tcPr>
            <w:tcW w:w="0" w:type="dxa"/>
            <w:vAlign w:val="bottom"/>
          </w:tcPr>
          <w:p>
            <w:pPr>
              <w:spacing w:after="0"/>
              <w:rPr>
                <w:sz w:val="1"/>
                <w:szCs w:val="1"/>
                <w:color w:val="auto"/>
              </w:rPr>
            </w:pPr>
          </w:p>
        </w:tc>
      </w:tr>
      <w:tr>
        <w:trPr>
          <w:trHeight w:val="21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700" w:type="dxa"/>
            <w:vAlign w:val="bottom"/>
            <w:shd w:val="clear" w:color="auto" w:fill="1D2758"/>
          </w:tcPr>
          <w:p>
            <w:pPr>
              <w:spacing w:after="0"/>
              <w:rPr>
                <w:sz w:val="18"/>
                <w:szCs w:val="18"/>
                <w:color w:val="auto"/>
              </w:rPr>
            </w:pPr>
          </w:p>
        </w:tc>
        <w:tc>
          <w:tcPr>
            <w:tcW w:w="1240" w:type="dxa"/>
            <w:vAlign w:val="bottom"/>
            <w:gridSpan w:val="2"/>
            <w:vMerge w:val="restart"/>
            <w:shd w:val="clear" w:color="auto" w:fill="1D2758"/>
          </w:tcPr>
          <w:p>
            <w:pPr>
              <w:jc w:val="right"/>
              <w:ind w:right="60"/>
              <w:spacing w:after="0"/>
              <w:rPr>
                <w:sz w:val="20"/>
                <w:szCs w:val="20"/>
                <w:color w:val="auto"/>
              </w:rPr>
            </w:pPr>
            <w:r>
              <w:rPr>
                <w:rFonts w:ascii="Arial" w:cs="Arial" w:eastAsia="Arial" w:hAnsi="Arial"/>
                <w:sz w:val="15"/>
                <w:szCs w:val="15"/>
                <w:b w:val="1"/>
                <w:bCs w:val="1"/>
                <w:color w:val="FFFFFF"/>
              </w:rPr>
              <w:t>2022</w:t>
            </w:r>
          </w:p>
        </w:tc>
        <w:tc>
          <w:tcPr>
            <w:tcW w:w="6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56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81"/>
        </w:trPr>
        <w:tc>
          <w:tcPr>
            <w:tcW w:w="5580" w:type="dxa"/>
            <w:vAlign w:val="bottom"/>
            <w:shd w:val="clear" w:color="auto" w:fill="1D2758"/>
          </w:tcPr>
          <w:p>
            <w:pPr>
              <w:spacing w:after="0"/>
              <w:rPr>
                <w:sz w:val="7"/>
                <w:szCs w:val="7"/>
                <w:color w:val="auto"/>
              </w:rPr>
            </w:pPr>
          </w:p>
        </w:tc>
        <w:tc>
          <w:tcPr>
            <w:tcW w:w="1140" w:type="dxa"/>
            <w:vAlign w:val="bottom"/>
            <w:vMerge w:val="continue"/>
            <w:shd w:val="clear" w:color="auto" w:fill="1D2758"/>
          </w:tcPr>
          <w:p>
            <w:pPr>
              <w:spacing w:after="0"/>
              <w:rPr>
                <w:sz w:val="7"/>
                <w:szCs w:val="7"/>
                <w:color w:val="auto"/>
              </w:rPr>
            </w:pPr>
          </w:p>
        </w:tc>
        <w:tc>
          <w:tcPr>
            <w:tcW w:w="700" w:type="dxa"/>
            <w:vAlign w:val="bottom"/>
            <w:shd w:val="clear" w:color="auto" w:fill="1D2758"/>
          </w:tcPr>
          <w:p>
            <w:pPr>
              <w:spacing w:after="0"/>
              <w:rPr>
                <w:sz w:val="7"/>
                <w:szCs w:val="7"/>
                <w:color w:val="auto"/>
              </w:rPr>
            </w:pPr>
          </w:p>
        </w:tc>
        <w:tc>
          <w:tcPr>
            <w:tcW w:w="1240" w:type="dxa"/>
            <w:vAlign w:val="bottom"/>
            <w:gridSpan w:val="2"/>
            <w:vMerge w:val="continue"/>
            <w:shd w:val="clear" w:color="auto" w:fill="1D2758"/>
          </w:tcPr>
          <w:p>
            <w:pPr>
              <w:spacing w:after="0"/>
              <w:rPr>
                <w:sz w:val="7"/>
                <w:szCs w:val="7"/>
                <w:color w:val="auto"/>
              </w:rPr>
            </w:pPr>
          </w:p>
        </w:tc>
        <w:tc>
          <w:tcPr>
            <w:tcW w:w="66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5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140" w:type="dxa"/>
            <w:vAlign w:val="bottom"/>
            <w:shd w:val="clear" w:color="auto" w:fill="DBDBDB"/>
          </w:tcPr>
          <w:p>
            <w:pPr>
              <w:jc w:val="right"/>
              <w:ind w:right="943"/>
              <w:spacing w:after="0"/>
              <w:rPr>
                <w:sz w:val="20"/>
                <w:szCs w:val="20"/>
                <w:color w:val="auto"/>
              </w:rPr>
            </w:pPr>
            <w:r>
              <w:rPr>
                <w:rFonts w:ascii="Arial" w:cs="Arial" w:eastAsia="Arial" w:hAnsi="Arial"/>
                <w:sz w:val="15"/>
                <w:szCs w:val="15"/>
                <w:color w:val="auto"/>
              </w:rPr>
              <w:t>$</w:t>
            </w: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449,320</w:t>
            </w:r>
          </w:p>
        </w:tc>
        <w:tc>
          <w:tcPr>
            <w:tcW w:w="1240" w:type="dxa"/>
            <w:vAlign w:val="bottom"/>
            <w:gridSpan w:val="2"/>
            <w:shd w:val="clear" w:color="auto" w:fill="DBDBDB"/>
          </w:tcPr>
          <w:p>
            <w:pPr>
              <w:jc w:val="right"/>
              <w:ind w:right="1040"/>
              <w:spacing w:after="0"/>
              <w:rPr>
                <w:sz w:val="20"/>
                <w:szCs w:val="20"/>
                <w:color w:val="auto"/>
              </w:rPr>
            </w:pPr>
            <w:r>
              <w:rPr>
                <w:rFonts w:ascii="Arial" w:cs="Arial" w:eastAsia="Arial" w:hAnsi="Arial"/>
                <w:sz w:val="15"/>
                <w:szCs w:val="15"/>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386,386</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62,934</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112,754</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110,841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1,913</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9,004</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9,927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(923)</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14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11,011</w:t>
            </w:r>
          </w:p>
        </w:tc>
        <w:tc>
          <w:tcPr>
            <w:tcW w:w="80" w:type="dxa"/>
            <w:vAlign w:val="bottom"/>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15,736</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(4,725)</w:t>
            </w:r>
          </w:p>
        </w:tc>
        <w:tc>
          <w:tcPr>
            <w:tcW w:w="0" w:type="dxa"/>
            <w:vAlign w:val="bottom"/>
          </w:tcPr>
          <w:p>
            <w:pPr>
              <w:spacing w:after="0"/>
              <w:rPr>
                <w:sz w:val="1"/>
                <w:szCs w:val="1"/>
                <w:color w:val="auto"/>
              </w:rPr>
            </w:pPr>
          </w:p>
        </w:tc>
      </w:tr>
      <w:tr>
        <w:trPr>
          <w:trHeight w:val="196"/>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582,089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522,890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59,199</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14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98,556</w:t>
            </w:r>
          </w:p>
        </w:tc>
        <w:tc>
          <w:tcPr>
            <w:tcW w:w="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88,111</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10,445</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81,349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82,537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(1,188)</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4,795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5,321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(526)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14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5,067</w:t>
            </w:r>
          </w:p>
        </w:tc>
        <w:tc>
          <w:tcPr>
            <w:tcW w:w="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8,478</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(3,411)</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64,450</w:t>
            </w:r>
          </w:p>
        </w:tc>
        <w:tc>
          <w:tcPr>
            <w:tcW w:w="8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63,230</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14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327,872</w:t>
            </w:r>
          </w:p>
        </w:tc>
        <w:tc>
          <w:tcPr>
            <w:tcW w:w="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275,213</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52,659</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14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146,810</w:t>
            </w:r>
          </w:p>
        </w:tc>
        <w:tc>
          <w:tcPr>
            <w:tcW w:w="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150,129</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(3,319)</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17,346</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14,951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2,395</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1140" w:type="dxa"/>
            <w:vAlign w:val="bottom"/>
            <w:shd w:val="clear" w:color="auto" w:fill="DBDBDB"/>
          </w:tcPr>
          <w:p>
            <w:pPr>
              <w:spacing w:after="0"/>
              <w:rPr>
                <w:sz w:val="18"/>
                <w:szCs w:val="18"/>
                <w:color w:val="auto"/>
              </w:rPr>
            </w:pP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w:t>
            </w:r>
          </w:p>
        </w:tc>
        <w:tc>
          <w:tcPr>
            <w:tcW w:w="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(2,838)</w:t>
            </w:r>
          </w:p>
        </w:tc>
        <w:tc>
          <w:tcPr>
            <w:tcW w:w="8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(3,794)</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956</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14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166,540</w:t>
            </w:r>
          </w:p>
        </w:tc>
        <w:tc>
          <w:tcPr>
            <w:tcW w:w="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114,100</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52,440</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47,246</w:t>
            </w:r>
          </w:p>
        </w:tc>
        <w:tc>
          <w:tcPr>
            <w:tcW w:w="8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33,153</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14,093</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114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119,294</w:t>
            </w:r>
          </w:p>
        </w:tc>
        <w:tc>
          <w:tcPr>
            <w:tcW w:w="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80,947</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38,347</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31,565</w:t>
            </w:r>
          </w:p>
        </w:tc>
        <w:tc>
          <w:tcPr>
            <w:tcW w:w="8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20,848</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10,717</w:t>
            </w:r>
          </w:p>
        </w:tc>
        <w:tc>
          <w:tcPr>
            <w:tcW w:w="0" w:type="dxa"/>
            <w:vAlign w:val="bottom"/>
          </w:tcPr>
          <w:p>
            <w:pPr>
              <w:spacing w:after="0"/>
              <w:rPr>
                <w:sz w:val="1"/>
                <w:szCs w:val="1"/>
                <w:color w:val="auto"/>
              </w:rPr>
            </w:pPr>
          </w:p>
        </w:tc>
      </w:tr>
      <w:tr>
        <w:trPr>
          <w:trHeight w:val="19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114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87,729</w:t>
            </w:r>
          </w:p>
        </w:tc>
        <w:tc>
          <w:tcPr>
            <w:tcW w:w="80" w:type="dxa"/>
            <w:vAlign w:val="bottom"/>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60,099</w:t>
            </w:r>
          </w:p>
        </w:tc>
        <w:tc>
          <w:tcPr>
            <w:tcW w:w="10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27,630</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1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1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17,140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(17,140)</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114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3,863</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(3,863)</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Income from discontinued operations</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13,277</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(13,277)</w:t>
            </w:r>
          </w:p>
        </w:tc>
        <w:tc>
          <w:tcPr>
            <w:tcW w:w="0" w:type="dxa"/>
            <w:vAlign w:val="bottom"/>
          </w:tcPr>
          <w:p>
            <w:pPr>
              <w:spacing w:after="0"/>
              <w:rPr>
                <w:sz w:val="1"/>
                <w:szCs w:val="1"/>
                <w:color w:val="auto"/>
              </w:rPr>
            </w:pPr>
          </w:p>
        </w:tc>
      </w:tr>
      <w:tr>
        <w:trPr>
          <w:trHeight w:val="215"/>
        </w:trPr>
        <w:tc>
          <w:tcPr>
            <w:tcW w:w="558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40" w:type="dxa"/>
            <w:vAlign w:val="bottom"/>
          </w:tcPr>
          <w:p>
            <w:pPr>
              <w:jc w:val="right"/>
              <w:ind w:right="94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87,729</w:t>
            </w:r>
          </w:p>
        </w:tc>
        <w:tc>
          <w:tcPr>
            <w:tcW w:w="1240" w:type="dxa"/>
            <w:vAlign w:val="bottom"/>
            <w:gridSpan w:val="2"/>
          </w:tcPr>
          <w:p>
            <w:pPr>
              <w:jc w:val="right"/>
              <w:ind w:right="10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73,376</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14,353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June 30, 2023 and 2022</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$59.2 million, or 11.3%, to $582.1 million for the three months ended June 30, 2023 from $522.9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2022. Leasing revenue increased $62.9 million, or 16.3%, as compared to the same period in 2022 driven by improved pricing and value added products penetration, partially offset by a decrease of 13,830 average total units on rent. Delivery and installation revenues increased $1.9 million, or 1.7%, due to increased pricing across both of our segments. Rental unit sales decreased $4.7 million, or 29.9%, and new unit sales decreased $0.9 million, or 9.1%.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4" w:name="page35"/>
    <w:bookmarkEnd w:id="34"/>
    <w:p>
      <w:pPr>
        <w:jc w:val="both"/>
        <w:ind w:firstLine="619"/>
        <w:spacing w:after="0" w:line="264" w:lineRule="auto"/>
        <w:rPr>
          <w:sz w:val="20"/>
          <w:szCs w:val="20"/>
          <w:color w:val="auto"/>
        </w:rPr>
      </w:pPr>
      <w:r>
        <w:rPr>
          <w:rFonts w:ascii="Arial" w:cs="Arial" w:eastAsia="Arial" w:hAnsi="Arial"/>
          <w:sz w:val="15"/>
          <w:szCs w:val="15"/>
          <w:color w:val="auto"/>
        </w:rPr>
        <w:t>Total average units on rent for the three months ended June 30, 2023 and 2022 were 254,554 and 268,384, respectively, representing a decrease of 13,830, or 5.2%. Portable storage average units on rent decreased by 10,301 units, or 6.3%, for the three months ended June 30, 2023 driven by lower demand in 2023 as compared to strong delivery and unit on rent growth in 2022. The average portable storage unit utilization rate during the three months ended June 30, 2023 was 73.1% as compared to 86.0% during the same period in 2022. Modular space average units on rent decreased 3,529 units, or 3.4%, for the three months ended June 30, 2023 as compared to the three months ended June 30, 2022. The average modular space unit utilization rate during the three months ended June 30, 2023 was 65.1% as compared to 68.7% during the same period in 2022.</w:t>
      </w:r>
    </w:p>
    <w:p>
      <w:pPr>
        <w:spacing w:after="0" w:line="22"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Modular space average monthly rental rates increased 19.2% to $1,051 for the three months ended June 30, 2023. Average modular space monthly rental rates increased by $163, or 17.4%, to $1,102 in the Modular segment and by $167, or 25.0%, in the Storage segment. Increases were driven by a continuation of the long-term price optimization and VAPS penetration opportunities across our Modular segment as well as by application of these same price management tools and processes across the Storage segment.</w:t>
      </w:r>
    </w:p>
    <w:p>
      <w:pPr>
        <w:spacing w:after="0" w:line="12"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Average portable storage monthly rental rates increased 27.0% to $226 for the three months ended June 30, 2023 driven by our price management tools and processes and early benefits from increased VAPS penetration opportunities on our basic VAPS offerings in the Storage segment, which began in the second quarter of 2022.</w:t>
      </w:r>
    </w:p>
    <w:p>
      <w:pPr>
        <w:spacing w:after="0" w:line="5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$52.7 million, or 19.1%, to $327.9 million for the three months ended June 30, 2023 from $275.2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2022. The increase in gross profit was a result of a $52.4 million increase in leasing gross profit and increased delivery and installation gross profit of $3.1 million, partially offset by decreased new and rental unit sales gross profit of $1.7 million. Increases were primarily a result of increased revenues due to favorable average monthly rental rates and delivery and installation pricing across both portable storage and modular space units, which offset lower unit on rent volumes. Cost of leasing and services increased by $9.3 million, or 5.4%, for the three months ended June 30, 2023 versus the three months ended June 30, 2022, driven by a $7.6 million, or 13.4%, increase in labor costs, a $2.8 million, or 11.6%, increase in material costs, and a $1.4 million, or 6.0%, increase in vehicle, equipment and other costs, partially offset by a $2.6 million, or 3.9%, decrease in subcontractor costs. Cost of sales decreased by $3.9 million, or 28.5%, which is in line with decreased sales revenues of 22.9% for the three months ended June 30, 2023, resulting in improved sales gross profit margins. The year over year changes in each of these cost components was consistent with historical trends and management's expectations given the respective change in sales volume and inflationary pressures impacting our business. Increases in gross profit were offset partially by increased depreciation of $1.2 million, or 1.9%, as a result of capital investments made over the past twelve months in rental equipment including acquired fleet.</w:t>
      </w:r>
    </w:p>
    <w:p>
      <w:pPr>
        <w:spacing w:after="0" w:line="25"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Our resulting gross profit percentage was 56.3% and 52.6% for the three months ended June 30, 2023 and 2022, respectively. Our gross profit percentage, excluding the effects of depreciation, was 67.4% and 64.7% for the three months ended June 30, 2023 and 2022, respectively. These increases were driven primarily by continued price optimization within leasing, delivery, and installation revenues and execution of VAPS penetration opportunities that have outpaced increases in cost of leasing and services.</w:t>
      </w:r>
    </w:p>
    <w:p>
      <w:pPr>
        <w:spacing w:after="0" w:line="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Selling, general and administrative expense ("SG&amp;A") decreased $3.3 million, or 2.2%, to $146.8 million for the three months ended June 30, 2023,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$150.1 million for the three months ended June 30, 2022. Integration expenses declined $3.0 million, or 56.8%, during the period and service agreements and professional fees decreased $1.5 million, or 6.8%. Employee SG&amp;A excluding stock compensation decreased $5.9 million, or 8.6%, primarily as a result of reduced variable compensation. Real estate costs increased $2.1 million, or 11.6%, and non-income business taxes increased $1.0 million, or 53.0%, partially offsetting these declines.</w:t>
      </w:r>
    </w:p>
    <w:p>
      <w:pPr>
        <w:spacing w:after="0" w:line="5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$2.3 million to $17.3 million for the three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2023 compared to $15.0 million for the three months ended June 30, 2022. The increase was driven by increased depreciation as a result of our recent investments in our CRM system and other infrastructure improvements across our branch network.</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Currency Losses (Gains), net: </w:t>
      </w:r>
      <w:r>
        <w:rPr>
          <w:rFonts w:ascii="Arial" w:cs="Arial" w:eastAsia="Arial" w:hAnsi="Arial"/>
          <w:sz w:val="15"/>
          <w:szCs w:val="15"/>
          <w:color w:val="auto"/>
        </w:rPr>
        <w:t>Currency losses, net increased by $0.2 million for the three months ended June 30, 2023. This change was primarily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attributable to the impact of foreign currency exchanges rate changes on intercompany receivables and payables denominated in a currency other than the subsidiary's functional currency.</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$2.8 million for the three months ended June 30, 2023 compared to $3.8 million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2022. The decrease in other income, net was related to a decrease in insurance recoveries during 2023 as compared to 2022 related to hurricanes in the Gulf Coast and Florida areas of the United States.</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$14.0 million, or 42.2%, to $47.2 million for the three months ended June 30, 2023 from $33.2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June 30, 2022. The increase in interest expense was a result of higher overall weighted average interest rates as a result of increased benchmark rates and higher outstanding debt balances. See Note 9 to the condensed consolidated financial statements for further discussion of our debt.</w:t>
      </w:r>
    </w:p>
    <w:p>
      <w:pPr>
        <w:spacing w:after="0" w:line="6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$10.8 million to $31.6 million for the three months ended June 30, 2023 compared to $20.8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months ended June 30, 2022. The increase in expense was driven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color w:val="auto"/>
        </w:rPr>
        <w:t>increase in income from continuing operations before income tax for the three months ended June 30, 2023 as compared to the three months ended June 30, 2022.</w:t>
      </w:r>
    </w:p>
    <w:p>
      <w:pPr>
        <w:spacing w:after="0" w:line="103"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Income from Discontinued Operations: </w:t>
      </w:r>
      <w:r>
        <w:rPr>
          <w:rFonts w:ascii="Arial" w:cs="Arial" w:eastAsia="Arial" w:hAnsi="Arial"/>
          <w:sz w:val="15"/>
          <w:szCs w:val="15"/>
          <w:color w:val="auto"/>
        </w:rPr>
        <w:t>Income from discontinued operations was related to the former UK Storage Solutions and Tank and Pump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segments, which were sold in prior periods.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June 30, 2023 Compared to the Six Months Ended June 30, 2022</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six months ended June 30, 2023 and 2022 are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40" w:type="dxa"/>
            <w:vAlign w:val="bottom"/>
            <w:shd w:val="clear" w:color="auto" w:fill="1D2758"/>
          </w:tcPr>
          <w:p>
            <w:pPr>
              <w:spacing w:after="0"/>
              <w:rPr>
                <w:sz w:val="20"/>
                <w:szCs w:val="20"/>
                <w:color w:val="auto"/>
              </w:rPr>
            </w:pPr>
          </w:p>
        </w:tc>
        <w:tc>
          <w:tcPr>
            <w:tcW w:w="3400" w:type="dxa"/>
            <w:vAlign w:val="bottom"/>
            <w:gridSpan w:val="5"/>
            <w:shd w:val="clear" w:color="auto" w:fill="1D2758"/>
          </w:tcPr>
          <w:p>
            <w:pPr>
              <w:ind w:left="440"/>
              <w:spacing w:after="0"/>
              <w:rPr>
                <w:sz w:val="20"/>
                <w:szCs w:val="20"/>
                <w:color w:val="auto"/>
              </w:rPr>
            </w:pPr>
            <w:r>
              <w:rPr>
                <w:rFonts w:ascii="Arial" w:cs="Arial" w:eastAsia="Arial" w:hAnsi="Arial"/>
                <w:sz w:val="15"/>
                <w:szCs w:val="15"/>
                <w:b w:val="1"/>
                <w:bCs w:val="1"/>
                <w:color w:val="FFFFFF"/>
              </w:rPr>
              <w:t>Six Months Ended June 30,</w:t>
            </w:r>
          </w:p>
        </w:tc>
        <w:tc>
          <w:tcPr>
            <w:tcW w:w="10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2023 vs. 2022</w:t>
            </w:r>
          </w:p>
        </w:tc>
        <w:tc>
          <w:tcPr>
            <w:tcW w:w="7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213"/>
        </w:trPr>
        <w:tc>
          <w:tcPr>
            <w:tcW w:w="558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7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5580" w:type="dxa"/>
            <w:vAlign w:val="bottom"/>
            <w:shd w:val="clear" w:color="auto" w:fill="1D2758"/>
          </w:tcPr>
          <w:p>
            <w:pPr>
              <w:spacing w:after="0"/>
              <w:rPr>
                <w:sz w:val="7"/>
                <w:szCs w:val="7"/>
                <w:color w:val="auto"/>
              </w:rPr>
            </w:pPr>
          </w:p>
        </w:tc>
        <w:tc>
          <w:tcPr>
            <w:tcW w:w="440" w:type="dxa"/>
            <w:vAlign w:val="bottom"/>
            <w:shd w:val="clear" w:color="auto" w:fill="1D2758"/>
          </w:tcPr>
          <w:p>
            <w:pPr>
              <w:spacing w:after="0"/>
              <w:rPr>
                <w:sz w:val="7"/>
                <w:szCs w:val="7"/>
                <w:color w:val="auto"/>
              </w:rPr>
            </w:pPr>
          </w:p>
        </w:tc>
        <w:tc>
          <w:tcPr>
            <w:tcW w:w="140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420" w:type="dxa"/>
            <w:vAlign w:val="bottom"/>
            <w:shd w:val="clear" w:color="auto" w:fill="1D2758"/>
          </w:tcPr>
          <w:p>
            <w:pPr>
              <w:spacing w:after="0"/>
              <w:rPr>
                <w:sz w:val="7"/>
                <w:szCs w:val="7"/>
                <w:color w:val="auto"/>
              </w:rPr>
            </w:pPr>
          </w:p>
        </w:tc>
        <w:tc>
          <w:tcPr>
            <w:tcW w:w="140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060" w:type="dxa"/>
            <w:vAlign w:val="bottom"/>
            <w:shd w:val="clear" w:color="auto" w:fill="1D2758"/>
          </w:tcPr>
          <w:p>
            <w:pPr>
              <w:spacing w:after="0"/>
              <w:rPr>
                <w:sz w:val="7"/>
                <w:szCs w:val="7"/>
                <w:color w:val="auto"/>
              </w:rPr>
            </w:pPr>
          </w:p>
        </w:tc>
        <w:tc>
          <w:tcPr>
            <w:tcW w:w="7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44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44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889,271</w:t>
            </w:r>
          </w:p>
        </w:tc>
        <w:tc>
          <w:tcPr>
            <w:tcW w:w="500" w:type="dxa"/>
            <w:vAlign w:val="bottom"/>
            <w:gridSpan w:val="2"/>
            <w:shd w:val="clear" w:color="auto" w:fill="DBDBDB"/>
          </w:tcPr>
          <w:p>
            <w:pPr>
              <w:jc w:val="right"/>
              <w:ind w:right="300"/>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737,945</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88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151,326</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4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219,384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196,380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23,004</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44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4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19,661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15,714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3,947</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44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19,241</w:t>
            </w:r>
          </w:p>
        </w:tc>
        <w:tc>
          <w:tcPr>
            <w:tcW w:w="8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24,022</w:t>
            </w:r>
          </w:p>
        </w:tc>
        <w:tc>
          <w:tcPr>
            <w:tcW w:w="100" w:type="dxa"/>
            <w:vAlign w:val="bottom"/>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(4,781)</w:t>
            </w:r>
          </w:p>
        </w:tc>
        <w:tc>
          <w:tcPr>
            <w:tcW w:w="0" w:type="dxa"/>
            <w:vAlign w:val="bottom"/>
          </w:tcPr>
          <w:p>
            <w:pPr>
              <w:spacing w:after="0"/>
              <w:rPr>
                <w:sz w:val="1"/>
                <w:szCs w:val="1"/>
                <w:color w:val="auto"/>
              </w:rPr>
            </w:pPr>
          </w:p>
        </w:tc>
      </w:tr>
      <w:tr>
        <w:trPr>
          <w:trHeight w:val="196"/>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4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1,147,557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974,061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173,496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44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44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196,071</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168,445</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27,626</w:t>
            </w: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4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156,356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153,117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3,239</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44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4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11,003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9,077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1,926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44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9,521</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13,370</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(3,849)</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123,606</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120,778</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2,828</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44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651,000</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509,274</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141,726</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44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297,702</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288,273</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9,429</w:t>
            </w: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4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34,519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30,313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4,206</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44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6,789</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6,825</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(6,197)</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(5,077)</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44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318,187</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195,801</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122,386</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92,112</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63,723</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28,389</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44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226,075</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132,078</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93,997</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62,075</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32,931</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29,144</w:t>
            </w:r>
          </w:p>
        </w:tc>
        <w:tc>
          <w:tcPr>
            <w:tcW w:w="0" w:type="dxa"/>
            <w:vAlign w:val="bottom"/>
          </w:tcPr>
          <w:p>
            <w:pPr>
              <w:spacing w:after="0"/>
              <w:rPr>
                <w:sz w:val="1"/>
                <w:szCs w:val="1"/>
                <w:color w:val="auto"/>
              </w:rPr>
            </w:pPr>
          </w:p>
        </w:tc>
      </w:tr>
      <w:tr>
        <w:trPr>
          <w:trHeight w:val="202"/>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44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99,147</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64,853</w:t>
            </w:r>
          </w:p>
        </w:tc>
        <w:tc>
          <w:tcPr>
            <w:tcW w:w="0" w:type="dxa"/>
            <w:vAlign w:val="bottom"/>
          </w:tcPr>
          <w:p>
            <w:pPr>
              <w:spacing w:after="0"/>
              <w:rPr>
                <w:sz w:val="1"/>
                <w:szCs w:val="1"/>
                <w:color w:val="auto"/>
              </w:rPr>
            </w:pPr>
          </w:p>
        </w:tc>
      </w:tr>
      <w:tr>
        <w:trPr>
          <w:trHeight w:val="245"/>
        </w:trPr>
        <w:tc>
          <w:tcPr>
            <w:tcW w:w="5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44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44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4,003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32,927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(28,924)</w:t>
            </w:r>
          </w:p>
        </w:tc>
        <w:tc>
          <w:tcPr>
            <w:tcW w:w="0" w:type="dxa"/>
            <w:vAlign w:val="bottom"/>
          </w:tcPr>
          <w:p>
            <w:pPr>
              <w:spacing w:after="0"/>
              <w:rPr>
                <w:sz w:val="1"/>
                <w:szCs w:val="1"/>
                <w:color w:val="auto"/>
              </w:rPr>
            </w:pPr>
          </w:p>
        </w:tc>
      </w:tr>
      <w:tr>
        <w:trPr>
          <w:trHeight w:val="209"/>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44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176,078</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176,078</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45,468</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7,527</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37,941</w:t>
            </w:r>
          </w:p>
        </w:tc>
        <w:tc>
          <w:tcPr>
            <w:tcW w:w="0" w:type="dxa"/>
            <w:vAlign w:val="bottom"/>
          </w:tcPr>
          <w:p>
            <w:pPr>
              <w:spacing w:after="0"/>
              <w:rPr>
                <w:sz w:val="1"/>
                <w:szCs w:val="1"/>
                <w:color w:val="auto"/>
              </w:rPr>
            </w:pPr>
          </w:p>
        </w:tc>
      </w:tr>
      <w:tr>
        <w:trPr>
          <w:trHeight w:val="19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44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134,613</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25,400</w:t>
            </w:r>
          </w:p>
        </w:tc>
        <w:tc>
          <w:tcPr>
            <w:tcW w:w="100" w:type="dxa"/>
            <w:vAlign w:val="bottom"/>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109,213</w:t>
            </w:r>
          </w:p>
        </w:tc>
        <w:tc>
          <w:tcPr>
            <w:tcW w:w="0" w:type="dxa"/>
            <w:vAlign w:val="bottom"/>
          </w:tcPr>
          <w:p>
            <w:pPr>
              <w:spacing w:after="0"/>
              <w:rPr>
                <w:sz w:val="1"/>
                <w:szCs w:val="1"/>
                <w:color w:val="auto"/>
              </w:rPr>
            </w:pPr>
          </w:p>
        </w:tc>
      </w:tr>
      <w:tr>
        <w:trPr>
          <w:trHeight w:val="215"/>
        </w:trPr>
        <w:tc>
          <w:tcPr>
            <w:tcW w:w="55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44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298,613</w:t>
            </w:r>
          </w:p>
        </w:tc>
        <w:tc>
          <w:tcPr>
            <w:tcW w:w="500" w:type="dxa"/>
            <w:vAlign w:val="bottom"/>
            <w:gridSpan w:val="2"/>
            <w:shd w:val="clear" w:color="auto" w:fill="DBDBDB"/>
          </w:tcPr>
          <w:p>
            <w:pPr>
              <w:jc w:val="right"/>
              <w:ind w:right="300"/>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124,547</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88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174,066</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Comparison of Six Months Ended June 30, 2023 and 2022</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$173.5 million, or 17.8%, to $1,147.6 million for the six months ended June 30, 2023 from $974.1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2022. Leasing revenue increased $151.3 million, or 20.5%, as compared to the same period in 2022 driven by improved pricing and value added products penetration, partially offset by a decrease of 1,478 average modular space and portable storage units on rent. Delivery and installation revenues increased $23.0 million, or 11.7%, due to increased pricing across both of our segments. Rental unit sales decreased $4.8 million, or 19.9%, and new unit sales increased $3.9 million, or 25.1%.</w:t>
      </w:r>
    </w:p>
    <w:p>
      <w:pPr>
        <w:spacing w:after="0" w:line="1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Total average units on rent for the six months ended June 30, 2023 and 2022 were 260,891 and 262,369, respectively. Modular space average units on rent decreased 2,480 units, or 2.4%, and portable storage average units on rent increased by 1,002 units, or 0.6%, for the six months ended June 30, 2023. The average modular space unit utilization rate during the six months ended June 30, 2023 was 65.6% as compared to 68.6% during the same period in 2022. The average portable storage unit utilization rate during the six months ended June 30, 2023 was 75.9%, as compared to 84.5% during the same period in 2022.</w:t>
      </w:r>
    </w:p>
    <w:p>
      <w:pPr>
        <w:spacing w:after="0" w:line="2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Modular space average monthly rental rates increased 19.4% to $1,020 for the six months ended June 30, 2023. Average portable storage monthly rental rates increased 27.7% to $221 for the six months ended June 30, 2023. Increases were driven by a continuation of the long-term price optimization and VAPS penetration opportunities across our Modular segment as well as by application of these same price management tools and processes across the Storage segment and from early benefits from increased VAPS penetration opportunities on our basic VAPS offerings in the Storage segment, which began in the second quarter of 2022.</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$141.7 million, or 27.8%, to $651.0 million for the six months ended June 30, 2023 from $509.3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2022. The increase in gross profit is a result of a $123.7 million increase in leasing gross profit, increased delivery and installation gross profit of $19.8 million, and increased new and rental unit sale margins of $1.1 million. Increases were primarily a result of increased revenues due to favorable average monthly rental rates and delivery and installation pricing across both portable storage and modular space units, which offset lower unit on rent volumes. Cost of leasing and services increased by $30.9 million, or 9.6%, for the six months ended June 30, 2023 versus the six months ended June 30, 2022, driven by a $15.0 million, or 13.6%, increase in labor costs, an $8.5 million, or 19.1%, increase in material costs, a $4.0 million, or 3.3%, increase in subcontractor costs, and a $3.4 million, or 7.5%, increase in vehicle, equipment and other costs. Cost of sales decreased by $1.9 million, or 8.6%, which is in line with decreased sales revenues of 2.3% for the six months ended June 30, 2023, resulting in improved sales gross profit margins. The year over year changes in each of these cost components was consistent with historical trends and management's expectations given the respective change in sales volume and inflationary pressures impacting our business. Depreciation increased to $123.6 million as a result of capital investments made over the past twelve months in rental equipment including acquired fleet.</w:t>
      </w:r>
    </w:p>
    <w:p>
      <w:pPr>
        <w:spacing w:after="0" w:line="22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gross profit percentage was 56.7% and 52.3% for the six months ended June 30, 2023 and 2022, respectively. Our gross profit percentage, excluding the effects of depreciation, was 67.5% and 64.7% for the six months ended June 30, 2023 and 2022, respectively. These increases were driven primarily by continued price optimization within leasing, delivery, and installation revenues and execution of VAPS penetration opportunities that have outpaced increases in cost of leasing and services.</w:t>
      </w:r>
    </w:p>
    <w:p>
      <w:pPr>
        <w:spacing w:after="0" w:line="6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Selling, general and administrative expense ("SG&amp;A") increased $9.4 million, or 3.3%, to $297.7 million for the six months ended June 30, 2023,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$288.3 million for the six months ended June 30, 2022. Real estate costs increased $4.2 million, or 11.4%, travel expenses increased $4.2 million, or 42.4%, due to increased travel and training, non-income business taxes increased $2.2 million, or 53.2%, and our provision for credit losses increased $3.2 million, or 48.8%. Stock compensation expense increased $2.1 million to $17.5 million for the six months ended June 30, 2023, compared to $15.4 million for the six months ended June 30, 2022. Partially offsetting these increases, integration expenses declined $3.2 million, or 34.1%, during the period and service agreements and professional fees decreased $2.7 million, or 6.7%. Employee SG&amp;A excluding stock compensation decreased $2.0 million, or 1.5%, primarily as a result of reduced variable compensation.</w:t>
      </w:r>
    </w:p>
    <w:p>
      <w:pPr>
        <w:spacing w:after="0" w:line="25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$4.2 million to $34.5 million for the six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2023 compared to $30.3 million for the six months ended June 30, 2022. The increase was driven by increased depreciation as a result of our recent investments in our CRM system and other infrastructure improvements across our branch network.</w:t>
      </w:r>
    </w:p>
    <w:p>
      <w:pPr>
        <w:spacing w:after="0" w:line="49"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b w:val="1"/>
          <w:bCs w:val="1"/>
          <w:i w:val="1"/>
          <w:iCs w:val="1"/>
          <w:color w:val="auto"/>
        </w:rPr>
        <w:t xml:space="preserve">Currency (Gains) Losses, Net: </w:t>
      </w:r>
      <w:r>
        <w:rPr>
          <w:rFonts w:ascii="Arial" w:cs="Arial" w:eastAsia="Arial" w:hAnsi="Arial"/>
          <w:sz w:val="15"/>
          <w:szCs w:val="15"/>
          <w:color w:val="auto"/>
        </w:rPr>
        <w:t>Currency losses, net increased by $6.8 million to a $6.8 million loss for the six months ended June 30, 2023. This change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was primarily attributable to a loss on the settlement of the contingent foreign currency forward contract relating to the sale of the former UK Storage Solutions segment.</w:t>
      </w:r>
    </w:p>
    <w:p>
      <w:pPr>
        <w:spacing w:after="0" w:line="23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$6.2 million for the six months ended June 30, 2023 compared to $5.1 million for the six months ended June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2022. The increase in other income, net was related to an increase in insurance recoveries during the six months ended 2023 as compared to the six months ended 2022 related to hurricanes in the Gulf Coast and Florida areas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7" w:name="page38"/>
    <w:bookmarkEnd w:id="37"/>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$28.4 million to $92.1 million for the six months ended June 30, 2023 from $63.7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2022. The increase in interest expense was a result of higher overall weighted average interest rates as a result of increased benchmark rates and higher outstanding debt balances. See Note 9 to the condensed consolidated financial statements for further discussion of our debt.</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$29.1 million to expense of $62.1 million for the six months ended June 30, 2023 compared to $32.9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six months ended June 30, 2022. The increase in expense was driven by an increase in income from continuing operations before income tax for the six months ended June 30, 2023 as compared to the six months ended June 30, 2022.</w:t>
      </w:r>
    </w:p>
    <w:p>
      <w:pPr>
        <w:spacing w:after="0" w:line="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b w:val="1"/>
          <w:bCs w:val="1"/>
          <w:i w:val="1"/>
          <w:iCs w:val="1"/>
          <w:color w:val="auto"/>
        </w:rPr>
        <w:t xml:space="preserve">Income from Discontinued Operations: </w:t>
      </w:r>
      <w:r>
        <w:rPr>
          <w:rFonts w:ascii="Arial" w:cs="Arial" w:eastAsia="Arial" w:hAnsi="Arial"/>
          <w:sz w:val="15"/>
          <w:szCs w:val="15"/>
          <w:color w:val="auto"/>
        </w:rPr>
        <w:t>Income from discontinued operations increased $109.2 million to $134.6 million for the six months ended June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2023 compared to $25.4 million for the six months ended June 30, 2022. The increase in income from discontinued operations was driven by the gain on sale of the former UK Storage Solutions segment of $176.1 million, partially offset by an increase in income tax expense from discontinued operations as well as having no contribution from the former Tank and Pump segment in 2023.</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1D2758"/>
        </w:rPr>
        <w:t>Business Segment Results</w:t>
      </w:r>
    </w:p>
    <w:p>
      <w:pPr>
        <w:spacing w:after="0" w:line="12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Company operates in two reportable segments as follows: Modular and Storage. Modular represents the activities of the North American modular business, excluding ground level offices, which were transferred to the Storage segment during the first quarter of 2023. Storage represents the activities of the North American portable storage and ground level office business. As part of the transfer of the ground level offices to Storage, we also adjusted the average modular space monthly rental rate in the Storage segment to only include VAPS specifically applicable to ground level offices, which has also been reflected in the total average modular space monthly rental rate.</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and discussion summarize our reportable segment financial information for the six months ended June 30, 2023 and 2022.</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June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380" w:type="dxa"/>
            <w:vAlign w:val="bottom"/>
            <w:shd w:val="clear" w:color="auto" w:fill="1D2758"/>
          </w:tcPr>
          <w:p>
            <w:pPr>
              <w:spacing w:after="0"/>
              <w:rPr>
                <w:sz w:val="17"/>
                <w:szCs w:val="17"/>
                <w:color w:val="auto"/>
              </w:rPr>
            </w:pPr>
          </w:p>
        </w:tc>
        <w:tc>
          <w:tcPr>
            <w:tcW w:w="4240" w:type="dxa"/>
            <w:vAlign w:val="bottom"/>
            <w:gridSpan w:val="4"/>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Three Months Ended June 30, 2023</w:t>
            </w:r>
          </w:p>
        </w:tc>
        <w:tc>
          <w:tcPr>
            <w:tcW w:w="14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8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62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Modular</w:t>
            </w:r>
          </w:p>
        </w:tc>
        <w:tc>
          <w:tcPr>
            <w:tcW w:w="440" w:type="dxa"/>
            <w:vAlign w:val="bottom"/>
            <w:shd w:val="clear" w:color="auto" w:fill="1D2758"/>
          </w:tcPr>
          <w:p>
            <w:pPr>
              <w:spacing w:after="0"/>
              <w:rPr>
                <w:sz w:val="18"/>
                <w:szCs w:val="18"/>
                <w:color w:val="auto"/>
              </w:rPr>
            </w:pPr>
          </w:p>
        </w:tc>
        <w:tc>
          <w:tcPr>
            <w:tcW w:w="162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Storage</w:t>
            </w:r>
          </w:p>
        </w:tc>
        <w:tc>
          <w:tcPr>
            <w:tcW w:w="560" w:type="dxa"/>
            <w:vAlign w:val="bottom"/>
            <w:shd w:val="clear" w:color="auto" w:fill="1D2758"/>
          </w:tcPr>
          <w:p>
            <w:pPr>
              <w:spacing w:after="0"/>
              <w:rPr>
                <w:sz w:val="18"/>
                <w:szCs w:val="18"/>
                <w:color w:val="auto"/>
              </w:rPr>
            </w:pPr>
          </w:p>
        </w:tc>
        <w:tc>
          <w:tcPr>
            <w:tcW w:w="1440" w:type="dxa"/>
            <w:vAlign w:val="bottom"/>
            <w:vMerge w:val="restart"/>
            <w:shd w:val="clear" w:color="auto" w:fill="1D2758"/>
          </w:tcPr>
          <w:p>
            <w:pPr>
              <w:jc w:val="right"/>
              <w:ind w:right="7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5180" w:type="dxa"/>
            <w:vAlign w:val="bottom"/>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620" w:type="dxa"/>
            <w:vAlign w:val="bottom"/>
            <w:vMerge w:val="continue"/>
            <w:shd w:val="clear" w:color="auto" w:fill="1D2758"/>
          </w:tcPr>
          <w:p>
            <w:pPr>
              <w:spacing w:after="0"/>
              <w:rPr>
                <w:sz w:val="7"/>
                <w:szCs w:val="7"/>
                <w:color w:val="auto"/>
              </w:rPr>
            </w:pPr>
          </w:p>
        </w:tc>
        <w:tc>
          <w:tcPr>
            <w:tcW w:w="440" w:type="dxa"/>
            <w:vAlign w:val="bottom"/>
            <w:shd w:val="clear" w:color="auto" w:fill="1D2758"/>
          </w:tcPr>
          <w:p>
            <w:pPr>
              <w:spacing w:after="0"/>
              <w:rPr>
                <w:sz w:val="7"/>
                <w:szCs w:val="7"/>
                <w:color w:val="auto"/>
              </w:rPr>
            </w:pPr>
          </w:p>
        </w:tc>
        <w:tc>
          <w:tcPr>
            <w:tcW w:w="1620" w:type="dxa"/>
            <w:vAlign w:val="bottom"/>
            <w:vMerge w:val="continue"/>
            <w:shd w:val="clear" w:color="auto" w:fill="1D2758"/>
          </w:tcPr>
          <w:p>
            <w:pPr>
              <w:spacing w:after="0"/>
              <w:rPr>
                <w:sz w:val="7"/>
                <w:szCs w:val="7"/>
                <w:color w:val="auto"/>
              </w:rPr>
            </w:pPr>
          </w:p>
        </w:tc>
        <w:tc>
          <w:tcPr>
            <w:tcW w:w="560" w:type="dxa"/>
            <w:vAlign w:val="bottom"/>
            <w:shd w:val="clear" w:color="auto" w:fill="1D2758"/>
          </w:tcPr>
          <w:p>
            <w:pPr>
              <w:spacing w:after="0"/>
              <w:rPr>
                <w:sz w:val="7"/>
                <w:szCs w:val="7"/>
                <w:color w:val="auto"/>
              </w:rPr>
            </w:pPr>
          </w:p>
        </w:tc>
        <w:tc>
          <w:tcPr>
            <w:tcW w:w="14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370,675</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211,414</w:t>
            </w:r>
          </w:p>
        </w:tc>
        <w:tc>
          <w:tcPr>
            <w:tcW w:w="56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582,089</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172,740</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155,132</w:t>
            </w:r>
          </w:p>
        </w:tc>
        <w:tc>
          <w:tcPr>
            <w:tcW w:w="5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327,872</w:t>
            </w:r>
          </w:p>
        </w:tc>
        <w:tc>
          <w:tcPr>
            <w:tcW w:w="0" w:type="dxa"/>
            <w:vAlign w:val="bottom"/>
          </w:tcPr>
          <w:p>
            <w:pPr>
              <w:spacing w:after="0"/>
              <w:rPr>
                <w:sz w:val="1"/>
                <w:szCs w:val="1"/>
                <w:color w:val="auto"/>
              </w:rPr>
            </w:pP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151,443</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109,898</w:t>
            </w:r>
          </w:p>
        </w:tc>
        <w:tc>
          <w:tcPr>
            <w:tcW w:w="56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261,341</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50,371</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5,210</w:t>
            </w:r>
          </w:p>
        </w:tc>
        <w:tc>
          <w:tcPr>
            <w:tcW w:w="5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55,581</w:t>
            </w:r>
          </w:p>
        </w:tc>
        <w:tc>
          <w:tcPr>
            <w:tcW w:w="0" w:type="dxa"/>
            <w:vAlign w:val="bottom"/>
          </w:tcPr>
          <w:p>
            <w:pPr>
              <w:spacing w:after="0"/>
              <w:rPr>
                <w:sz w:val="1"/>
                <w:szCs w:val="1"/>
                <w:color w:val="auto"/>
              </w:rPr>
            </w:pP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81,886</w:t>
            </w:r>
          </w:p>
        </w:tc>
        <w:tc>
          <w:tcPr>
            <w:tcW w:w="44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19,200</w:t>
            </w:r>
          </w:p>
        </w:tc>
        <w:tc>
          <w:tcPr>
            <w:tcW w:w="560" w:type="dxa"/>
            <w:vAlign w:val="bottom"/>
            <w:shd w:val="clear" w:color="auto" w:fill="DBDBDB"/>
          </w:tcPr>
          <w:p>
            <w:pPr>
              <w:spacing w:after="0"/>
              <w:rPr>
                <w:sz w:val="18"/>
                <w:szCs w:val="18"/>
                <w:color w:val="auto"/>
              </w:rPr>
            </w:pP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101,086</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65.8 %</w:t>
            </w:r>
          </w:p>
        </w:tc>
        <w:tc>
          <w:tcPr>
            <w:tcW w:w="4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62.3 %</w:t>
            </w: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65.1 %</w:t>
            </w:r>
          </w:p>
        </w:tc>
        <w:tc>
          <w:tcPr>
            <w:tcW w:w="0" w:type="dxa"/>
            <w:vAlign w:val="bottom"/>
          </w:tcPr>
          <w:p>
            <w:pPr>
              <w:spacing w:after="0"/>
              <w:rPr>
                <w:sz w:val="1"/>
                <w:szCs w:val="1"/>
                <w:color w:val="auto"/>
              </w:rPr>
            </w:pP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1,102</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835</w:t>
            </w:r>
          </w:p>
        </w:tc>
        <w:tc>
          <w:tcPr>
            <w:tcW w:w="56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1,051</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8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457</w:t>
            </w:r>
          </w:p>
        </w:tc>
        <w:tc>
          <w:tcPr>
            <w:tcW w:w="44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153,011</w:t>
            </w:r>
          </w:p>
        </w:tc>
        <w:tc>
          <w:tcPr>
            <w:tcW w:w="56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153,468</w:t>
            </w:r>
          </w:p>
        </w:tc>
        <w:tc>
          <w:tcPr>
            <w:tcW w:w="0" w:type="dxa"/>
            <w:vAlign w:val="bottom"/>
          </w:tcPr>
          <w:p>
            <w:pPr>
              <w:spacing w:after="0"/>
              <w:rPr>
                <w:sz w:val="1"/>
                <w:szCs w:val="1"/>
                <w:color w:val="auto"/>
              </w:rPr>
            </w:pP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58.0 %</w:t>
            </w:r>
          </w:p>
        </w:tc>
        <w:tc>
          <w:tcPr>
            <w:tcW w:w="44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73.2 %</w:t>
            </w:r>
          </w:p>
        </w:tc>
        <w:tc>
          <w:tcPr>
            <w:tcW w:w="56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73.1 %</w:t>
            </w:r>
          </w:p>
        </w:tc>
        <w:tc>
          <w:tcPr>
            <w:tcW w:w="0" w:type="dxa"/>
            <w:vAlign w:val="bottom"/>
          </w:tcPr>
          <w:p>
            <w:pPr>
              <w:spacing w:after="0"/>
              <w:rPr>
                <w:sz w:val="1"/>
                <w:szCs w:val="1"/>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238</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226</w:t>
            </w:r>
          </w:p>
        </w:tc>
        <w:tc>
          <w:tcPr>
            <w:tcW w:w="5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4240" w:type="dxa"/>
            <w:vAlign w:val="bottom"/>
            <w:gridSpan w:val="4"/>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Three Months Ended June 30, 2022</w:t>
            </w:r>
          </w:p>
        </w:tc>
        <w:tc>
          <w:tcPr>
            <w:tcW w:w="1440" w:type="dxa"/>
            <w:vAlign w:val="bottom"/>
            <w:shd w:val="clear" w:color="auto" w:fill="1D2758"/>
          </w:tcPr>
          <w:p>
            <w:pPr>
              <w:spacing w:after="0"/>
              <w:rPr>
                <w:sz w:val="17"/>
                <w:szCs w:val="17"/>
                <w:color w:val="auto"/>
              </w:rPr>
            </w:pPr>
          </w:p>
        </w:tc>
      </w:tr>
      <w:tr>
        <w:trPr>
          <w:trHeight w:val="206"/>
        </w:trPr>
        <w:tc>
          <w:tcPr>
            <w:tcW w:w="51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380" w:type="dxa"/>
            <w:vAlign w:val="bottom"/>
            <w:shd w:val="clear" w:color="auto" w:fill="1D2758"/>
          </w:tcPr>
          <w:p>
            <w:pPr>
              <w:spacing w:after="0"/>
              <w:rPr>
                <w:sz w:val="17"/>
                <w:szCs w:val="17"/>
                <w:color w:val="auto"/>
              </w:rPr>
            </w:pPr>
          </w:p>
        </w:tc>
        <w:tc>
          <w:tcPr>
            <w:tcW w:w="162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Modular</w:t>
            </w:r>
          </w:p>
        </w:tc>
        <w:tc>
          <w:tcPr>
            <w:tcW w:w="440" w:type="dxa"/>
            <w:vAlign w:val="bottom"/>
            <w:shd w:val="clear" w:color="auto" w:fill="1D2758"/>
          </w:tcPr>
          <w:p>
            <w:pPr>
              <w:spacing w:after="0"/>
              <w:rPr>
                <w:sz w:val="17"/>
                <w:szCs w:val="17"/>
                <w:color w:val="auto"/>
              </w:rPr>
            </w:pPr>
          </w:p>
        </w:tc>
        <w:tc>
          <w:tcPr>
            <w:tcW w:w="162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Storage</w:t>
            </w:r>
          </w:p>
        </w:tc>
        <w:tc>
          <w:tcPr>
            <w:tcW w:w="56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72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335,254</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187,636</w:t>
            </w:r>
          </w:p>
        </w:tc>
        <w:tc>
          <w:tcPr>
            <w:tcW w:w="56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522,890</w:t>
            </w: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146,611</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128,602</w:t>
            </w:r>
          </w:p>
        </w:tc>
        <w:tc>
          <w:tcPr>
            <w:tcW w:w="5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275,213</w:t>
            </w: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122,824</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85,819</w:t>
            </w:r>
          </w:p>
        </w:tc>
        <w:tc>
          <w:tcPr>
            <w:tcW w:w="56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208,643</w:t>
            </w: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82,482</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34,282</w:t>
            </w:r>
          </w:p>
        </w:tc>
        <w:tc>
          <w:tcPr>
            <w:tcW w:w="5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116,764</w:t>
            </w: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82,383</w:t>
            </w:r>
          </w:p>
        </w:tc>
        <w:tc>
          <w:tcPr>
            <w:tcW w:w="44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22,232</w:t>
            </w:r>
          </w:p>
        </w:tc>
        <w:tc>
          <w:tcPr>
            <w:tcW w:w="560" w:type="dxa"/>
            <w:vAlign w:val="bottom"/>
            <w:shd w:val="clear" w:color="auto" w:fill="DBDBDB"/>
          </w:tcPr>
          <w:p>
            <w:pPr>
              <w:spacing w:after="0"/>
              <w:rPr>
                <w:sz w:val="18"/>
                <w:szCs w:val="18"/>
                <w:color w:val="auto"/>
              </w:rPr>
            </w:pP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104,615</w:t>
            </w: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67.7 %</w:t>
            </w:r>
          </w:p>
        </w:tc>
        <w:tc>
          <w:tcPr>
            <w:tcW w:w="4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72.7 %</w:t>
            </w: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68.7 %</w:t>
            </w: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939</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668</w:t>
            </w:r>
          </w:p>
        </w:tc>
        <w:tc>
          <w:tcPr>
            <w:tcW w:w="56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882</w:t>
            </w: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8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476</w:t>
            </w:r>
          </w:p>
        </w:tc>
        <w:tc>
          <w:tcPr>
            <w:tcW w:w="44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163,293</w:t>
            </w:r>
          </w:p>
        </w:tc>
        <w:tc>
          <w:tcPr>
            <w:tcW w:w="56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163,769</w:t>
            </w: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53.7 %</w:t>
            </w:r>
          </w:p>
        </w:tc>
        <w:tc>
          <w:tcPr>
            <w:tcW w:w="44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86.1 %</w:t>
            </w:r>
          </w:p>
        </w:tc>
        <w:tc>
          <w:tcPr>
            <w:tcW w:w="56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86.0 %</w:t>
            </w:r>
          </w:p>
        </w:tc>
      </w:tr>
      <w:tr>
        <w:trPr>
          <w:trHeight w:val="201"/>
        </w:trPr>
        <w:tc>
          <w:tcPr>
            <w:tcW w:w="518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211</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178</w:t>
            </w:r>
          </w:p>
        </w:tc>
        <w:tc>
          <w:tcPr>
            <w:tcW w:w="5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1D2758"/>
        </w:rPr>
        <w:t>Modular</w:t>
      </w:r>
    </w:p>
    <w:p>
      <w:pPr>
        <w:spacing w:after="0" w:line="11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$35.4 million, or 10.6%, to $370.7 million for the three months ended June 30, 2023 from $335.3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2022. The increase was primarily the result of a $39.6 million, or 16.4%, increase in leasing revenue and a $3.2 million, or 4.4%, increase in delivery and installation revenue driven by improved pricing, partially offset by a decrease of $6.2 million, or 46.3%, in rental unit sales revenue and a $1.3 million, or 15.3%, decrease in new unit sales. Average modular space monthly rental rates increased 17.4% for the three months ended June 30, 2023 to $1,102 driven by the continuation of the long-term price optimization and VAPS penetration opportunities across our portfolio. Average modular space units on rent decreased by 497 units, or 0.6%, year over year.</w:t>
      </w:r>
    </w:p>
    <w:p>
      <w:pPr>
        <w:spacing w:after="0" w:line="73"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$26.1 million, or 17.8%, to $172.7 million for the three months ended June 30, 2023 from $146.6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2022. The increase in gross profit was driven by higher leasing gross profit, which increased $27.7 million, or 15.7%, driven by improved pricing including VAPS. The increase in gross profit from leasing for the three months ended June 30, 2023 was further complemented by a $2.3 million increase in delivery and installation gross profit driven by increased pricing ahead of inflationary cost increases, and partially offset by a $2.4 million decrease in rental unit sales gross profit and a $1.0 million decrease in new unit sales gross profit. Cost of leasing and services increased by $12.8 million, or 10.4%, for the three months ended June 30, 2023 versus the three months ended June 30, 2022, driven by a $4.4 million, or 25.2%, increase in material costs, a $5.9 million, or 14.9%, increase in labor costs, a $1.6 million, or 3.1%, increase in subcontractor costs, and a $0.9 million, or 6.6%, increase in vehicle, equipment and other costs. Cost of sales decreased by $4.0 million, or 36.5%, which is in line with expected costs to deliver decreased sales revenues of 34.2% for three months ended June 30, 2023, resulting in improved sales gross profit margins. The year over year changes in each of these cost components was consistent with historical trends and management's expectations given the respective change in sales volume and inflationary pressures impacting our business. Increases in gross profit were offset partially by increased depreciation of $0.5 million, or 0.9%, as a result of capital investments made over the past twelve months in rental equipment including acquired fleet.</w:t>
      </w:r>
    </w:p>
    <w:p>
      <w:pPr>
        <w:spacing w:after="0" w:line="25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$28.6 million, or 23.3%, to $151.4 million for the three months ended June 30, 2023 from $122.8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June 30, 2022. The increase was primarily driven by higher leasing and delivery and installation gross profit discussed above. SG&amp;A, excluding discrete items, decreased $3.0 million, or 3.6%, for the three months ended June 30, 2023, as compared to the three months ended June 30, 2022 driven primarily by decreased variable compensation costs.</w:t>
      </w:r>
    </w:p>
    <w:p>
      <w:pPr>
        <w:spacing w:after="0" w:line="5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decreased $32.1 million, or 38.9%, to $50.4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June 30, 2023 from $82.5 million for the three months ended June 30, 2022 driven by successful efforts to reduce our refurbishment costs through better unit selection and work scope during 2023.</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Storage</w:t>
      </w:r>
    </w:p>
    <w:p>
      <w:pPr>
        <w:spacing w:after="0" w:line="12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$23.8 million, or 12.7%, to $211.4 million for the three months ended June 30, 2023 from $187.6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June 30, 2022. The increase was primarily the result of a $23.3 million, or 16.1%, increase in leasing revenue. Sales revenues increased $1.7 million, or 43.6%. These increases were partially offset by a $1.3 million, or 3.3%, decrease in delivery and installation revenue driven by lower volumes during the period. Average portable storage monthly rental rates increased 27.0% for the three months ended June 30, 2023 to $226 driven by our price management tools and processes and early benefits from increased VAPS penetration opportunities on our basic VAPS offerings, which began in the second quarter of 2022. Average portable storage units on rent decreased by 10,282 units, or 6.3%, year over year driven by lower demand in 2023 versus very strong demand in 2022. Average modular space monthly rental rates increased 25.0% year-over-year driven primarily by increased pricing on new deliveries; however, average units on rent decreased 13.6% driven by lower demand.</w:t>
      </w:r>
    </w:p>
    <w:p>
      <w:pPr>
        <w:spacing w:after="0" w:line="268"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$26.5 million, or 20.6%, to $155.1 million for the three months ended June 30, 2023 compared to $128.6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June 30, 2022. Gross profit on leasing activity increased by $24.8 million year over year driven by increased pricing as described above. Delivery and installation gross profit increased $0.8 million, or 6.1%, driven by increased pricing ahead of inflationary cost increases. Sales gross profit increased by $1.6 million to $2.8 million. Cost of leasing and services decreased by $3.6 million, or 7.5%, for the three months ended June 30, 2023 versus the three months ended June 30, 2022, driven by a $4.2 million, or 30.9%, decrease in subcontractor costs and a $1.6 million, or 25.2%, decrease in material costs, partially offset by a $1.7 million, or 9.9%, increase in labor costs and a $0.5 million, or 5.3%, increase in vehicle, equipment and other costs. Net reductions were largely driven by lower volumes during the period. Cost of sales increased by $0.1 million, or 3.8%, driven by improved sales gross profit margins on increased sales revenues of 43.6% for three months ended June 30, 2023. The year over year changes in each of these cost components was consistent with historical trends and management's expectations given the respective changes in sales volume and inflationary pressures impacting our business. These increases were offset partially by increased depreciation of $0.7 million, or 8.1%, as a result of capital investments made over the past twelve months in rental equipment including acquired fleet.</w:t>
      </w:r>
    </w:p>
    <w:p>
      <w:pPr>
        <w:spacing w:after="0" w:line="8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$24.1 million, or 28.1%, to $109.9 million for the three months ended June 30, 2023 from $85.8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June 30, 2022 and the margin expanded to 52.0% from 45.7% as a result of favorable pricing on units and on delivery and installation, and increased VAPS penetration. The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9" w:name="page40"/>
    <w:bookmarkEnd w:id="39"/>
    <w:p>
      <w:pPr>
        <w:jc w:val="both"/>
        <w:spacing w:after="0" w:line="276" w:lineRule="auto"/>
        <w:rPr>
          <w:sz w:val="20"/>
          <w:szCs w:val="20"/>
          <w:color w:val="auto"/>
        </w:rPr>
      </w:pPr>
      <w:r>
        <w:rPr>
          <w:rFonts w:ascii="Arial" w:cs="Arial" w:eastAsia="Arial" w:hAnsi="Arial"/>
          <w:sz w:val="15"/>
          <w:szCs w:val="15"/>
          <w:color w:val="auto"/>
        </w:rPr>
        <w:t>Adjusted EBITDA was driven primarily by increased leasing gross profit as described above, partially offset by increased SG&amp;A. SG&amp;A, excluding discrete items, increased $2.2 million, or 4.2%, for the three months ended June 30, 2023, as compared to the three months ended June 30, 2022 driven primarily by an increase to the provision for credit losses and higher real estate costs.</w:t>
      </w:r>
    </w:p>
    <w:p>
      <w:pPr>
        <w:spacing w:after="0" w:line="5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of $5.2 million for the three months ended June 30,</w:t>
      </w:r>
      <w:r>
        <w:rPr>
          <w:rFonts w:ascii="Arial" w:cs="Arial" w:eastAsia="Arial" w:hAnsi="Arial"/>
          <w:sz w:val="15"/>
          <w:szCs w:val="15"/>
          <w:b w:val="1"/>
          <w:bCs w:val="1"/>
          <w:color w:val="auto"/>
        </w:rPr>
        <w:t xml:space="preserve"> </w:t>
      </w:r>
      <w:r>
        <w:rPr>
          <w:rFonts w:ascii="Arial" w:cs="Arial" w:eastAsia="Arial" w:hAnsi="Arial"/>
          <w:sz w:val="15"/>
          <w:szCs w:val="15"/>
          <w:color w:val="auto"/>
        </w:rPr>
        <w:t>2023 were $29.1 million lower than the prior-year quarter driven by a reduction in new container purchases during 2023 given current utilization and the significant investments made in 2022.</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Six Months Ended June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380" w:type="dxa"/>
            <w:vAlign w:val="bottom"/>
            <w:shd w:val="clear" w:color="auto" w:fill="1D2758"/>
          </w:tcPr>
          <w:p>
            <w:pPr>
              <w:spacing w:after="0"/>
              <w:rPr>
                <w:sz w:val="17"/>
                <w:szCs w:val="17"/>
                <w:color w:val="auto"/>
              </w:rPr>
            </w:pPr>
          </w:p>
        </w:tc>
        <w:tc>
          <w:tcPr>
            <w:tcW w:w="4180" w:type="dxa"/>
            <w:vAlign w:val="bottom"/>
            <w:gridSpan w:val="4"/>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Six Months Ended June 30, 2023</w:t>
            </w:r>
          </w:p>
        </w:tc>
        <w:tc>
          <w:tcPr>
            <w:tcW w:w="15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8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62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Modular</w:t>
            </w:r>
          </w:p>
        </w:tc>
        <w:tc>
          <w:tcPr>
            <w:tcW w:w="440" w:type="dxa"/>
            <w:vAlign w:val="bottom"/>
            <w:shd w:val="clear" w:color="auto" w:fill="1D2758"/>
          </w:tcPr>
          <w:p>
            <w:pPr>
              <w:spacing w:after="0"/>
              <w:rPr>
                <w:sz w:val="18"/>
                <w:szCs w:val="18"/>
                <w:color w:val="auto"/>
              </w:rPr>
            </w:pPr>
          </w:p>
        </w:tc>
        <w:tc>
          <w:tcPr>
            <w:tcW w:w="160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Storage</w:t>
            </w:r>
          </w:p>
        </w:tc>
        <w:tc>
          <w:tcPr>
            <w:tcW w:w="520" w:type="dxa"/>
            <w:vAlign w:val="bottom"/>
            <w:shd w:val="clear" w:color="auto" w:fill="1D2758"/>
          </w:tcPr>
          <w:p>
            <w:pPr>
              <w:spacing w:after="0"/>
              <w:rPr>
                <w:sz w:val="18"/>
                <w:szCs w:val="18"/>
                <w:color w:val="auto"/>
              </w:rPr>
            </w:pPr>
          </w:p>
        </w:tc>
        <w:tc>
          <w:tcPr>
            <w:tcW w:w="1500" w:type="dxa"/>
            <w:vAlign w:val="bottom"/>
            <w:vMerge w:val="restart"/>
            <w:shd w:val="clear" w:color="auto" w:fill="1D2758"/>
          </w:tcPr>
          <w:p>
            <w:pPr>
              <w:jc w:val="right"/>
              <w:ind w:right="7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5180" w:type="dxa"/>
            <w:vAlign w:val="bottom"/>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620" w:type="dxa"/>
            <w:vAlign w:val="bottom"/>
            <w:vMerge w:val="continue"/>
            <w:shd w:val="clear" w:color="auto" w:fill="1D2758"/>
          </w:tcPr>
          <w:p>
            <w:pPr>
              <w:spacing w:after="0"/>
              <w:rPr>
                <w:sz w:val="7"/>
                <w:szCs w:val="7"/>
                <w:color w:val="auto"/>
              </w:rPr>
            </w:pPr>
          </w:p>
        </w:tc>
        <w:tc>
          <w:tcPr>
            <w:tcW w:w="440" w:type="dxa"/>
            <w:vAlign w:val="bottom"/>
            <w:shd w:val="clear" w:color="auto" w:fill="1D2758"/>
          </w:tcPr>
          <w:p>
            <w:pPr>
              <w:spacing w:after="0"/>
              <w:rPr>
                <w:sz w:val="7"/>
                <w:szCs w:val="7"/>
                <w:color w:val="auto"/>
              </w:rPr>
            </w:pPr>
          </w:p>
        </w:tc>
        <w:tc>
          <w:tcPr>
            <w:tcW w:w="1600" w:type="dxa"/>
            <w:vAlign w:val="bottom"/>
            <w:vMerge w:val="continue"/>
            <w:shd w:val="clear" w:color="auto" w:fill="1D2758"/>
          </w:tcPr>
          <w:p>
            <w:pPr>
              <w:spacing w:after="0"/>
              <w:rPr>
                <w:sz w:val="7"/>
                <w:szCs w:val="7"/>
                <w:color w:val="auto"/>
              </w:rPr>
            </w:pPr>
          </w:p>
        </w:tc>
        <w:tc>
          <w:tcPr>
            <w:tcW w:w="520" w:type="dxa"/>
            <w:vAlign w:val="bottom"/>
            <w:shd w:val="clear" w:color="auto" w:fill="1D2758"/>
          </w:tcPr>
          <w:p>
            <w:pPr>
              <w:spacing w:after="0"/>
              <w:rPr>
                <w:sz w:val="7"/>
                <w:szCs w:val="7"/>
                <w:color w:val="auto"/>
              </w:rPr>
            </w:pPr>
          </w:p>
        </w:tc>
        <w:tc>
          <w:tcPr>
            <w:tcW w:w="15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720,345</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427,212</w:t>
            </w:r>
          </w:p>
        </w:tc>
        <w:tc>
          <w:tcPr>
            <w:tcW w:w="5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1,147,557</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338,075</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312,925</w:t>
            </w:r>
          </w:p>
        </w:tc>
        <w:tc>
          <w:tcPr>
            <w:tcW w:w="5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23"/>
              <w:spacing w:after="0"/>
              <w:rPr>
                <w:sz w:val="20"/>
                <w:szCs w:val="20"/>
                <w:color w:val="auto"/>
              </w:rPr>
            </w:pPr>
            <w:r>
              <w:rPr>
                <w:rFonts w:ascii="Arial" w:cs="Arial" w:eastAsia="Arial" w:hAnsi="Arial"/>
                <w:sz w:val="15"/>
                <w:szCs w:val="15"/>
                <w:color w:val="auto"/>
              </w:rPr>
              <w:t>651,000</w:t>
            </w:r>
          </w:p>
        </w:tc>
        <w:tc>
          <w:tcPr>
            <w:tcW w:w="0" w:type="dxa"/>
            <w:vAlign w:val="bottom"/>
          </w:tcPr>
          <w:p>
            <w:pPr>
              <w:spacing w:after="0"/>
              <w:rPr>
                <w:sz w:val="1"/>
                <w:szCs w:val="1"/>
                <w:color w:val="auto"/>
              </w:rPr>
            </w:pP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288,407</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219,776</w:t>
            </w:r>
          </w:p>
        </w:tc>
        <w:tc>
          <w:tcPr>
            <w:tcW w:w="5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508,183</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89,783</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12,555</w:t>
            </w:r>
          </w:p>
        </w:tc>
        <w:tc>
          <w:tcPr>
            <w:tcW w:w="5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23"/>
              <w:spacing w:after="0"/>
              <w:rPr>
                <w:sz w:val="20"/>
                <w:szCs w:val="20"/>
                <w:color w:val="auto"/>
              </w:rPr>
            </w:pPr>
            <w:r>
              <w:rPr>
                <w:rFonts w:ascii="Arial" w:cs="Arial" w:eastAsia="Arial" w:hAnsi="Arial"/>
                <w:sz w:val="15"/>
                <w:szCs w:val="15"/>
                <w:color w:val="auto"/>
              </w:rPr>
              <w:t>102,338</w:t>
            </w:r>
          </w:p>
        </w:tc>
        <w:tc>
          <w:tcPr>
            <w:tcW w:w="0" w:type="dxa"/>
            <w:vAlign w:val="bottom"/>
          </w:tcPr>
          <w:p>
            <w:pPr>
              <w:spacing w:after="0"/>
              <w:rPr>
                <w:sz w:val="1"/>
                <w:szCs w:val="1"/>
                <w:color w:val="auto"/>
              </w:rPr>
            </w:pP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81,894</w:t>
            </w:r>
          </w:p>
        </w:tc>
        <w:tc>
          <w:tcPr>
            <w:tcW w:w="44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19,717</w:t>
            </w:r>
          </w:p>
        </w:tc>
        <w:tc>
          <w:tcPr>
            <w:tcW w:w="52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101,611</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66.0 %</w:t>
            </w:r>
          </w:p>
        </w:tc>
        <w:tc>
          <w:tcPr>
            <w:tcW w:w="4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63.8 %</w:t>
            </w:r>
          </w:p>
        </w:tc>
        <w:tc>
          <w:tcPr>
            <w:tcW w:w="5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65.6 %</w:t>
            </w:r>
          </w:p>
        </w:tc>
        <w:tc>
          <w:tcPr>
            <w:tcW w:w="0" w:type="dxa"/>
            <w:vAlign w:val="bottom"/>
          </w:tcPr>
          <w:p>
            <w:pPr>
              <w:spacing w:after="0"/>
              <w:rPr>
                <w:sz w:val="1"/>
                <w:szCs w:val="1"/>
                <w:color w:val="auto"/>
              </w:rPr>
            </w:pP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1,074</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796</w:t>
            </w:r>
          </w:p>
        </w:tc>
        <w:tc>
          <w:tcPr>
            <w:tcW w:w="5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1,020</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8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479</w:t>
            </w:r>
          </w:p>
        </w:tc>
        <w:tc>
          <w:tcPr>
            <w:tcW w:w="440" w:type="dxa"/>
            <w:vAlign w:val="bottom"/>
          </w:tcPr>
          <w:p>
            <w:pPr>
              <w:spacing w:after="0"/>
              <w:rPr>
                <w:sz w:val="17"/>
                <w:szCs w:val="17"/>
                <w:color w:val="auto"/>
              </w:rPr>
            </w:pP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158,801</w:t>
            </w:r>
          </w:p>
        </w:tc>
        <w:tc>
          <w:tcPr>
            <w:tcW w:w="520" w:type="dxa"/>
            <w:vAlign w:val="bottom"/>
          </w:tcPr>
          <w:p>
            <w:pPr>
              <w:spacing w:after="0"/>
              <w:rPr>
                <w:sz w:val="17"/>
                <w:szCs w:val="17"/>
                <w:color w:val="auto"/>
              </w:rPr>
            </w:pPr>
          </w:p>
        </w:tc>
        <w:tc>
          <w:tcPr>
            <w:tcW w:w="1500" w:type="dxa"/>
            <w:vAlign w:val="bottom"/>
          </w:tcPr>
          <w:p>
            <w:pPr>
              <w:jc w:val="right"/>
              <w:ind w:right="123"/>
              <w:spacing w:after="0"/>
              <w:rPr>
                <w:sz w:val="20"/>
                <w:szCs w:val="20"/>
                <w:color w:val="auto"/>
              </w:rPr>
            </w:pPr>
            <w:r>
              <w:rPr>
                <w:rFonts w:ascii="Arial" w:cs="Arial" w:eastAsia="Arial" w:hAnsi="Arial"/>
                <w:sz w:val="15"/>
                <w:szCs w:val="15"/>
                <w:color w:val="auto"/>
              </w:rPr>
              <w:t>159,280</w:t>
            </w:r>
          </w:p>
        </w:tc>
        <w:tc>
          <w:tcPr>
            <w:tcW w:w="0" w:type="dxa"/>
            <w:vAlign w:val="bottom"/>
          </w:tcPr>
          <w:p>
            <w:pPr>
              <w:spacing w:after="0"/>
              <w:rPr>
                <w:sz w:val="1"/>
                <w:szCs w:val="1"/>
                <w:color w:val="auto"/>
              </w:rPr>
            </w:pP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60.1 %</w:t>
            </w:r>
          </w:p>
        </w:tc>
        <w:tc>
          <w:tcPr>
            <w:tcW w:w="44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76.0 %</w:t>
            </w:r>
          </w:p>
        </w:tc>
        <w:tc>
          <w:tcPr>
            <w:tcW w:w="52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75.9 %</w:t>
            </w:r>
          </w:p>
        </w:tc>
        <w:tc>
          <w:tcPr>
            <w:tcW w:w="0" w:type="dxa"/>
            <w:vAlign w:val="bottom"/>
          </w:tcPr>
          <w:p>
            <w:pPr>
              <w:spacing w:after="0"/>
              <w:rPr>
                <w:sz w:val="1"/>
                <w:szCs w:val="1"/>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227</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221</w:t>
            </w:r>
          </w:p>
        </w:tc>
        <w:tc>
          <w:tcPr>
            <w:tcW w:w="5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23"/>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4180" w:type="dxa"/>
            <w:vAlign w:val="bottom"/>
            <w:gridSpan w:val="4"/>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Six Months Ended June 30, 2022</w:t>
            </w:r>
          </w:p>
        </w:tc>
        <w:tc>
          <w:tcPr>
            <w:tcW w:w="1500" w:type="dxa"/>
            <w:vAlign w:val="bottom"/>
            <w:shd w:val="clear" w:color="auto" w:fill="1D2758"/>
          </w:tcPr>
          <w:p>
            <w:pPr>
              <w:spacing w:after="0"/>
              <w:rPr>
                <w:sz w:val="17"/>
                <w:szCs w:val="17"/>
                <w:color w:val="auto"/>
              </w:rPr>
            </w:pPr>
          </w:p>
        </w:tc>
      </w:tr>
      <w:tr>
        <w:trPr>
          <w:trHeight w:val="206"/>
        </w:trPr>
        <w:tc>
          <w:tcPr>
            <w:tcW w:w="51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380" w:type="dxa"/>
            <w:vAlign w:val="bottom"/>
            <w:shd w:val="clear" w:color="auto" w:fill="1D2758"/>
          </w:tcPr>
          <w:p>
            <w:pPr>
              <w:spacing w:after="0"/>
              <w:rPr>
                <w:sz w:val="17"/>
                <w:szCs w:val="17"/>
                <w:color w:val="auto"/>
              </w:rPr>
            </w:pPr>
          </w:p>
        </w:tc>
        <w:tc>
          <w:tcPr>
            <w:tcW w:w="162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Modular</w:t>
            </w:r>
          </w:p>
        </w:tc>
        <w:tc>
          <w:tcPr>
            <w:tcW w:w="440" w:type="dxa"/>
            <w:vAlign w:val="bottom"/>
            <w:shd w:val="clear" w:color="auto" w:fill="1D2758"/>
          </w:tcPr>
          <w:p>
            <w:pPr>
              <w:spacing w:after="0"/>
              <w:rPr>
                <w:sz w:val="17"/>
                <w:szCs w:val="17"/>
                <w:color w:val="auto"/>
              </w:rPr>
            </w:pPr>
          </w:p>
        </w:tc>
        <w:tc>
          <w:tcPr>
            <w:tcW w:w="162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Storage</w:t>
            </w:r>
          </w:p>
        </w:tc>
        <w:tc>
          <w:tcPr>
            <w:tcW w:w="500" w:type="dxa"/>
            <w:vAlign w:val="bottom"/>
            <w:shd w:val="clear" w:color="auto" w:fill="1D2758"/>
          </w:tcPr>
          <w:p>
            <w:pPr>
              <w:spacing w:after="0"/>
              <w:rPr>
                <w:sz w:val="17"/>
                <w:szCs w:val="17"/>
                <w:color w:val="auto"/>
              </w:rPr>
            </w:pPr>
          </w:p>
        </w:tc>
        <w:tc>
          <w:tcPr>
            <w:tcW w:w="1500" w:type="dxa"/>
            <w:vAlign w:val="bottom"/>
            <w:shd w:val="clear" w:color="auto" w:fill="1D2758"/>
          </w:tcPr>
          <w:p>
            <w:pPr>
              <w:jc w:val="right"/>
              <w:ind w:right="72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623,801</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350,260</w:t>
            </w:r>
          </w:p>
        </w:tc>
        <w:tc>
          <w:tcPr>
            <w:tcW w:w="5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974,061</w:t>
            </w: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269,209</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240,065</w:t>
            </w:r>
          </w:p>
        </w:tc>
        <w:tc>
          <w:tcPr>
            <w:tcW w:w="5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23"/>
              <w:spacing w:after="0"/>
              <w:rPr>
                <w:sz w:val="20"/>
                <w:szCs w:val="20"/>
                <w:color w:val="auto"/>
              </w:rPr>
            </w:pPr>
            <w:r>
              <w:rPr>
                <w:rFonts w:ascii="Arial" w:cs="Arial" w:eastAsia="Arial" w:hAnsi="Arial"/>
                <w:sz w:val="15"/>
                <w:szCs w:val="15"/>
                <w:color w:val="auto"/>
              </w:rPr>
              <w:t>509,274</w:t>
            </w: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222,410</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154,006</w:t>
            </w:r>
          </w:p>
        </w:tc>
        <w:tc>
          <w:tcPr>
            <w:tcW w:w="5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376,416</w:t>
            </w: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140,059</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54,453</w:t>
            </w:r>
          </w:p>
        </w:tc>
        <w:tc>
          <w:tcPr>
            <w:tcW w:w="5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23"/>
              <w:spacing w:after="0"/>
              <w:rPr>
                <w:sz w:val="20"/>
                <w:szCs w:val="20"/>
                <w:color w:val="auto"/>
              </w:rPr>
            </w:pPr>
            <w:r>
              <w:rPr>
                <w:rFonts w:ascii="Arial" w:cs="Arial" w:eastAsia="Arial" w:hAnsi="Arial"/>
                <w:sz w:val="15"/>
                <w:szCs w:val="15"/>
                <w:color w:val="auto"/>
              </w:rPr>
              <w:t>194,512</w:t>
            </w: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81,533</w:t>
            </w:r>
          </w:p>
        </w:tc>
        <w:tc>
          <w:tcPr>
            <w:tcW w:w="44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22,558</w:t>
            </w:r>
          </w:p>
        </w:tc>
        <w:tc>
          <w:tcPr>
            <w:tcW w:w="50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104,091</w:t>
            </w: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67.3 %</w:t>
            </w:r>
          </w:p>
        </w:tc>
        <w:tc>
          <w:tcPr>
            <w:tcW w:w="4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73.8 %</w:t>
            </w:r>
          </w:p>
        </w:tc>
        <w:tc>
          <w:tcPr>
            <w:tcW w:w="5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68.6 %</w:t>
            </w: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917</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626</w:t>
            </w:r>
          </w:p>
        </w:tc>
        <w:tc>
          <w:tcPr>
            <w:tcW w:w="5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854</w:t>
            </w: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8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469</w:t>
            </w:r>
          </w:p>
        </w:tc>
        <w:tc>
          <w:tcPr>
            <w:tcW w:w="44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157,809</w:t>
            </w:r>
          </w:p>
        </w:tc>
        <w:tc>
          <w:tcPr>
            <w:tcW w:w="500" w:type="dxa"/>
            <w:vAlign w:val="bottom"/>
          </w:tcPr>
          <w:p>
            <w:pPr>
              <w:spacing w:after="0"/>
              <w:rPr>
                <w:sz w:val="17"/>
                <w:szCs w:val="17"/>
                <w:color w:val="auto"/>
              </w:rPr>
            </w:pPr>
          </w:p>
        </w:tc>
        <w:tc>
          <w:tcPr>
            <w:tcW w:w="1500" w:type="dxa"/>
            <w:vAlign w:val="bottom"/>
          </w:tcPr>
          <w:p>
            <w:pPr>
              <w:jc w:val="right"/>
              <w:ind w:right="123"/>
              <w:spacing w:after="0"/>
              <w:rPr>
                <w:sz w:val="20"/>
                <w:szCs w:val="20"/>
                <w:color w:val="auto"/>
              </w:rPr>
            </w:pPr>
            <w:r>
              <w:rPr>
                <w:rFonts w:ascii="Arial" w:cs="Arial" w:eastAsia="Arial" w:hAnsi="Arial"/>
                <w:sz w:val="15"/>
                <w:szCs w:val="15"/>
                <w:color w:val="auto"/>
              </w:rPr>
              <w:t>158,278</w:t>
            </w:r>
          </w:p>
        </w:tc>
      </w:tr>
      <w:tr>
        <w:trPr>
          <w:trHeight w:val="209"/>
        </w:trPr>
        <w:tc>
          <w:tcPr>
            <w:tcW w:w="5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53.1 %</w:t>
            </w:r>
          </w:p>
        </w:tc>
        <w:tc>
          <w:tcPr>
            <w:tcW w:w="44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84.7 %</w:t>
            </w:r>
          </w:p>
        </w:tc>
        <w:tc>
          <w:tcPr>
            <w:tcW w:w="50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84.5 %</w:t>
            </w:r>
          </w:p>
        </w:tc>
      </w:tr>
      <w:tr>
        <w:trPr>
          <w:trHeight w:val="201"/>
        </w:trPr>
        <w:tc>
          <w:tcPr>
            <w:tcW w:w="518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186</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173</w:t>
            </w:r>
          </w:p>
        </w:tc>
        <w:tc>
          <w:tcPr>
            <w:tcW w:w="5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23"/>
              <w:spacing w:after="0"/>
              <w:rPr>
                <w:sz w:val="20"/>
                <w:szCs w:val="20"/>
                <w:color w:val="auto"/>
              </w:rPr>
            </w:pPr>
            <w:r>
              <w:rPr>
                <w:rFonts w:ascii="Arial" w:cs="Arial" w:eastAsia="Arial" w:hAnsi="Arial"/>
                <w:sz w:val="15"/>
                <w:szCs w:val="15"/>
                <w:color w:val="auto"/>
              </w:rPr>
              <w:t>173</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Modular</w:t>
      </w:r>
    </w:p>
    <w:p>
      <w:pPr>
        <w:spacing w:after="0" w:line="12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$96.6 million, or 15.5%, to $720.4 million for the six months ended June 30, 2023 from $623.8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2022. The increase was primarily the result of a $85.6 million, or 18.4%, increase in leasing revenue and a $13.7 million, or 10.8%, increase in delivery and installation revenue. Average portable storage monthly rental rates increased 22.0% for the six months ended June 30, 2023 to $227 driven by our price management tools and processes and early benefits from increased VAPS penetration opportunities on our basic VAPS offerings, which began in the second quarter of 2022. Average modular space monthly rental rates increased 17.1% year-over-year to $1,074 driven primarily by increased pricing on new deliveries. Average units on rent also increased 361 units, or 0.4%.</w:t>
      </w:r>
    </w:p>
    <w:p>
      <w:pPr>
        <w:spacing w:after="0" w:line="6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$68.9 million, or 25.6%, to $338.1 million for the six months ended June 30, 2023 from $269.2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2022. The increase in gross profit was driven by higher leasing gross profit, which increased $61.5 million, or 18.2%, driven by improved pricing including VAPS, and a $9.2 million increase in delivery and installation gross profit. These increases in gross profit from leasing for the six months ended June 30, 2023 were further complemented by a $0.8 million increase in new unit sales gross profit, and slightly offset by a $1.8 million decrease in rental unit sales gross profit. Cost of leasing and services increased by $28.7 million, or 12.3%, for the six months ended June 30, 2023 versus the six months ended June 30, 2022, driven by a $9.9 million, or 29.9%, increase in material costs, a $11.1 million, or 14.7%, increase in labor costs, a $5.7 million, or 5.8%, increase in subcontractor costs, and a $1.9 million, or 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0" w:name="page41"/>
    <w:bookmarkEnd w:id="40"/>
    <w:p>
      <w:pPr>
        <w:jc w:val="both"/>
        <w:spacing w:after="0" w:line="268" w:lineRule="auto"/>
        <w:rPr>
          <w:sz w:val="20"/>
          <w:szCs w:val="20"/>
          <w:color w:val="auto"/>
        </w:rPr>
      </w:pPr>
      <w:r>
        <w:rPr>
          <w:rFonts w:ascii="Arial" w:cs="Arial" w:eastAsia="Arial" w:hAnsi="Arial"/>
          <w:sz w:val="15"/>
          <w:szCs w:val="15"/>
          <w:color w:val="auto"/>
        </w:rPr>
        <w:t>increase in vehicle, equipment and other costs. Cost of sales decreased by $1.7 million, or 9.6%, which is in line with expected costs to deliver decreased sales revenues of 8.3% for six months ended June 30, 2023, resulting in improved sales gross profit margins. The year over year changes in each of these cost components was consistent with historical trends and management's expectations given the respective change in sales volume and inflationary pressures impacting our business. Increases in gross profit were offset partially by a $0.7 million increase in depreciation of rental equipment related to capital investments made in our existing rental equipment including acquired fleet.</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$66.0 million, or 29.7%, to $288.4 million for the six months ended June 30, 2023 from $222.4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six months ended June 30, 2022. The increase was driven by higher leasing gross profit discussed above. SG&amp;A, excluding discrete items, increased $4.2 million, or 2.7%, for the six months ended June 30, 2023, as compared to the six months ended June 30, 2022 driven primarily by increased travel and training costs, higher real estate costs, and increased salaries, partially offset by lower variable compensation.</w:t>
      </w:r>
    </w:p>
    <w:p>
      <w:pPr>
        <w:spacing w:after="0" w:line="7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decreased $50.3 million, or 35.9%, to $89.8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six months ended June 30, 2023 from $140.1 million for the six months ended June 30, 2022.</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Storage</w:t>
      </w:r>
    </w:p>
    <w:p>
      <w:pPr>
        <w:spacing w:after="0" w:line="124"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$76.9 million, or 22.0%, to $427.2 million for the six months ended June 30, 2023 from $350.3 million for the six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June 30, 2022. The increase was primarily the result of a $65.8 million, or 24.1%, increase in leasing revenue and a $9.3 million, or 13.3%, increase in delivery and installation revenue. Sales revenues increased $1.8 million, or 25.4%. Average portable storage monthly rental rates increased 27.7% year-over-year for the six months ended June 30, 2023 to $221 driven by our price management tools and processes and early benefits from increased VAPS penetration opportunities on our basic VAPS offerings, which began in the second quarter of 2022. Average portable storage units on rent increased by 992 units, or 0.6%, year over year driven by unit growth in 2022. Average modular space monthly rental rates increased 27.2% year-over-year for the six months ended June 30, 2023 to $796 driven primarily by increased pricing on new deliveries; however, average units on rent decreased 12.6% driven by lower demand.</w:t>
      </w:r>
    </w:p>
    <w:p>
      <w:pPr>
        <w:spacing w:after="0" w:line="6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$72.8 million, or 30.3%, to $312.9 million for the six months ended June 30, 2023 compared to $240.1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six months ended June 30, 2022. Gross profit on leasing activity increased by $62.4 million year over year, or 27.0%, driven by increased pricing as described above. Delivery and installation gross profit increased $10.6 million, or 47.1%, driven by increased pricing ahead of inflationary cost increases. Sales gross profit decreased by $0.4 million to $2.1 million. Cost of leasing and services increased by $2.2 million, or 2.5%, for the six months ended June 30, 2023 versus the six months ended June 30, 2022, driven by a $3.8 million, or 11.3%, increase in labor costs and a $1.5 million, or 7.6%, increase in vehicle, equipment and other costs, partially offset by a $1.4 million, or 12.5%, decrease in material costs and a $1.7 million, or 6.7%, decrease in subcontractor costs. Cost of sales decreased by $0.2 million, or 4.6%, even as sales revenues increased $1.8 million, or 25.9%, driven by improved sales gross profit margins for six months ended June 30, 2023. These increases were offset partially by increased depreciation of $2.1 million, or 12.9%, as a result of capital investments made over the past twelve months in rental equipment including acquired fleet.</w:t>
      </w:r>
    </w:p>
    <w:p>
      <w:pPr>
        <w:spacing w:after="0" w:line="2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$65.8 million, or 42.7%, to $219.8 million for the six months ended June 30, 2023 from $154.0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six months ended June 30, 2022. The increase in Adjusted EBITDA was driven primarily by increased leasing gross profit as described above, partially offset by increased SG&amp;A. SG&amp;A, excluding discrete items, increased $8.0 million, or 7.7%, for the six months ended June 30, 2023, as compared to the six months ended June 30, 2022 driven primarily by increased travel and training costs, higher real estate costs, increased salaries, and an increase to the provision for credit losses, partially offset by lower variable compensation.</w:t>
      </w:r>
    </w:p>
    <w:p>
      <w:pPr>
        <w:spacing w:after="0" w:line="5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of $12.6 million for the six months ended June 30, 2023</w:t>
      </w:r>
      <w:r>
        <w:rPr>
          <w:rFonts w:ascii="Arial" w:cs="Arial" w:eastAsia="Arial" w:hAnsi="Arial"/>
          <w:sz w:val="15"/>
          <w:szCs w:val="15"/>
          <w:b w:val="1"/>
          <w:bCs w:val="1"/>
          <w:color w:val="auto"/>
        </w:rPr>
        <w:t xml:space="preserve"> </w:t>
      </w:r>
      <w:r>
        <w:rPr>
          <w:rFonts w:ascii="Arial" w:cs="Arial" w:eastAsia="Arial" w:hAnsi="Arial"/>
          <w:sz w:val="15"/>
          <w:szCs w:val="15"/>
          <w:color w:val="auto"/>
        </w:rPr>
        <w:t>were $41.9 million lower than the prior-year quarter driven by a reduction in new container purchases during 2023 given current utilization and the significant investments made in 2022.</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1D2758"/>
        </w:rPr>
        <w:t>Other Non-GAAP Financial Data and Reconciliations</w:t>
      </w:r>
    </w:p>
    <w:p>
      <w:pPr>
        <w:spacing w:after="0" w:line="12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Adjusted EBITDA</w:t>
      </w:r>
    </w:p>
    <w:p>
      <w:pPr>
        <w:spacing w:after="0" w:line="33"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16" w:lineRule="exact"/>
        <w:rPr>
          <w:sz w:val="20"/>
          <w:szCs w:val="20"/>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w:t>
      </w:r>
    </w:p>
    <w:p>
      <w:pPr>
        <w:spacing w:after="0" w:line="72" w:lineRule="exact"/>
        <w:rPr>
          <w:rFonts w:ascii="Arial" w:cs="Arial" w:eastAsia="Arial" w:hAnsi="Arial"/>
          <w:sz w:val="15"/>
          <w:szCs w:val="15"/>
          <w:color w:val="auto"/>
        </w:rPr>
      </w:pPr>
    </w:p>
    <w:p>
      <w:pPr>
        <w:ind w:left="1240" w:hanging="309"/>
        <w:spacing w:after="0" w:line="283" w:lineRule="auto"/>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5" w:lineRule="exact"/>
        <w:rPr>
          <w:rFonts w:ascii="Arial" w:cs="Arial" w:eastAsia="Arial" w:hAnsi="Arial"/>
          <w:sz w:val="15"/>
          <w:szCs w:val="15"/>
          <w:color w:val="auto"/>
        </w:rPr>
      </w:pPr>
    </w:p>
    <w:p>
      <w:pPr>
        <w:ind w:left="1240" w:hanging="309"/>
        <w:spacing w:after="0" w:line="295" w:lineRule="auto"/>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72" w:lineRule="exact"/>
        <w:rPr>
          <w:rFonts w:ascii="Arial" w:cs="Arial" w:eastAsia="Arial" w:hAnsi="Arial"/>
          <w:sz w:val="15"/>
          <w:szCs w:val="15"/>
          <w:color w:val="auto"/>
        </w:rPr>
      </w:pPr>
    </w:p>
    <w:p>
      <w:pPr>
        <w:ind w:left="1240" w:hanging="309"/>
        <w:spacing w:after="0" w:line="283" w:lineRule="auto"/>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5" w:lineRule="exact"/>
        <w:rPr>
          <w:rFonts w:ascii="Arial" w:cs="Arial" w:eastAsia="Arial" w:hAnsi="Arial"/>
          <w:sz w:val="15"/>
          <w:szCs w:val="15"/>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72" w:lineRule="exact"/>
        <w:rPr>
          <w:rFonts w:ascii="Arial" w:cs="Arial" w:eastAsia="Arial" w:hAnsi="Arial"/>
          <w:sz w:val="15"/>
          <w:szCs w:val="15"/>
          <w:color w:val="auto"/>
        </w:rPr>
      </w:pPr>
    </w:p>
    <w:p>
      <w:pPr>
        <w:ind w:left="1240" w:hanging="309"/>
        <w:spacing w:after="0" w:line="283" w:lineRule="auto"/>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and gains and losses on disposals of property, plant, and equipment.</w:t>
      </w:r>
    </w:p>
    <w:p>
      <w:pPr>
        <w:spacing w:after="0" w:line="6"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Our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and captures the business performance of the segments, inclusive of indirect costs.</w:t>
      </w:r>
    </w:p>
    <w:p>
      <w:pPr>
        <w:spacing w:after="0" w:line="1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19" w:lineRule="exact"/>
        <w:rPr>
          <w:sz w:val="20"/>
          <w:szCs w:val="20"/>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59" w:lineRule="exact"/>
        <w:rPr>
          <w:rFonts w:ascii="Arial" w:cs="Arial" w:eastAsia="Arial" w:hAnsi="Arial"/>
          <w:sz w:val="15"/>
          <w:szCs w:val="15"/>
          <w:color w:val="auto"/>
        </w:rPr>
      </w:pPr>
    </w:p>
    <w:p>
      <w:pPr>
        <w:ind w:left="1240" w:hanging="309"/>
        <w:spacing w:after="0" w:line="295" w:lineRule="auto"/>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72" w:lineRule="exact"/>
        <w:rPr>
          <w:rFonts w:ascii="Arial" w:cs="Arial" w:eastAsia="Arial" w:hAnsi="Arial"/>
          <w:sz w:val="15"/>
          <w:szCs w:val="15"/>
          <w:color w:val="auto"/>
        </w:rPr>
      </w:pPr>
    </w:p>
    <w:p>
      <w:pPr>
        <w:ind w:left="1240" w:hanging="309"/>
        <w:spacing w:after="0" w:line="283" w:lineRule="auto"/>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18" w:lineRule="exact"/>
        <w:rPr>
          <w:rFonts w:ascii="Arial" w:cs="Arial" w:eastAsia="Arial" w:hAnsi="Arial"/>
          <w:sz w:val="15"/>
          <w:szCs w:val="15"/>
          <w:color w:val="auto"/>
        </w:rPr>
      </w:pPr>
    </w:p>
    <w:p>
      <w:pPr>
        <w:ind w:left="1240" w:hanging="309"/>
        <w:spacing w:after="0" w:line="283" w:lineRule="auto"/>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5"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72"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a measure of cash that will be available to meet our obligations.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2" w:name="page43"/>
    <w:bookmarkEnd w:id="42"/>
    <w:p>
      <w:pPr>
        <w:ind w:left="620"/>
        <w:spacing w:after="0"/>
        <w:rPr>
          <w:sz w:val="20"/>
          <w:szCs w:val="20"/>
          <w:color w:val="auto"/>
        </w:rPr>
      </w:pPr>
      <w:r>
        <w:rPr>
          <w:rFonts w:ascii="Arial" w:cs="Arial" w:eastAsia="Arial" w:hAnsi="Arial"/>
          <w:sz w:val="15"/>
          <w:szCs w:val="15"/>
          <w:color w:val="auto"/>
        </w:rPr>
        <w:t>The following tables provide unaudited reconciliations of Income from continuing operations to Adjusted EBITDA: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2860" w:type="dxa"/>
            <w:vAlign w:val="bottom"/>
            <w:gridSpan w:val="4"/>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Three Months Ended</w:t>
            </w:r>
          </w:p>
        </w:tc>
        <w:tc>
          <w:tcPr>
            <w:tcW w:w="8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c>
          <w:tcPr>
            <w:tcW w:w="0" w:type="dxa"/>
            <w:vAlign w:val="bottom"/>
          </w:tcPr>
          <w:p>
            <w:pPr>
              <w:spacing w:after="0"/>
              <w:rPr>
                <w:sz w:val="1"/>
                <w:szCs w:val="1"/>
                <w:color w:val="auto"/>
              </w:rPr>
            </w:pPr>
          </w:p>
        </w:tc>
      </w:tr>
      <w:tr>
        <w:trPr>
          <w:trHeight w:val="206"/>
        </w:trPr>
        <w:tc>
          <w:tcPr>
            <w:tcW w:w="476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740" w:type="dxa"/>
            <w:vAlign w:val="bottom"/>
            <w:gridSpan w:val="3"/>
            <w:shd w:val="clear" w:color="auto" w:fill="1D2758"/>
          </w:tcPr>
          <w:p>
            <w:pPr>
              <w:jc w:val="right"/>
              <w:ind w:right="180"/>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72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206"/>
        </w:trPr>
        <w:tc>
          <w:tcPr>
            <w:tcW w:w="4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87,729</w:t>
            </w:r>
          </w:p>
        </w:tc>
        <w:tc>
          <w:tcPr>
            <w:tcW w:w="540" w:type="dxa"/>
            <w:vAlign w:val="bottom"/>
            <w:gridSpan w:val="2"/>
            <w:shd w:val="clear" w:color="auto" w:fill="DBDBDB"/>
          </w:tcPr>
          <w:p>
            <w:pPr>
              <w:jc w:val="right"/>
              <w:ind w:right="3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60,099</w:t>
            </w:r>
          </w:p>
        </w:tc>
        <w:tc>
          <w:tcPr>
            <w:tcW w:w="44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164,000</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99,147</w:t>
            </w:r>
          </w:p>
        </w:tc>
        <w:tc>
          <w:tcPr>
            <w:tcW w:w="0" w:type="dxa"/>
            <w:vAlign w:val="bottom"/>
          </w:tcPr>
          <w:p>
            <w:pPr>
              <w:spacing w:after="0"/>
              <w:rPr>
                <w:sz w:val="1"/>
                <w:szCs w:val="1"/>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31,565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20,848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62,075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32,931</w:t>
            </w:r>
          </w:p>
        </w:tc>
        <w:tc>
          <w:tcPr>
            <w:tcW w:w="0" w:type="dxa"/>
            <w:vAlign w:val="bottom"/>
          </w:tcPr>
          <w:p>
            <w:pPr>
              <w:spacing w:after="0"/>
              <w:rPr>
                <w:sz w:val="1"/>
                <w:szCs w:val="1"/>
                <w:color w:val="auto"/>
              </w:rPr>
            </w:pPr>
          </w:p>
        </w:tc>
      </w:tr>
      <w:tr>
        <w:trPr>
          <w:trHeight w:val="209"/>
        </w:trPr>
        <w:tc>
          <w:tcPr>
            <w:tcW w:w="4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47,246</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33,153</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92,112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63,723</w:t>
            </w:r>
          </w:p>
        </w:tc>
        <w:tc>
          <w:tcPr>
            <w:tcW w:w="0" w:type="dxa"/>
            <w:vAlign w:val="bottom"/>
          </w:tcPr>
          <w:p>
            <w:pPr>
              <w:spacing w:after="0"/>
              <w:rPr>
                <w:sz w:val="1"/>
                <w:szCs w:val="1"/>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81,796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78,181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158,125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151,091</w:t>
            </w:r>
          </w:p>
        </w:tc>
        <w:tc>
          <w:tcPr>
            <w:tcW w:w="0" w:type="dxa"/>
            <w:vAlign w:val="bottom"/>
          </w:tcPr>
          <w:p>
            <w:pPr>
              <w:spacing w:after="0"/>
              <w:rPr>
                <w:sz w:val="1"/>
                <w:szCs w:val="1"/>
                <w:color w:val="auto"/>
              </w:rPr>
            </w:pPr>
          </w:p>
        </w:tc>
      </w:tr>
      <w:tr>
        <w:trPr>
          <w:trHeight w:val="209"/>
        </w:trPr>
        <w:tc>
          <w:tcPr>
            <w:tcW w:w="4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(gains), net</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(173)</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6,789</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59"/>
        </w:trPr>
        <w:tc>
          <w:tcPr>
            <w:tcW w:w="4760" w:type="dxa"/>
            <w:vAlign w:val="bottom"/>
          </w:tcPr>
          <w:p>
            <w:pPr>
              <w:ind w:left="220"/>
              <w:spacing w:after="0" w:line="159" w:lineRule="exact"/>
              <w:rPr>
                <w:sz w:val="20"/>
                <w:szCs w:val="20"/>
                <w:color w:val="auto"/>
              </w:rPr>
            </w:pPr>
            <w:r>
              <w:rPr>
                <w:rFonts w:ascii="Arial" w:cs="Arial" w:eastAsia="Arial" w:hAnsi="Arial"/>
                <w:sz w:val="15"/>
                <w:szCs w:val="15"/>
                <w:color w:val="auto"/>
              </w:rPr>
              <w:t>Restructuring costs, lease impairment expense and other related</w:t>
            </w:r>
          </w:p>
        </w:tc>
        <w:tc>
          <w:tcPr>
            <w:tcW w:w="3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99"/>
        </w:trPr>
        <w:tc>
          <w:tcPr>
            <w:tcW w:w="4760" w:type="dxa"/>
            <w:vAlign w:val="bottom"/>
          </w:tcPr>
          <w:p>
            <w:pPr>
              <w:ind w:left="220"/>
              <w:spacing w:after="0"/>
              <w:rPr>
                <w:sz w:val="20"/>
                <w:szCs w:val="20"/>
                <w:color w:val="auto"/>
              </w:rPr>
            </w:pPr>
            <w:r>
              <w:rPr>
                <w:rFonts w:ascii="Arial" w:cs="Arial" w:eastAsia="Arial" w:hAnsi="Arial"/>
                <w:sz w:val="15"/>
                <w:szCs w:val="15"/>
                <w:color w:val="auto"/>
              </w:rPr>
              <w:t>charges (income)</w:t>
            </w:r>
          </w:p>
        </w:tc>
        <w:tc>
          <w:tcPr>
            <w:tcW w:w="3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2,247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5,193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6,120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9,280</w:t>
            </w:r>
          </w:p>
        </w:tc>
        <w:tc>
          <w:tcPr>
            <w:tcW w:w="0" w:type="dxa"/>
            <w:vAlign w:val="bottom"/>
          </w:tcPr>
          <w:p>
            <w:pPr>
              <w:spacing w:after="0"/>
              <w:rPr>
                <w:sz w:val="1"/>
                <w:szCs w:val="1"/>
                <w:color w:val="auto"/>
              </w:rPr>
            </w:pPr>
          </w:p>
        </w:tc>
      </w:tr>
      <w:tr>
        <w:trPr>
          <w:trHeight w:val="209"/>
        </w:trPr>
        <w:tc>
          <w:tcPr>
            <w:tcW w:w="4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9,348</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9,128</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17,498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15,401</w:t>
            </w:r>
          </w:p>
        </w:tc>
        <w:tc>
          <w:tcPr>
            <w:tcW w:w="0" w:type="dxa"/>
            <w:vAlign w:val="bottom"/>
          </w:tcPr>
          <w:p>
            <w:pPr>
              <w:spacing w:after="0"/>
              <w:rPr>
                <w:sz w:val="1"/>
                <w:szCs w:val="1"/>
                <w:color w:val="auto"/>
              </w:rPr>
            </w:pPr>
          </w:p>
        </w:tc>
      </w:tr>
      <w:tr>
        <w:trPr>
          <w:trHeight w:val="206"/>
        </w:trPr>
        <w:tc>
          <w:tcPr>
            <w:tcW w:w="4760" w:type="dxa"/>
            <w:vAlign w:val="bottom"/>
          </w:tcPr>
          <w:p>
            <w:pPr>
              <w:ind w:left="2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2,287</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1,442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4,676</w:t>
            </w: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261,341</w:t>
            </w:r>
          </w:p>
        </w:tc>
        <w:tc>
          <w:tcPr>
            <w:tcW w:w="540" w:type="dxa"/>
            <w:vAlign w:val="bottom"/>
            <w:gridSpan w:val="2"/>
            <w:shd w:val="clear" w:color="auto" w:fill="DBDBDB"/>
          </w:tcPr>
          <w:p>
            <w:pPr>
              <w:jc w:val="right"/>
              <w:ind w:right="3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208,643</w:t>
            </w:r>
          </w:p>
        </w:tc>
        <w:tc>
          <w:tcPr>
            <w:tcW w:w="44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508,183</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376,416</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 Margin</w:t>
      </w:r>
    </w:p>
    <w:p>
      <w:pPr>
        <w:spacing w:after="0" w:line="75"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15"/>
          <w:szCs w:val="15"/>
          <w:color w:val="auto"/>
        </w:rPr>
        <w:t>We define Adjusted EBITDA Margin as Adjusted EBITDA divided by revenue. Management believes that the presentation of Adjusted EBITDA Margin provides useful information to investors regarding the performance of our business. The following table provides unaudited reconciliations of Adjusted EBITDA Margin: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8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960" w:type="dxa"/>
            <w:vAlign w:val="bottom"/>
            <w:gridSpan w:val="4"/>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Three Months Ended</w:t>
            </w:r>
          </w:p>
        </w:tc>
        <w:tc>
          <w:tcPr>
            <w:tcW w:w="100" w:type="dxa"/>
            <w:vAlign w:val="bottom"/>
            <w:shd w:val="clear" w:color="auto" w:fill="1D2758"/>
          </w:tcPr>
          <w:p>
            <w:pPr>
              <w:spacing w:after="0"/>
              <w:rPr>
                <w:sz w:val="14"/>
                <w:szCs w:val="14"/>
                <w:color w:val="auto"/>
              </w:rPr>
            </w:pPr>
          </w:p>
        </w:tc>
        <w:tc>
          <w:tcPr>
            <w:tcW w:w="380" w:type="dxa"/>
            <w:vAlign w:val="bottom"/>
            <w:shd w:val="clear" w:color="auto" w:fill="1D2758"/>
          </w:tcPr>
          <w:p>
            <w:pPr>
              <w:spacing w:after="0"/>
              <w:rPr>
                <w:sz w:val="14"/>
                <w:szCs w:val="14"/>
                <w:color w:val="auto"/>
              </w:rPr>
            </w:pPr>
          </w:p>
        </w:tc>
        <w:tc>
          <w:tcPr>
            <w:tcW w:w="1980" w:type="dxa"/>
            <w:vAlign w:val="bottom"/>
            <w:gridSpan w:val="3"/>
            <w:shd w:val="clear" w:color="auto" w:fill="1D2758"/>
          </w:tcPr>
          <w:p>
            <w:pPr>
              <w:jc w:val="right"/>
              <w:ind w:right="20"/>
              <w:spacing w:after="0"/>
              <w:rPr>
                <w:sz w:val="20"/>
                <w:szCs w:val="20"/>
                <w:color w:val="auto"/>
              </w:rPr>
            </w:pPr>
            <w:r>
              <w:rPr>
                <w:rFonts w:ascii="Arial" w:cs="Arial" w:eastAsia="Arial" w:hAnsi="Arial"/>
                <w:sz w:val="15"/>
                <w:szCs w:val="15"/>
                <w:b w:val="1"/>
                <w:bCs w:val="1"/>
                <w:color w:val="FFFFFF"/>
              </w:rPr>
              <w:t>Six Months Ended</w:t>
            </w:r>
          </w:p>
        </w:tc>
        <w:tc>
          <w:tcPr>
            <w:tcW w:w="980" w:type="dxa"/>
            <w:vAlign w:val="bottom"/>
            <w:shd w:val="clear" w:color="auto" w:fill="1D2758"/>
          </w:tcPr>
          <w:p>
            <w:pPr>
              <w:spacing w:after="0"/>
              <w:rPr>
                <w:sz w:val="14"/>
                <w:szCs w:val="14"/>
                <w:color w:val="auto"/>
              </w:rPr>
            </w:pPr>
          </w:p>
        </w:tc>
      </w:tr>
      <w:tr>
        <w:trPr>
          <w:trHeight w:val="206"/>
        </w:trPr>
        <w:tc>
          <w:tcPr>
            <w:tcW w:w="44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800" w:type="dxa"/>
            <w:vAlign w:val="bottom"/>
            <w:gridSpan w:val="3"/>
            <w:shd w:val="clear" w:color="auto" w:fill="1D2758"/>
          </w:tcPr>
          <w:p>
            <w:pPr>
              <w:jc w:val="right"/>
              <w:ind w:right="200"/>
              <w:spacing w:after="0"/>
              <w:rPr>
                <w:sz w:val="20"/>
                <w:szCs w:val="20"/>
                <w:color w:val="auto"/>
              </w:rPr>
            </w:pPr>
            <w:r>
              <w:rPr>
                <w:rFonts w:ascii="Arial" w:cs="Arial" w:eastAsia="Arial" w:hAnsi="Arial"/>
                <w:sz w:val="15"/>
                <w:szCs w:val="15"/>
                <w:b w:val="1"/>
                <w:bCs w:val="1"/>
                <w:color w:val="FFFFFF"/>
              </w:rPr>
              <w:t>June 30,</w:t>
            </w:r>
          </w:p>
        </w:tc>
        <w:tc>
          <w:tcPr>
            <w:tcW w:w="11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80" w:type="dxa"/>
            <w:vAlign w:val="bottom"/>
            <w:gridSpan w:val="3"/>
            <w:shd w:val="clear" w:color="auto" w:fill="1D2758"/>
          </w:tcPr>
          <w:p>
            <w:pPr>
              <w:jc w:val="right"/>
              <w:ind w:right="380"/>
              <w:spacing w:after="0"/>
              <w:rPr>
                <w:sz w:val="20"/>
                <w:szCs w:val="20"/>
                <w:color w:val="auto"/>
              </w:rPr>
            </w:pPr>
            <w:r>
              <w:rPr>
                <w:rFonts w:ascii="Arial" w:cs="Arial" w:eastAsia="Arial" w:hAnsi="Arial"/>
                <w:sz w:val="15"/>
                <w:szCs w:val="15"/>
                <w:b w:val="1"/>
                <w:bCs w:val="1"/>
                <w:color w:val="FFFFFF"/>
              </w:rPr>
              <w:t>June 30,</w:t>
            </w:r>
          </w:p>
        </w:tc>
        <w:tc>
          <w:tcPr>
            <w:tcW w:w="980" w:type="dxa"/>
            <w:vAlign w:val="bottom"/>
            <w:shd w:val="clear" w:color="auto" w:fill="1D2758"/>
          </w:tcPr>
          <w:p>
            <w:pPr>
              <w:spacing w:after="0"/>
              <w:rPr>
                <w:sz w:val="17"/>
                <w:szCs w:val="17"/>
                <w:color w:val="auto"/>
              </w:rPr>
            </w:pPr>
          </w:p>
        </w:tc>
      </w:tr>
      <w:tr>
        <w:trPr>
          <w:trHeight w:val="206"/>
        </w:trPr>
        <w:tc>
          <w:tcPr>
            <w:tcW w:w="44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2023</w:t>
            </w:r>
          </w:p>
        </w:tc>
        <w:tc>
          <w:tcPr>
            <w:tcW w:w="12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16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640" w:type="dxa"/>
            <w:vAlign w:val="bottom"/>
            <w:shd w:val="clear" w:color="auto" w:fill="1D2758"/>
          </w:tcPr>
          <w:p>
            <w:pPr>
              <w:spacing w:after="0"/>
              <w:rPr>
                <w:sz w:val="17"/>
                <w:szCs w:val="17"/>
                <w:color w:val="auto"/>
              </w:rPr>
            </w:pPr>
          </w:p>
        </w:tc>
        <w:tc>
          <w:tcPr>
            <w:tcW w:w="9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w w:val="95"/>
              </w:rPr>
              <w:t>2022</w:t>
            </w:r>
          </w:p>
        </w:tc>
      </w:tr>
      <w:tr>
        <w:trPr>
          <w:trHeight w:val="206"/>
        </w:trPr>
        <w:tc>
          <w:tcPr>
            <w:tcW w:w="44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 (A)</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261,341</w:t>
            </w:r>
          </w:p>
        </w:tc>
        <w:tc>
          <w:tcPr>
            <w:tcW w:w="56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208,643</w:t>
            </w:r>
          </w:p>
        </w:tc>
        <w:tc>
          <w:tcPr>
            <w:tcW w:w="480" w:type="dxa"/>
            <w:vAlign w:val="bottom"/>
            <w:gridSpan w:val="2"/>
            <w:shd w:val="clear" w:color="auto" w:fill="DBDBDB"/>
          </w:tcPr>
          <w:p>
            <w:pPr>
              <w:jc w:val="right"/>
              <w:ind w:right="280"/>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508,183</w:t>
            </w:r>
          </w:p>
        </w:tc>
        <w:tc>
          <w:tcPr>
            <w:tcW w:w="720" w:type="dxa"/>
            <w:vAlign w:val="bottom"/>
            <w:gridSpan w:val="2"/>
            <w:shd w:val="clear" w:color="auto" w:fill="DBDBDB"/>
          </w:tcPr>
          <w:p>
            <w:pPr>
              <w:jc w:val="right"/>
              <w:ind w:right="54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376,416</w:t>
            </w:r>
          </w:p>
        </w:tc>
      </w:tr>
      <w:tr>
        <w:trPr>
          <w:trHeight w:val="206"/>
        </w:trPr>
        <w:tc>
          <w:tcPr>
            <w:tcW w:w="4480" w:type="dxa"/>
            <w:vAlign w:val="bottom"/>
          </w:tcPr>
          <w:p>
            <w:pPr>
              <w:ind w:left="20"/>
              <w:spacing w:after="0"/>
              <w:rPr>
                <w:sz w:val="20"/>
                <w:szCs w:val="20"/>
                <w:color w:val="auto"/>
              </w:rPr>
            </w:pPr>
            <w:r>
              <w:rPr>
                <w:rFonts w:ascii="Arial" w:cs="Arial" w:eastAsia="Arial" w:hAnsi="Arial"/>
                <w:sz w:val="15"/>
                <w:szCs w:val="15"/>
                <w:color w:val="auto"/>
              </w:rPr>
              <w:t>Revenue (B)</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03"/>
              <w:spacing w:after="0"/>
              <w:rPr>
                <w:sz w:val="20"/>
                <w:szCs w:val="20"/>
                <w:color w:val="auto"/>
              </w:rPr>
            </w:pPr>
            <w:r>
              <w:rPr>
                <w:rFonts w:ascii="Arial" w:cs="Arial" w:eastAsia="Arial" w:hAnsi="Arial"/>
                <w:sz w:val="15"/>
                <w:szCs w:val="15"/>
                <w:color w:val="auto"/>
              </w:rPr>
              <w:t>582,089</w:t>
            </w:r>
          </w:p>
        </w:tc>
        <w:tc>
          <w:tcPr>
            <w:tcW w:w="5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23"/>
              <w:spacing w:after="0"/>
              <w:rPr>
                <w:sz w:val="20"/>
                <w:szCs w:val="20"/>
                <w:color w:val="auto"/>
              </w:rPr>
            </w:pPr>
            <w:r>
              <w:rPr>
                <w:rFonts w:ascii="Arial" w:cs="Arial" w:eastAsia="Arial" w:hAnsi="Arial"/>
                <w:sz w:val="15"/>
                <w:szCs w:val="15"/>
                <w:color w:val="auto"/>
              </w:rPr>
              <w:t>522,890</w:t>
            </w:r>
          </w:p>
        </w:tc>
        <w:tc>
          <w:tcPr>
            <w:tcW w:w="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1,147,557</w:t>
            </w:r>
          </w:p>
        </w:tc>
        <w:tc>
          <w:tcPr>
            <w:tcW w:w="72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23"/>
              <w:spacing w:after="0"/>
              <w:rPr>
                <w:sz w:val="20"/>
                <w:szCs w:val="20"/>
                <w:color w:val="auto"/>
              </w:rPr>
            </w:pPr>
            <w:r>
              <w:rPr>
                <w:rFonts w:ascii="Arial" w:cs="Arial" w:eastAsia="Arial" w:hAnsi="Arial"/>
                <w:sz w:val="15"/>
                <w:szCs w:val="15"/>
                <w:color w:val="auto"/>
              </w:rPr>
              <w:t>974,061</w:t>
            </w:r>
          </w:p>
        </w:tc>
      </w:tr>
      <w:tr>
        <w:trPr>
          <w:trHeight w:val="199"/>
        </w:trPr>
        <w:tc>
          <w:tcPr>
            <w:tcW w:w="44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Adjusted EBITDA Margin from Continuing Operations (A/B)</w:t>
            </w:r>
          </w:p>
        </w:tc>
        <w:tc>
          <w:tcPr>
            <w:tcW w:w="360" w:type="dxa"/>
            <w:vAlign w:val="bottom"/>
            <w:tcBorders>
              <w:top w:val="single" w:sz="8" w:color="auto"/>
              <w:bottom w:val="single" w:sz="8" w:color="auto"/>
            </w:tcBorders>
            <w:shd w:val="clear" w:color="auto" w:fill="DBDBDB"/>
          </w:tcPr>
          <w:p>
            <w:pPr>
              <w:spacing w:after="0"/>
              <w:rPr>
                <w:sz w:val="17"/>
                <w:szCs w:val="17"/>
                <w:color w:val="auto"/>
              </w:rPr>
            </w:pP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44.9 %</w:t>
            </w:r>
          </w:p>
        </w:tc>
        <w:tc>
          <w:tcPr>
            <w:tcW w:w="120" w:type="dxa"/>
            <w:vAlign w:val="bottom"/>
            <w:tcBorders>
              <w:bottom w:val="single" w:sz="8" w:color="DBDBDB"/>
            </w:tcBorders>
            <w:shd w:val="clear" w:color="auto" w:fill="DBDBDB"/>
          </w:tcPr>
          <w:p>
            <w:pPr>
              <w:spacing w:after="0"/>
              <w:rPr>
                <w:sz w:val="17"/>
                <w:szCs w:val="17"/>
                <w:color w:val="auto"/>
              </w:rPr>
            </w:pPr>
          </w:p>
        </w:tc>
        <w:tc>
          <w:tcPr>
            <w:tcW w:w="440" w:type="dxa"/>
            <w:vAlign w:val="bottom"/>
            <w:tcBorders>
              <w:top w:val="single" w:sz="8" w:color="auto"/>
              <w:bottom w:val="single" w:sz="8" w:color="auto"/>
            </w:tcBorders>
            <w:shd w:val="clear" w:color="auto" w:fill="DBDBDB"/>
          </w:tcPr>
          <w:p>
            <w:pPr>
              <w:spacing w:after="0"/>
              <w:rPr>
                <w:sz w:val="17"/>
                <w:szCs w:val="17"/>
                <w:color w:val="auto"/>
              </w:rPr>
            </w:pP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39.9 %</w:t>
            </w:r>
          </w:p>
        </w:tc>
        <w:tc>
          <w:tcPr>
            <w:tcW w:w="10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top w:val="single" w:sz="8" w:color="auto"/>
              <w:bottom w:val="single" w:sz="8" w:color="auto"/>
            </w:tcBorders>
            <w:shd w:val="clear" w:color="auto" w:fill="DBDBDB"/>
          </w:tcPr>
          <w:p>
            <w:pPr>
              <w:spacing w:after="0"/>
              <w:rPr>
                <w:sz w:val="17"/>
                <w:szCs w:val="17"/>
                <w:color w:val="auto"/>
              </w:rPr>
            </w:pP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44.3 %</w:t>
            </w:r>
          </w:p>
        </w:tc>
        <w:tc>
          <w:tcPr>
            <w:tcW w:w="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top w:val="single" w:sz="8" w:color="auto"/>
              <w:bottom w:val="single" w:sz="8" w:color="auto"/>
            </w:tcBorders>
            <w:shd w:val="clear" w:color="auto" w:fill="DBDBDB"/>
          </w:tcPr>
          <w:p>
            <w:pPr>
              <w:spacing w:after="0"/>
              <w:rPr>
                <w:sz w:val="17"/>
                <w:szCs w:val="17"/>
                <w:color w:val="auto"/>
              </w:rPr>
            </w:pP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38.6 %</w:t>
            </w:r>
          </w:p>
        </w:tc>
      </w:tr>
      <w:tr>
        <w:trPr>
          <w:trHeight w:val="196"/>
        </w:trPr>
        <w:tc>
          <w:tcPr>
            <w:tcW w:w="4480" w:type="dxa"/>
            <w:vAlign w:val="bottom"/>
          </w:tcPr>
          <w:p>
            <w:pPr>
              <w:ind w:left="20"/>
              <w:spacing w:after="0"/>
              <w:rPr>
                <w:sz w:val="20"/>
                <w:szCs w:val="20"/>
                <w:color w:val="auto"/>
              </w:rPr>
            </w:pPr>
            <w:r>
              <w:rPr>
                <w:rFonts w:ascii="Arial" w:cs="Arial" w:eastAsia="Arial" w:hAnsi="Arial"/>
                <w:sz w:val="15"/>
                <w:szCs w:val="15"/>
                <w:color w:val="auto"/>
              </w:rPr>
              <w:t>Income from continuing operations (C)</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03"/>
              <w:spacing w:after="0"/>
              <w:rPr>
                <w:sz w:val="20"/>
                <w:szCs w:val="20"/>
                <w:color w:val="auto"/>
              </w:rPr>
            </w:pPr>
            <w:r>
              <w:rPr>
                <w:rFonts w:ascii="Arial" w:cs="Arial" w:eastAsia="Arial" w:hAnsi="Arial"/>
                <w:sz w:val="15"/>
                <w:szCs w:val="15"/>
                <w:color w:val="auto"/>
              </w:rPr>
              <w:t>87,729</w:t>
            </w:r>
          </w:p>
        </w:tc>
        <w:tc>
          <w:tcPr>
            <w:tcW w:w="5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23"/>
              <w:spacing w:after="0"/>
              <w:rPr>
                <w:sz w:val="20"/>
                <w:szCs w:val="20"/>
                <w:color w:val="auto"/>
              </w:rPr>
            </w:pPr>
            <w:r>
              <w:rPr>
                <w:rFonts w:ascii="Arial" w:cs="Arial" w:eastAsia="Arial" w:hAnsi="Arial"/>
                <w:sz w:val="15"/>
                <w:szCs w:val="15"/>
                <w:color w:val="auto"/>
              </w:rPr>
              <w:t>60,099</w:t>
            </w:r>
          </w:p>
        </w:tc>
        <w:tc>
          <w:tcPr>
            <w:tcW w:w="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3"/>
              <w:spacing w:after="0"/>
              <w:rPr>
                <w:sz w:val="20"/>
                <w:szCs w:val="20"/>
                <w:color w:val="auto"/>
              </w:rPr>
            </w:pPr>
            <w:r>
              <w:rPr>
                <w:rFonts w:ascii="Arial" w:cs="Arial" w:eastAsia="Arial" w:hAnsi="Arial"/>
                <w:sz w:val="15"/>
                <w:szCs w:val="15"/>
                <w:color w:val="auto"/>
              </w:rPr>
              <w:t>164,000</w:t>
            </w:r>
          </w:p>
        </w:tc>
        <w:tc>
          <w:tcPr>
            <w:tcW w:w="72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23"/>
              <w:spacing w:after="0"/>
              <w:rPr>
                <w:sz w:val="20"/>
                <w:szCs w:val="20"/>
                <w:color w:val="auto"/>
              </w:rPr>
            </w:pPr>
            <w:r>
              <w:rPr>
                <w:rFonts w:ascii="Arial" w:cs="Arial" w:eastAsia="Arial" w:hAnsi="Arial"/>
                <w:sz w:val="15"/>
                <w:szCs w:val="15"/>
                <w:color w:val="auto"/>
              </w:rPr>
              <w:t>99,147</w:t>
            </w:r>
          </w:p>
        </w:tc>
      </w:tr>
      <w:tr>
        <w:trPr>
          <w:trHeight w:val="209"/>
        </w:trPr>
        <w:tc>
          <w:tcPr>
            <w:tcW w:w="44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Continuing Operations Margin (C/B)</w:t>
            </w: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15.1 %</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11.5 %</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14.3 %</w:t>
            </w: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Adjusted Gross Profit and Adjusted Gross Profit Percentage</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and assists in analyzing the performance of our business.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unaudited reconciliations of gross profit to Adjusted Gross Profit and Adjusted Gross Profit Percentage: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3080" w:type="dxa"/>
            <w:vAlign w:val="bottom"/>
            <w:gridSpan w:val="3"/>
            <w:shd w:val="clear" w:color="auto" w:fill="1D2758"/>
          </w:tcPr>
          <w:p>
            <w:pPr>
              <w:jc w:val="center"/>
              <w:ind w:right="283"/>
              <w:spacing w:after="0"/>
              <w:rPr>
                <w:sz w:val="20"/>
                <w:szCs w:val="20"/>
                <w:color w:val="auto"/>
              </w:rPr>
            </w:pPr>
            <w:r>
              <w:rPr>
                <w:rFonts w:ascii="Arial" w:cs="Arial" w:eastAsia="Arial" w:hAnsi="Arial"/>
                <w:sz w:val="15"/>
                <w:szCs w:val="15"/>
                <w:b w:val="1"/>
                <w:bCs w:val="1"/>
                <w:color w:val="FFFFFF"/>
              </w:rPr>
              <w:t>Three Months Ended</w:t>
            </w:r>
          </w:p>
        </w:tc>
        <w:tc>
          <w:tcPr>
            <w:tcW w:w="540" w:type="dxa"/>
            <w:vAlign w:val="bottom"/>
            <w:shd w:val="clear" w:color="auto" w:fill="1D2758"/>
          </w:tcPr>
          <w:p>
            <w:pPr>
              <w:spacing w:after="0"/>
              <w:rPr>
                <w:sz w:val="14"/>
                <w:szCs w:val="14"/>
                <w:color w:val="auto"/>
              </w:rPr>
            </w:pPr>
          </w:p>
        </w:tc>
        <w:tc>
          <w:tcPr>
            <w:tcW w:w="2060" w:type="dxa"/>
            <w:vAlign w:val="bottom"/>
            <w:gridSpan w:val="2"/>
            <w:shd w:val="clear" w:color="auto" w:fill="1D2758"/>
          </w:tcPr>
          <w:p>
            <w:pPr>
              <w:jc w:val="center"/>
              <w:ind w:left="583"/>
              <w:spacing w:after="0"/>
              <w:rPr>
                <w:sz w:val="20"/>
                <w:szCs w:val="20"/>
                <w:color w:val="auto"/>
              </w:rPr>
            </w:pPr>
            <w:r>
              <w:rPr>
                <w:rFonts w:ascii="Arial" w:cs="Arial" w:eastAsia="Arial" w:hAnsi="Arial"/>
                <w:sz w:val="15"/>
                <w:szCs w:val="15"/>
                <w:b w:val="1"/>
                <w:bCs w:val="1"/>
                <w:color w:val="FFFFFF"/>
              </w:rPr>
              <w:t>Six Months Ended</w:t>
            </w:r>
          </w:p>
        </w:tc>
        <w:tc>
          <w:tcPr>
            <w:tcW w:w="1060" w:type="dxa"/>
            <w:vAlign w:val="bottom"/>
            <w:shd w:val="clear" w:color="auto" w:fill="1D2758"/>
          </w:tcPr>
          <w:p>
            <w:pPr>
              <w:spacing w:after="0"/>
              <w:rPr>
                <w:sz w:val="14"/>
                <w:szCs w:val="14"/>
                <w:color w:val="auto"/>
              </w:rPr>
            </w:pPr>
          </w:p>
        </w:tc>
      </w:tr>
      <w:tr>
        <w:trPr>
          <w:trHeight w:val="206"/>
        </w:trPr>
        <w:tc>
          <w:tcPr>
            <w:tcW w:w="4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880" w:type="dxa"/>
            <w:vAlign w:val="bottom"/>
            <w:gridSpan w:val="2"/>
            <w:shd w:val="clear" w:color="auto" w:fill="1D2758"/>
          </w:tcPr>
          <w:p>
            <w:pPr>
              <w:jc w:val="center"/>
              <w:ind w:left="783"/>
              <w:spacing w:after="0"/>
              <w:rPr>
                <w:sz w:val="20"/>
                <w:szCs w:val="20"/>
                <w:color w:val="auto"/>
              </w:rPr>
            </w:pPr>
            <w:r>
              <w:rPr>
                <w:rFonts w:ascii="Arial" w:cs="Arial" w:eastAsia="Arial" w:hAnsi="Arial"/>
                <w:sz w:val="15"/>
                <w:szCs w:val="15"/>
                <w:b w:val="1"/>
                <w:bCs w:val="1"/>
                <w:color w:val="FFFFFF"/>
              </w:rPr>
              <w:t>June 30,</w:t>
            </w:r>
          </w:p>
        </w:tc>
        <w:tc>
          <w:tcPr>
            <w:tcW w:w="1200" w:type="dxa"/>
            <w:vAlign w:val="bottom"/>
            <w:shd w:val="clear" w:color="auto" w:fill="1D2758"/>
          </w:tcPr>
          <w:p>
            <w:pPr>
              <w:spacing w:after="0"/>
              <w:rPr>
                <w:sz w:val="17"/>
                <w:szCs w:val="17"/>
                <w:color w:val="auto"/>
              </w:rPr>
            </w:pPr>
          </w:p>
        </w:tc>
        <w:tc>
          <w:tcPr>
            <w:tcW w:w="540" w:type="dxa"/>
            <w:vAlign w:val="bottom"/>
            <w:shd w:val="clear" w:color="auto" w:fill="1D2758"/>
          </w:tcPr>
          <w:p>
            <w:pPr>
              <w:spacing w:after="0"/>
              <w:rPr>
                <w:sz w:val="17"/>
                <w:szCs w:val="17"/>
                <w:color w:val="auto"/>
              </w:rPr>
            </w:pPr>
          </w:p>
        </w:tc>
        <w:tc>
          <w:tcPr>
            <w:tcW w:w="2060" w:type="dxa"/>
            <w:vAlign w:val="bottom"/>
            <w:gridSpan w:val="2"/>
            <w:shd w:val="clear" w:color="auto" w:fill="1D2758"/>
          </w:tcPr>
          <w:p>
            <w:pPr>
              <w:jc w:val="center"/>
              <w:ind w:left="583"/>
              <w:spacing w:after="0"/>
              <w:rPr>
                <w:sz w:val="20"/>
                <w:szCs w:val="20"/>
                <w:color w:val="auto"/>
              </w:rPr>
            </w:pPr>
            <w:r>
              <w:rPr>
                <w:rFonts w:ascii="Arial" w:cs="Arial" w:eastAsia="Arial" w:hAnsi="Arial"/>
                <w:sz w:val="15"/>
                <w:szCs w:val="15"/>
                <w:b w:val="1"/>
                <w:bCs w:val="1"/>
                <w:color w:val="FFFFFF"/>
                <w:w w:val="99"/>
              </w:rPr>
              <w:t>June 30,</w:t>
            </w:r>
          </w:p>
        </w:tc>
        <w:tc>
          <w:tcPr>
            <w:tcW w:w="1060" w:type="dxa"/>
            <w:vAlign w:val="bottom"/>
            <w:shd w:val="clear" w:color="auto" w:fill="1D2758"/>
          </w:tcPr>
          <w:p>
            <w:pPr>
              <w:spacing w:after="0"/>
              <w:rPr>
                <w:sz w:val="17"/>
                <w:szCs w:val="17"/>
                <w:color w:val="auto"/>
              </w:rPr>
            </w:pPr>
          </w:p>
        </w:tc>
      </w:tr>
      <w:tr>
        <w:trPr>
          <w:trHeight w:val="206"/>
        </w:trPr>
        <w:tc>
          <w:tcPr>
            <w:tcW w:w="4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60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54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2023</w:t>
            </w:r>
          </w:p>
        </w:tc>
        <w:tc>
          <w:tcPr>
            <w:tcW w:w="78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 (A)</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582,089</w:t>
            </w:r>
          </w:p>
        </w:tc>
        <w:tc>
          <w:tcPr>
            <w:tcW w:w="6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522,890</w:t>
            </w:r>
          </w:p>
        </w:tc>
        <w:tc>
          <w:tcPr>
            <w:tcW w:w="5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1,147,557</w:t>
            </w:r>
          </w:p>
        </w:tc>
        <w:tc>
          <w:tcPr>
            <w:tcW w:w="780" w:type="dxa"/>
            <w:vAlign w:val="bottom"/>
            <w:shd w:val="clear" w:color="auto" w:fill="DBDBDB"/>
          </w:tcPr>
          <w:p>
            <w:pPr>
              <w:jc w:val="right"/>
              <w:ind w:right="4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974,061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138670" cy="1308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80" w:type="dxa"/>
            <w:vAlign w:val="bottom"/>
          </w:tcPr>
          <w:p>
            <w:pPr>
              <w:spacing w:after="0"/>
              <w:rPr>
                <w:sz w:val="20"/>
                <w:szCs w:val="20"/>
                <w:color w:val="auto"/>
              </w:rPr>
            </w:pPr>
            <w:r>
              <w:rPr>
                <w:rFonts w:ascii="Arial" w:cs="Arial" w:eastAsia="Arial" w:hAnsi="Arial"/>
                <w:sz w:val="15"/>
                <w:szCs w:val="15"/>
                <w:color w:val="auto"/>
              </w:rPr>
              <w:t>Gross profit (B)</w:t>
            </w: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327,872</w:t>
            </w:r>
          </w:p>
        </w:tc>
      </w:tr>
      <w:tr>
        <w:trPr>
          <w:trHeight w:val="206"/>
        </w:trPr>
        <w:tc>
          <w:tcPr>
            <w:tcW w:w="4080" w:type="dxa"/>
            <w:vAlign w:val="bottom"/>
          </w:tcPr>
          <w:p>
            <w:pPr>
              <w:spacing w:after="0"/>
              <w:rPr>
                <w:sz w:val="20"/>
                <w:szCs w:val="20"/>
                <w:color w:val="auto"/>
              </w:rPr>
            </w:pPr>
            <w:r>
              <w:rPr>
                <w:rFonts w:ascii="Arial" w:cs="Arial" w:eastAsia="Arial" w:hAnsi="Arial"/>
                <w:sz w:val="15"/>
                <w:szCs w:val="15"/>
                <w:color w:val="auto"/>
              </w:rPr>
              <w:t>Depreciation of rental equipment</w:t>
            </w: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64,450</w:t>
            </w:r>
          </w:p>
        </w:tc>
      </w:tr>
      <w:tr>
        <w:trPr>
          <w:trHeight w:val="202"/>
        </w:trPr>
        <w:tc>
          <w:tcPr>
            <w:tcW w:w="4080" w:type="dxa"/>
            <w:vAlign w:val="bottom"/>
          </w:tcPr>
          <w:p>
            <w:pPr>
              <w:ind w:left="200"/>
              <w:spacing w:after="0"/>
              <w:rPr>
                <w:sz w:val="20"/>
                <w:szCs w:val="20"/>
                <w:color w:val="auto"/>
              </w:rPr>
            </w:pPr>
            <w:r>
              <w:rPr>
                <w:rFonts w:ascii="Arial" w:cs="Arial" w:eastAsia="Arial" w:hAnsi="Arial"/>
                <w:sz w:val="15"/>
                <w:szCs w:val="15"/>
                <w:color w:val="auto"/>
              </w:rPr>
              <w:t>Adjusted Gross Profit (C)</w:t>
            </w: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392,322</w:t>
            </w:r>
          </w:p>
        </w:tc>
      </w:tr>
      <w:tr>
        <w:trPr>
          <w:trHeight w:val="21"/>
        </w:trPr>
        <w:tc>
          <w:tcPr>
            <w:tcW w:w="4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138670" cy="147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54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275,213</w:t>
            </w:r>
          </w:p>
        </w:tc>
        <w:tc>
          <w:tcPr>
            <w:tcW w:w="6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651,000</w:t>
            </w:r>
          </w:p>
        </w:tc>
        <w:tc>
          <w:tcPr>
            <w:tcW w:w="6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509,274</w:t>
            </w:r>
          </w:p>
        </w:tc>
      </w:tr>
      <w:tr>
        <w:trPr>
          <w:trHeight w:val="209"/>
        </w:trPr>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63,230</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123,606</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120,778</w:t>
            </w:r>
          </w:p>
        </w:tc>
      </w:tr>
      <w:tr>
        <w:trPr>
          <w:trHeight w:val="199"/>
        </w:trPr>
        <w:tc>
          <w:tcPr>
            <w:tcW w:w="5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338,443</w:t>
            </w:r>
          </w:p>
        </w:tc>
        <w:tc>
          <w:tcPr>
            <w:tcW w:w="6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774,606</w:t>
            </w:r>
          </w:p>
        </w:tc>
        <w:tc>
          <w:tcPr>
            <w:tcW w:w="6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630,052</w:t>
            </w: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80"/>
            <w:col w:w="5340"/>
          </w:cols>
          <w:pgMar w:left="320" w:top="1047" w:right="33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Percentage (B/A)</w:t>
            </w:r>
          </w:p>
        </w:tc>
        <w:tc>
          <w:tcPr>
            <w:tcW w:w="244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56.3 %</w:t>
            </w:r>
          </w:p>
        </w:tc>
        <w:tc>
          <w:tcPr>
            <w:tcW w:w="1820" w:type="dxa"/>
            <w:vAlign w:val="bottom"/>
            <w:shd w:val="clear" w:color="auto" w:fill="DBDBDB"/>
          </w:tcPr>
          <w:p>
            <w:pPr>
              <w:jc w:val="right"/>
              <w:ind w:right="603"/>
              <w:spacing w:after="0"/>
              <w:rPr>
                <w:sz w:val="20"/>
                <w:szCs w:val="20"/>
                <w:color w:val="auto"/>
              </w:rPr>
            </w:pPr>
            <w:r>
              <w:rPr>
                <w:rFonts w:ascii="Arial" w:cs="Arial" w:eastAsia="Arial" w:hAnsi="Arial"/>
                <w:sz w:val="15"/>
                <w:szCs w:val="15"/>
                <w:color w:val="auto"/>
              </w:rPr>
              <w:t>52.6 %</w:t>
            </w:r>
          </w:p>
        </w:tc>
        <w:tc>
          <w:tcPr>
            <w:tcW w:w="180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56.7 %</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52.3 %</w:t>
            </w:r>
          </w:p>
        </w:tc>
      </w:tr>
      <w:tr>
        <w:trPr>
          <w:trHeight w:val="201"/>
        </w:trPr>
        <w:tc>
          <w:tcPr>
            <w:tcW w:w="4020" w:type="dxa"/>
            <w:vAlign w:val="bottom"/>
          </w:tcPr>
          <w:p>
            <w:pPr>
              <w:ind w:left="20"/>
              <w:spacing w:after="0"/>
              <w:rPr>
                <w:sz w:val="20"/>
                <w:szCs w:val="20"/>
                <w:color w:val="auto"/>
              </w:rPr>
            </w:pPr>
            <w:r>
              <w:rPr>
                <w:rFonts w:ascii="Arial" w:cs="Arial" w:eastAsia="Arial" w:hAnsi="Arial"/>
                <w:sz w:val="15"/>
                <w:szCs w:val="15"/>
                <w:color w:val="auto"/>
              </w:rPr>
              <w:t>Adjusted Gross Profit Percentage (C/A)</w:t>
            </w:r>
          </w:p>
        </w:tc>
        <w:tc>
          <w:tcPr>
            <w:tcW w:w="2440" w:type="dxa"/>
            <w:vAlign w:val="bottom"/>
          </w:tcPr>
          <w:p>
            <w:pPr>
              <w:jc w:val="right"/>
              <w:ind w:right="583"/>
              <w:spacing w:after="0"/>
              <w:rPr>
                <w:sz w:val="20"/>
                <w:szCs w:val="20"/>
                <w:color w:val="auto"/>
              </w:rPr>
            </w:pPr>
            <w:r>
              <w:rPr>
                <w:rFonts w:ascii="Arial" w:cs="Arial" w:eastAsia="Arial" w:hAnsi="Arial"/>
                <w:sz w:val="15"/>
                <w:szCs w:val="15"/>
                <w:color w:val="auto"/>
              </w:rPr>
              <w:t>67.4 %</w:t>
            </w:r>
          </w:p>
        </w:tc>
        <w:tc>
          <w:tcPr>
            <w:tcW w:w="1820" w:type="dxa"/>
            <w:vAlign w:val="bottom"/>
          </w:tcPr>
          <w:p>
            <w:pPr>
              <w:jc w:val="right"/>
              <w:ind w:right="603"/>
              <w:spacing w:after="0"/>
              <w:rPr>
                <w:sz w:val="20"/>
                <w:szCs w:val="20"/>
                <w:color w:val="auto"/>
              </w:rPr>
            </w:pPr>
            <w:r>
              <w:rPr>
                <w:rFonts w:ascii="Arial" w:cs="Arial" w:eastAsia="Arial" w:hAnsi="Arial"/>
                <w:sz w:val="15"/>
                <w:szCs w:val="15"/>
                <w:color w:val="auto"/>
              </w:rPr>
              <w:t>64.7 %</w:t>
            </w:r>
          </w:p>
        </w:tc>
        <w:tc>
          <w:tcPr>
            <w:tcW w:w="1800" w:type="dxa"/>
            <w:vAlign w:val="bottom"/>
          </w:tcPr>
          <w:p>
            <w:pPr>
              <w:jc w:val="right"/>
              <w:ind w:right="583"/>
              <w:spacing w:after="0"/>
              <w:rPr>
                <w:sz w:val="20"/>
                <w:szCs w:val="20"/>
                <w:color w:val="auto"/>
              </w:rPr>
            </w:pPr>
            <w:r>
              <w:rPr>
                <w:rFonts w:ascii="Arial" w:cs="Arial" w:eastAsia="Arial" w:hAnsi="Arial"/>
                <w:sz w:val="15"/>
                <w:szCs w:val="15"/>
                <w:color w:val="auto"/>
              </w:rPr>
              <w:t>67.5 %</w:t>
            </w:r>
          </w:p>
        </w:tc>
        <w:tc>
          <w:tcPr>
            <w:tcW w:w="1160" w:type="dxa"/>
            <w:vAlign w:val="bottom"/>
          </w:tcPr>
          <w:p>
            <w:pPr>
              <w:jc w:val="right"/>
              <w:spacing w:after="0"/>
              <w:rPr>
                <w:sz w:val="20"/>
                <w:szCs w:val="20"/>
                <w:color w:val="auto"/>
              </w:rPr>
            </w:pPr>
            <w:r>
              <w:rPr>
                <w:rFonts w:ascii="Arial" w:cs="Arial" w:eastAsia="Arial" w:hAnsi="Arial"/>
                <w:sz w:val="15"/>
                <w:szCs w:val="15"/>
                <w:color w:val="auto"/>
              </w:rPr>
              <w:t>64.7 %</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As presented below, Net CAPEX includes amounts for the former Tank and Pump segment through September 30, 2022 and the former UK Storage Solutions segment through January 31, 2023.</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provide unaudited reconciliations of Net CAPEX:</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2840" w:type="dxa"/>
            <w:vAlign w:val="bottom"/>
            <w:gridSpan w:val="4"/>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Three Months Ended</w:t>
            </w:r>
          </w:p>
        </w:tc>
        <w:tc>
          <w:tcPr>
            <w:tcW w:w="10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2840" w:type="dxa"/>
            <w:vAlign w:val="bottom"/>
            <w:gridSpan w:val="3"/>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r>
      <w:tr>
        <w:trPr>
          <w:trHeight w:val="206"/>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72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720" w:type="dxa"/>
            <w:vAlign w:val="bottom"/>
            <w:gridSpan w:val="2"/>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7"/>
                <w:szCs w:val="17"/>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2023</w:t>
            </w:r>
          </w:p>
        </w:tc>
        <w:tc>
          <w:tcPr>
            <w:tcW w:w="48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purchases of rental equipment and refurbishments</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(55,581)</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(130,153)</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(102,709)</w:t>
            </w:r>
          </w:p>
        </w:tc>
        <w:tc>
          <w:tcPr>
            <w:tcW w:w="48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(225,389)</w:t>
            </w:r>
          </w:p>
        </w:tc>
      </w:tr>
      <w:tr>
        <w:trPr>
          <w:trHeight w:val="203"/>
        </w:trPr>
        <w:tc>
          <w:tcPr>
            <w:tcW w:w="4740" w:type="dxa"/>
            <w:vAlign w:val="bottom"/>
          </w:tcPr>
          <w:p>
            <w:pPr>
              <w:ind w:left="20"/>
              <w:spacing w:after="0"/>
              <w:rPr>
                <w:sz w:val="20"/>
                <w:szCs w:val="20"/>
                <w:color w:val="auto"/>
              </w:rPr>
            </w:pPr>
            <w:r>
              <w:rPr>
                <w:rFonts w:ascii="Arial" w:cs="Arial" w:eastAsia="Arial" w:hAnsi="Arial"/>
                <w:sz w:val="15"/>
                <w:szCs w:val="15"/>
                <w:color w:val="auto"/>
              </w:rPr>
              <w:t>Total proceeds from sale of rental equipment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17,473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20,526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25,254</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35,080</w:t>
            </w:r>
          </w:p>
        </w:tc>
      </w:tr>
      <w:tr>
        <w:trPr>
          <w:trHeight w:val="202"/>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(38,108)</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(109,627)</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(77,455)</w:t>
            </w:r>
          </w:p>
        </w:tc>
        <w:tc>
          <w:tcPr>
            <w:tcW w:w="48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(190,309)</w:t>
            </w:r>
          </w:p>
        </w:tc>
      </w:tr>
      <w:tr>
        <w:trPr>
          <w:trHeight w:val="203"/>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(4,453)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(11,189)</w:t>
            </w: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(20,253)</w:t>
            </w:r>
          </w:p>
        </w:tc>
      </w:tr>
      <w:tr>
        <w:trPr>
          <w:trHeight w:val="206"/>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DBDBDB"/>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491</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265</w:t>
            </w:r>
          </w:p>
        </w:tc>
        <w:tc>
          <w:tcPr>
            <w:tcW w:w="48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751</w:t>
            </w:r>
          </w:p>
        </w:tc>
      </w:tr>
      <w:tr>
        <w:trPr>
          <w:trHeight w:val="199"/>
        </w:trPr>
        <w:tc>
          <w:tcPr>
            <w:tcW w:w="474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(42,554)</w:t>
            </w:r>
          </w:p>
        </w:tc>
        <w:tc>
          <w:tcPr>
            <w:tcW w:w="5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(118,908)</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(88,379)</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(209,811)</w:t>
            </w:r>
          </w:p>
        </w:tc>
      </w:tr>
      <w:tr>
        <w:trPr>
          <w:trHeight w:val="21"/>
        </w:trPr>
        <w:tc>
          <w:tcPr>
            <w:tcW w:w="4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WillScot Mobile Mini is a holding company that derives its operating cash flow from its operating subsidiaries. Our principal sources of liquidity include cash generated by operating activities from our subsidiaries, borrowings under our ABL Facility, and sales of equity and debt securities. We believe that our liquidity sources and operating cash flows are sufficient to address our operating, debt service and capital requirements over the next twelve months.</w:t>
      </w:r>
    </w:p>
    <w:p>
      <w:pPr>
        <w:spacing w:after="0" w:line="1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44" w:name="page45"/>
    <w:bookmarkEnd w:id="44"/>
    <w:p>
      <w:pPr>
        <w:jc w:val="both"/>
        <w:ind w:firstLine="619"/>
        <w:spacing w:after="0" w:line="263" w:lineRule="auto"/>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2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and the applicable borrowing bases. The borrowing bases are a function of, among other things, the value of the assets in the relevant collateral pool, of which our rental equipment represents the largest component. At June 30, 2023, we had $1.0 billion of available borrowing capacity under the ABL Facility.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Comparison of the Six Months Ended June 30, 2023 and 2022</w:t>
      </w:r>
    </w:p>
    <w:p>
      <w:pPr>
        <w:spacing w:after="0" w:line="12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Significant factors driving our liquidity include cash flows generated from operating activities and capital expenditures. Our ability to fund our capital needs will be affected by our ongoing ability to generate cash from operations and access to capital markets.</w:t>
      </w:r>
    </w:p>
    <w:p>
      <w:pPr>
        <w:spacing w:after="0" w:line="1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consolidated statements of cash flows include amounts for the former Tank and Pump segment through September 30, 2022 and the former UK Storage Solutions segment through January 31, 2023. See Note 3 to the financial statements for disclosure of significant operating and investing items related to the former Tank and Pump and former UK Storage Solutions segments.</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summarizes our change in cash and cash equivalents for the periods presented: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6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140" w:type="dxa"/>
            <w:vAlign w:val="bottom"/>
            <w:gridSpan w:val="3"/>
            <w:shd w:val="clear" w:color="auto" w:fill="1D2758"/>
          </w:tcPr>
          <w:p>
            <w:pPr>
              <w:jc w:val="right"/>
              <w:ind w:right="40"/>
              <w:spacing w:after="0"/>
              <w:rPr>
                <w:sz w:val="20"/>
                <w:szCs w:val="20"/>
                <w:color w:val="auto"/>
              </w:rPr>
            </w:pPr>
            <w:r>
              <w:rPr>
                <w:rFonts w:ascii="Arial" w:cs="Arial" w:eastAsia="Arial" w:hAnsi="Arial"/>
                <w:sz w:val="15"/>
                <w:szCs w:val="15"/>
                <w:b w:val="1"/>
                <w:bCs w:val="1"/>
                <w:color w:val="FFFFFF"/>
              </w:rPr>
              <w:t>Six Months Ended</w:t>
            </w:r>
          </w:p>
        </w:tc>
        <w:tc>
          <w:tcPr>
            <w:tcW w:w="11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2140" w:type="dxa"/>
            <w:vAlign w:val="bottom"/>
            <w:gridSpan w:val="3"/>
            <w:shd w:val="clear" w:color="auto" w:fill="1D2758"/>
          </w:tcPr>
          <w:p>
            <w:pPr>
              <w:jc w:val="right"/>
              <w:ind w:right="400"/>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60" w:type="dxa"/>
            <w:vAlign w:val="bottom"/>
            <w:vMerge w:val="continue"/>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36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20" w:type="dxa"/>
            <w:vAlign w:val="bottom"/>
            <w:shd w:val="clear" w:color="auto" w:fill="1D2758"/>
          </w:tcPr>
          <w:p>
            <w:pPr>
              <w:spacing w:after="0"/>
              <w:rPr>
                <w:sz w:val="18"/>
                <w:szCs w:val="18"/>
                <w:color w:val="auto"/>
              </w:rPr>
            </w:pPr>
          </w:p>
        </w:tc>
        <w:tc>
          <w:tcPr>
            <w:tcW w:w="660" w:type="dxa"/>
            <w:vAlign w:val="bottom"/>
            <w:shd w:val="clear" w:color="auto" w:fill="1D2758"/>
          </w:tcPr>
          <w:p>
            <w:pPr>
              <w:spacing w:after="0"/>
              <w:rPr>
                <w:sz w:val="18"/>
                <w:szCs w:val="18"/>
                <w:color w:val="auto"/>
              </w:rPr>
            </w:pPr>
          </w:p>
        </w:tc>
        <w:tc>
          <w:tcPr>
            <w:tcW w:w="112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84"/>
        </w:trPr>
        <w:tc>
          <w:tcPr>
            <w:tcW w:w="7560" w:type="dxa"/>
            <w:vAlign w:val="bottom"/>
            <w:shd w:val="clear" w:color="auto" w:fill="1D2758"/>
          </w:tcPr>
          <w:p>
            <w:pPr>
              <w:spacing w:after="0"/>
              <w:rPr>
                <w:sz w:val="7"/>
                <w:szCs w:val="7"/>
                <w:color w:val="auto"/>
              </w:rPr>
            </w:pPr>
          </w:p>
        </w:tc>
        <w:tc>
          <w:tcPr>
            <w:tcW w:w="420" w:type="dxa"/>
            <w:vAlign w:val="bottom"/>
            <w:shd w:val="clear" w:color="auto" w:fill="1D2758"/>
          </w:tcPr>
          <w:p>
            <w:pPr>
              <w:spacing w:after="0"/>
              <w:rPr>
                <w:sz w:val="7"/>
                <w:szCs w:val="7"/>
                <w:color w:val="auto"/>
              </w:rPr>
            </w:pPr>
          </w:p>
        </w:tc>
        <w:tc>
          <w:tcPr>
            <w:tcW w:w="1360" w:type="dxa"/>
            <w:vAlign w:val="bottom"/>
            <w:vMerge w:val="continue"/>
            <w:shd w:val="clear" w:color="auto" w:fill="1D2758"/>
          </w:tcPr>
          <w:p>
            <w:pPr>
              <w:spacing w:after="0"/>
              <w:rPr>
                <w:sz w:val="7"/>
                <w:szCs w:val="7"/>
                <w:color w:val="auto"/>
              </w:rPr>
            </w:pPr>
          </w:p>
        </w:tc>
        <w:tc>
          <w:tcPr>
            <w:tcW w:w="120" w:type="dxa"/>
            <w:vAlign w:val="bottom"/>
            <w:shd w:val="clear" w:color="auto" w:fill="1D2758"/>
          </w:tcPr>
          <w:p>
            <w:pPr>
              <w:spacing w:after="0"/>
              <w:rPr>
                <w:sz w:val="7"/>
                <w:szCs w:val="7"/>
                <w:color w:val="auto"/>
              </w:rPr>
            </w:pPr>
          </w:p>
        </w:tc>
        <w:tc>
          <w:tcPr>
            <w:tcW w:w="660" w:type="dxa"/>
            <w:vAlign w:val="bottom"/>
            <w:shd w:val="clear" w:color="auto" w:fill="1D2758"/>
          </w:tcPr>
          <w:p>
            <w:pPr>
              <w:spacing w:after="0"/>
              <w:rPr>
                <w:sz w:val="7"/>
                <w:szCs w:val="7"/>
                <w:color w:val="auto"/>
              </w:rPr>
            </w:pPr>
          </w:p>
        </w:tc>
        <w:tc>
          <w:tcPr>
            <w:tcW w:w="112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75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350,920</w:t>
            </w:r>
          </w:p>
        </w:tc>
        <w:tc>
          <w:tcPr>
            <w:tcW w:w="780" w:type="dxa"/>
            <w:vAlign w:val="bottom"/>
            <w:gridSpan w:val="2"/>
            <w:shd w:val="clear" w:color="auto" w:fill="DBDBDB"/>
          </w:tcPr>
          <w:p>
            <w:pPr>
              <w:jc w:val="right"/>
              <w:ind w:right="5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333,853</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color w:val="auto"/>
              </w:rPr>
              <w:t>Net cash provided by (used in) investing activities</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158,477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(313,738)</w:t>
            </w:r>
          </w:p>
        </w:tc>
        <w:tc>
          <w:tcPr>
            <w:tcW w:w="0" w:type="dxa"/>
            <w:vAlign w:val="bottom"/>
          </w:tcPr>
          <w:p>
            <w:pPr>
              <w:spacing w:after="0"/>
              <w:rPr>
                <w:sz w:val="1"/>
                <w:szCs w:val="1"/>
                <w:color w:val="auto"/>
              </w:rPr>
            </w:pPr>
          </w:p>
        </w:tc>
      </w:tr>
      <w:tr>
        <w:trPr>
          <w:trHeight w:val="209"/>
        </w:trPr>
        <w:tc>
          <w:tcPr>
            <w:tcW w:w="75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used in financing activities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(520,257)</w:t>
            </w: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(20,802)</w:t>
            </w:r>
          </w:p>
        </w:tc>
        <w:tc>
          <w:tcPr>
            <w:tcW w:w="0" w:type="dxa"/>
            <w:vAlign w:val="bottom"/>
          </w:tcPr>
          <w:p>
            <w:pPr>
              <w:spacing w:after="0"/>
              <w:rPr>
                <w:sz w:val="1"/>
                <w:szCs w:val="1"/>
                <w:color w:val="auto"/>
              </w:rPr>
            </w:pPr>
          </w:p>
        </w:tc>
      </w:tr>
      <w:tr>
        <w:trPr>
          <w:trHeight w:val="201"/>
        </w:trPr>
        <w:tc>
          <w:tcPr>
            <w:tcW w:w="756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4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746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80"/>
        </w:trPr>
        <w:tc>
          <w:tcPr>
            <w:tcW w:w="756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420" w:type="dxa"/>
            <w:vAlign w:val="bottom"/>
            <w:vMerge w:val="restart"/>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(10,114)</w:t>
            </w:r>
          </w:p>
        </w:tc>
        <w:tc>
          <w:tcPr>
            <w:tcW w:w="780" w:type="dxa"/>
            <w:vAlign w:val="bottom"/>
            <w:gridSpan w:val="2"/>
            <w:vMerge w:val="restart"/>
            <w:shd w:val="clear" w:color="auto" w:fill="DBDBDB"/>
          </w:tcPr>
          <w:p>
            <w:pPr>
              <w:jc w:val="right"/>
              <w:ind w:right="560"/>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(993)</w:t>
            </w:r>
          </w:p>
        </w:tc>
        <w:tc>
          <w:tcPr>
            <w:tcW w:w="0" w:type="dxa"/>
            <w:vAlign w:val="bottom"/>
          </w:tcPr>
          <w:p>
            <w:pPr>
              <w:spacing w:after="0"/>
              <w:rPr>
                <w:sz w:val="1"/>
                <w:szCs w:val="1"/>
                <w:color w:val="auto"/>
              </w:rPr>
            </w:pPr>
          </w:p>
        </w:tc>
      </w:tr>
      <w:tr>
        <w:trPr>
          <w:trHeight w:val="74"/>
        </w:trPr>
        <w:tc>
          <w:tcPr>
            <w:tcW w:w="7560" w:type="dxa"/>
            <w:vAlign w:val="bottom"/>
            <w:shd w:val="clear" w:color="auto" w:fill="DBDBDB"/>
          </w:tcPr>
          <w:p>
            <w:pPr>
              <w:spacing w:after="0"/>
              <w:rPr>
                <w:sz w:val="6"/>
                <w:szCs w:val="6"/>
                <w:color w:val="auto"/>
              </w:rPr>
            </w:pPr>
          </w:p>
        </w:tc>
        <w:tc>
          <w:tcPr>
            <w:tcW w:w="420" w:type="dxa"/>
            <w:vAlign w:val="bottom"/>
            <w:vMerge w:val="continue"/>
            <w:shd w:val="clear" w:color="auto" w:fill="DBDBDB"/>
          </w:tcPr>
          <w:p>
            <w:pPr>
              <w:spacing w:after="0"/>
              <w:rPr>
                <w:sz w:val="6"/>
                <w:szCs w:val="6"/>
                <w:color w:val="auto"/>
              </w:rPr>
            </w:pPr>
          </w:p>
        </w:tc>
        <w:tc>
          <w:tcPr>
            <w:tcW w:w="1360" w:type="dxa"/>
            <w:vAlign w:val="bottom"/>
            <w:vMerge w:val="continue"/>
            <w:shd w:val="clear" w:color="auto" w:fill="DBDBDB"/>
          </w:tcPr>
          <w:p>
            <w:pPr>
              <w:spacing w:after="0"/>
              <w:rPr>
                <w:sz w:val="6"/>
                <w:szCs w:val="6"/>
                <w:color w:val="auto"/>
              </w:rPr>
            </w:pPr>
          </w:p>
        </w:tc>
        <w:tc>
          <w:tcPr>
            <w:tcW w:w="780" w:type="dxa"/>
            <w:vAlign w:val="bottom"/>
            <w:gridSpan w:val="2"/>
            <w:vMerge w:val="continue"/>
            <w:shd w:val="clear" w:color="auto" w:fill="DBDBDB"/>
          </w:tcPr>
          <w:p>
            <w:pPr>
              <w:spacing w:after="0"/>
              <w:rPr>
                <w:sz w:val="6"/>
                <w:szCs w:val="6"/>
                <w:color w:val="auto"/>
              </w:rPr>
            </w:pPr>
          </w:p>
        </w:tc>
        <w:tc>
          <w:tcPr>
            <w:tcW w:w="112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11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Cash provided by operating activities for the six months ended June 30, 2023 was $350.9 million as compared to $333.9 million for the six months ended June 30, 2022, an increase of $17.1 million. The increase was due to an increase of $60.9 million of net income, adjusted for non-cash items, partially offset by a decrease of $43.8 million in the net movements of the operating assets and liabilities.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11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Cash provided by investing activities for the six months ended June 30, 2023 was $158.5 million as compared to cash used in investing activities of $313.7 million for the six months ended June 30, 2022, an increase of $472.2 million in cash provided by investing activities. The increase in cash provided by investing activities was driven by proceeds of $404.0 million from the sale of discontinued operations, a $122.7 million decrease in cash used for the purchase of rental equipment and refurbishments, and a $9.1 million decrease in cash used for the purchase of property, plant and equipment. The increase was partially offset by a $45.5 million increase in cash used in acquisitions, net of cash acquired, a cash payment of $7.7 million for the settlement of the contingent foreign currency forward contract, and a $9.8 million decrease in proceeds from the sale of rental equipment.</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132"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Cash used in financing activities for the six months ended June 30, 2023 was $520.3 million as compared to $20.8 million for the six months ended June 30, 2022, a change of $499.5 million. The change was primarily due to a $547.1 million increase in repayments of borrowings and a $137.1 million increase in the repurchase of common stock partially offset by a $174.2 million increase in receipts from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Free Cash Flow</w:t>
      </w:r>
    </w:p>
    <w:p>
      <w:pPr>
        <w:spacing w:after="0" w:line="12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 The following table provides a reconciliation of net cash provided by operating activities to Free Cash Flow.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Three Months Ended</w:t>
            </w:r>
          </w:p>
        </w:tc>
        <w:tc>
          <w:tcPr>
            <w:tcW w:w="10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84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w:t>
            </w:r>
          </w:p>
        </w:tc>
      </w:tr>
      <w:tr>
        <w:trPr>
          <w:trHeight w:val="206"/>
        </w:trPr>
        <w:tc>
          <w:tcPr>
            <w:tcW w:w="47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740" w:type="dxa"/>
            <w:vAlign w:val="bottom"/>
            <w:gridSpan w:val="3"/>
            <w:shd w:val="clear" w:color="auto" w:fill="1D2758"/>
          </w:tcPr>
          <w:p>
            <w:pPr>
              <w:jc w:val="right"/>
              <w:ind w:right="180"/>
              <w:spacing w:after="0"/>
              <w:rPr>
                <w:sz w:val="20"/>
                <w:szCs w:val="20"/>
                <w:color w:val="auto"/>
              </w:rPr>
            </w:pPr>
            <w:r>
              <w:rPr>
                <w:rFonts w:ascii="Arial" w:cs="Arial" w:eastAsia="Arial" w:hAnsi="Arial"/>
                <w:sz w:val="15"/>
                <w:szCs w:val="15"/>
                <w:b w:val="1"/>
                <w:bCs w:val="1"/>
                <w:color w:val="FFFFFF"/>
              </w:rPr>
              <w:t>June 30,</w:t>
            </w:r>
          </w:p>
        </w:tc>
        <w:tc>
          <w:tcPr>
            <w:tcW w:w="1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72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7"/>
                <w:szCs w:val="17"/>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202,155</w:t>
            </w:r>
          </w:p>
        </w:tc>
        <w:tc>
          <w:tcPr>
            <w:tcW w:w="540" w:type="dxa"/>
            <w:vAlign w:val="bottom"/>
            <w:gridSpan w:val="2"/>
            <w:shd w:val="clear" w:color="auto" w:fill="DBDBDB"/>
          </w:tcPr>
          <w:p>
            <w:pPr>
              <w:jc w:val="right"/>
              <w:ind w:right="3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188,326</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350,920</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333,853</w:t>
            </w:r>
          </w:p>
        </w:tc>
      </w:tr>
      <w:tr>
        <w:trPr>
          <w:trHeight w:val="203"/>
        </w:trPr>
        <w:tc>
          <w:tcPr>
            <w:tcW w:w="474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(55,581)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(130,153)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(102,709)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(225,389)</w:t>
            </w:r>
          </w:p>
        </w:tc>
      </w:tr>
      <w:tr>
        <w:trPr>
          <w:trHeight w:val="209"/>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17,473</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20,526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25,254</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35,080</w:t>
            </w:r>
          </w:p>
        </w:tc>
      </w:tr>
      <w:tr>
        <w:trPr>
          <w:trHeight w:val="203"/>
        </w:trPr>
        <w:tc>
          <w:tcPr>
            <w:tcW w:w="47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(4,453)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(9,772)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(11,189)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(20,253)</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the sale of property, plant and equipment</w:t>
            </w: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491</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751</w:t>
            </w:r>
          </w:p>
        </w:tc>
      </w:tr>
      <w:tr>
        <w:trPr>
          <w:trHeight w:val="202"/>
        </w:trPr>
        <w:tc>
          <w:tcPr>
            <w:tcW w:w="474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159,601</w:t>
            </w:r>
          </w:p>
        </w:tc>
        <w:tc>
          <w:tcPr>
            <w:tcW w:w="5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69,418</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262,541</w:t>
            </w:r>
          </w:p>
        </w:tc>
        <w:tc>
          <w:tcPr>
            <w:tcW w:w="5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124,042</w:t>
            </w:r>
          </w:p>
        </w:tc>
      </w:tr>
      <w:tr>
        <w:trPr>
          <w:trHeight w:val="20"/>
        </w:trPr>
        <w:tc>
          <w:tcPr>
            <w:tcW w:w="4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Free Cash Flow for the six months ended June 30, 2023 was $262.5 million as compared to $124.0 million for the six months ended June 30, 2022, an increase of $138.5 million. Free Cash Flow increased year over year principally as a result of the $17.1 million increase in cash provided by operating activities and the $122.7 million decrease in cash used in the purchase of rental equipment and refurbishments, partially offset by the $9.8 million decrease in proceeds from the sale of rental equipment. The $350.9 million in cash provided by operating activities for the three months ended June 30, 2023 was returned to shareholders through repurchases and cancellations of $456.3 million of stock and reinvested into the business to support the purchase of rental equipment, including VAPS, and refurbishments.</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Material cash requirements</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w:t>
      </w:r>
    </w:p>
    <w:p>
      <w:pPr>
        <w:spacing w:after="0" w:line="39"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The Company has outstanding debt related to its ABL Facility, 2025 Secured Notes, 2028 Secured Notes and finance leases, including interest, totaling $3.0 billion as of June 30, 2023, $14.0 million of which is obligated to be repaid within the next twelve months. Refer to Note 9 for further information regarding outstanding debt.</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leases</w:t>
      </w:r>
    </w:p>
    <w:p>
      <w:pPr>
        <w:spacing w:after="0" w:line="68"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equipment and office space. As of June 30, 2023, the Company had lease obligations of $276.4 million, with $63.7 million payable within the next twelve months.</w:t>
      </w:r>
    </w:p>
    <w:p>
      <w:pPr>
        <w:spacing w:after="0" w:line="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In addition to the cash requirements described above, the Company has a share repurchase program authorized by the Board of Directors, which allows the Company to repurchase up to $1.0 billion of outstanding shares of Common Stock and equivalents. This program does not obligate the Company to repurchase any specific amount of shares. As of June 30, 2023, $854.1 million of the approved share repurchase pool remained available.</w:t>
      </w:r>
    </w:p>
    <w:p>
      <w:pPr>
        <w:spacing w:after="0" w:line="11"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The Company believes its cash, cash flows generated from ongoing operations, and continued access to its revolving credit facility as well as access to debt markets are sufficient to satisfy its currently anticipated cash requirements over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Policies and Estimates</w:t>
      </w:r>
    </w:p>
    <w:p>
      <w:pPr>
        <w:spacing w:after="0" w:line="12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For a complete discussion of our significant critical accounting policies, see the “Critical Accounting Policies and Estimates” section in Part II, Item 7 of our Annual Report on Form 10-K for the year ended December 31, 2022 (the "2022 Annual Report on Form 10-K").</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significant changes to our critical accounting policies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1D2758"/>
        </w:rPr>
        <w:t>Recently Issued Accounting Standards</w:t>
      </w:r>
    </w:p>
    <w:p>
      <w:pPr>
        <w:spacing w:after="0" w:line="7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Refer to Part I, Item 1, Note 1 of the notes to our financial statements included in this Quarterly Report on Form 10-Q for our assessment of recently issued and adopted accounting standards.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6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Mobile Mini believes that these forward-looking statements are based on reasonable assumptions, it can give no assurance that any such forward-looking statement will materialize. Important factors that may affect actual results or outcomes include, among others:</w:t>
      </w:r>
    </w:p>
    <w:p>
      <w:pPr>
        <w:spacing w:after="0" w:line="224" w:lineRule="exact"/>
        <w:rPr>
          <w:sz w:val="20"/>
          <w:szCs w:val="20"/>
          <w:color w:val="auto"/>
        </w:rPr>
      </w:pPr>
    </w:p>
    <w:p>
      <w:pPr>
        <w:ind w:left="620" w:hanging="307"/>
        <w:spacing w:after="0" w:line="283"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various laws and regulations and recent pronouncements related to laws and regulations governing antitrust, climate related disclosures, cybersecurity, privacy, government contracts, anti-corruption and the environment;</w:t>
      </w:r>
    </w:p>
    <w:p>
      <w:pPr>
        <w:spacing w:after="0" w:line="5"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72"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effect of global or local economic conditions in the industries and markets in which the Company operates and any changes therein, including financial market conditions and levels of end market demand;</w:t>
      </w:r>
    </w:p>
    <w:p>
      <w:pPr>
        <w:spacing w:after="0" w:line="5" w:lineRule="exact"/>
        <w:rPr>
          <w:rFonts w:ascii="Arial" w:cs="Arial" w:eastAsia="Arial" w:hAnsi="Arial"/>
          <w:sz w:val="15"/>
          <w:szCs w:val="15"/>
          <w:color w:val="auto"/>
        </w:rPr>
      </w:pPr>
    </w:p>
    <w:p>
      <w:pPr>
        <w:ind w:left="620" w:hanging="307"/>
        <w:spacing w:after="0" w:line="295"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risks associated with cybersecurity and IT systems disruptions, including our ability to manage the business in the event a disaster shuts down our management information systems;</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tariffs, their enforcement and downstream consequences;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59" w:lineRule="exact"/>
        <w:rPr>
          <w:rFonts w:ascii="Arial" w:cs="Arial" w:eastAsia="Arial" w:hAnsi="Arial"/>
          <w:sz w:val="15"/>
          <w:szCs w:val="15"/>
          <w:color w:val="auto"/>
        </w:rPr>
      </w:pPr>
    </w:p>
    <w:p>
      <w:pPr>
        <w:ind w:left="620" w:hanging="307"/>
        <w:spacing w:after="0" w:line="295"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 base as a result of the global, national or local economic climate in which they operate and/or economic or financial disruptions to their industry;</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 fires, floods, hurricanes, earthquakes and terrorism;</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evolving public disclosure, financial reporting and corporate governance expectations;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7" w:name="page48"/>
    <w:bookmarkEnd w:id="47"/>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service our debt and operate our business;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incur significant additional amounts of debt, which could further exacerbate the risks associated with our substantial indebtedness;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stock price volatility; and</w:t>
      </w:r>
    </w:p>
    <w:p>
      <w:pPr>
        <w:spacing w:after="0" w:line="59"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2022 Annual Report on Form 10-K), which are available through the SEC’s EDGAR system at www.sec.gov and on our website.</w:t>
      </w:r>
    </w:p>
    <w:p>
      <w:pPr>
        <w:spacing w:after="0" w:line="1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Any forward-looking statement speaks only at the date which it is made, and WillScot Mobile Mini undertakes no obligation, and disclaims any obligation, to update or revise any forward-looking statements, whether as a result of new information, future events or otherwise, except as required by law.</w:t>
      </w:r>
    </w:p>
    <w:p>
      <w:pPr>
        <w:spacing w:after="0" w:line="178" w:lineRule="exact"/>
        <w:rPr>
          <w:sz w:val="20"/>
          <w:szCs w:val="20"/>
          <w:color w:val="auto"/>
        </w:rPr>
      </w:pPr>
    </w:p>
    <w:p>
      <w:pPr>
        <w:ind w:left="1740" w:right="1100" w:hanging="1855"/>
        <w:spacing w:after="0" w:line="281" w:lineRule="auto"/>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8"/>
          <w:szCs w:val="38"/>
          <w:b w:val="1"/>
          <w:bCs w:val="1"/>
          <w:color w:val="auto"/>
        </w:rPr>
        <w:t>Quantitative and Qualitative Disclosures about Market Risk</w:t>
      </w:r>
    </w:p>
    <w:p>
      <w:pPr>
        <w:spacing w:after="0" w:line="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$2.0 billion in outstanding principal under the ABL Facility at June 30, 2023.</w:t>
      </w:r>
    </w:p>
    <w:p>
      <w:pPr>
        <w:spacing w:after="0" w:line="6"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To manage interest rate risk, in January 2023, we executed interest rate swap agreements relating to an aggregate of $750.0 million in notional amount of variable-rate debt under our ABL Facility. The swap agreements provide for us to pay a weighted average effective fixed interest rate of 3.44% per annum and receive a variable interest rate equal to one-month term SOFR, with maturity dates of June 30, 2027. The swap agreements were designated and qualified as hedges of the Company's exposure to changes in interest payment cash flows created by fluctuations in variable interest rates on our ABL Facility.</w:t>
      </w:r>
    </w:p>
    <w:p>
      <w:pPr>
        <w:spacing w:after="0" w:line="1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An increase in interest rates by 100 basis points on our ABL Facility, inclusive of the impact of our interest rate swaps, would increase our quarter to date interest expense by approximately $12.2 million based on current outstanding borrowings.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currently generate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208"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 To date, we have not entered into any hedging arrangements with respect to foreign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8" w:name="page49"/>
    <w:bookmarkEnd w:id="48"/>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June 30, 2023. Based upon that evaluation, our Chief Executive Officer and Chief Financial Officer concluded that our disclosure controls and procedures were effective as of June 30, 2023.</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127"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5"/>
          <w:szCs w:val="15"/>
          <w:color w:val="auto"/>
        </w:rPr>
        <w:t>There were no changes in our internal control over financial reporting that occurred during our quarter ended June 30,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9" w:name="page50"/>
    <w:bookmarkEnd w:id="49"/>
    <w:p>
      <w:pPr>
        <w:ind w:left="4960"/>
        <w:spacing w:after="0"/>
        <w:rPr>
          <w:sz w:val="20"/>
          <w:szCs w:val="20"/>
          <w:color w:val="auto"/>
        </w:rPr>
      </w:pPr>
      <w:r>
        <w:rPr>
          <w:rFonts w:ascii="Arial" w:cs="Arial" w:eastAsia="Arial" w:hAnsi="Arial"/>
          <w:sz w:val="38"/>
          <w:szCs w:val="38"/>
          <w:b w:val="1"/>
          <w:bCs w:val="1"/>
          <w:color w:val="1D2758"/>
        </w:rPr>
        <w:t>PART II</w:t>
      </w:r>
    </w:p>
    <w:p>
      <w:pPr>
        <w:spacing w:after="0" w:line="33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Legal Proceedings</w:t>
      </w:r>
    </w:p>
    <w:p>
      <w:pPr>
        <w:spacing w:after="0" w:line="138"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June 30, 2023,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200" w:lineRule="exact"/>
        <w:rPr>
          <w:sz w:val="20"/>
          <w:szCs w:val="20"/>
          <w:color w:val="auto"/>
        </w:rPr>
      </w:pPr>
    </w:p>
    <w:p>
      <w:pPr>
        <w:spacing w:after="0" w:line="215"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138"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2022 Annual Report on Form 10-K, which have not materially changed.</w:t>
      </w:r>
    </w:p>
    <w:p>
      <w:pPr>
        <w:spacing w:after="0" w:line="325" w:lineRule="exact"/>
        <w:rPr>
          <w:sz w:val="20"/>
          <w:szCs w:val="20"/>
          <w:color w:val="auto"/>
        </w:rPr>
      </w:pPr>
    </w:p>
    <w:p>
      <w:pPr>
        <w:ind w:left="1740" w:right="400" w:hanging="1855"/>
        <w:spacing w:after="0" w:line="273" w:lineRule="auto"/>
        <w:tabs>
          <w:tab w:leader="none" w:pos="1720" w:val="left"/>
        </w:tabs>
        <w:rPr>
          <w:sz w:val="20"/>
          <w:szCs w:val="20"/>
          <w:color w:val="auto"/>
        </w:rPr>
      </w:pPr>
      <w:r>
        <w:rPr>
          <w:rFonts w:ascii="Arial" w:cs="Arial" w:eastAsia="Arial" w:hAnsi="Arial"/>
          <w:sz w:val="38"/>
          <w:szCs w:val="38"/>
          <w:b w:val="1"/>
          <w:bCs w:val="1"/>
          <w:color w:val="auto"/>
        </w:rPr>
        <w:t>ITEM 2.</w:t>
      </w:r>
      <w:r>
        <w:rPr>
          <w:sz w:val="20"/>
          <w:szCs w:val="20"/>
          <w:color w:val="auto"/>
        </w:rPr>
        <w:tab/>
      </w:r>
      <w:r>
        <w:rPr>
          <w:rFonts w:ascii="Arial" w:cs="Arial" w:eastAsia="Arial" w:hAnsi="Arial"/>
          <w:sz w:val="38"/>
          <w:szCs w:val="38"/>
          <w:b w:val="1"/>
          <w:bCs w:val="1"/>
          <w:color w:val="auto"/>
        </w:rPr>
        <w:t>Unregistered Sales of Equity Securities and Use of Proceeds</w:t>
      </w:r>
    </w:p>
    <w:p>
      <w:pPr>
        <w:jc w:val="both"/>
        <w:ind w:firstLine="619"/>
        <w:spacing w:after="0" w:line="274" w:lineRule="auto"/>
        <w:rPr>
          <w:sz w:val="20"/>
          <w:szCs w:val="20"/>
          <w:color w:val="auto"/>
        </w:rPr>
      </w:pPr>
      <w:r>
        <w:rPr>
          <w:rFonts w:ascii="Arial" w:cs="Arial" w:eastAsia="Arial" w:hAnsi="Arial"/>
          <w:sz w:val="15"/>
          <w:szCs w:val="15"/>
          <w:color w:val="auto"/>
        </w:rPr>
        <w:t>The following table summarizes our purchase of Common Stock during the second quarter of 2023. No stock equivalents were purchased by the Company during the second quarter of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shd w:val="clear" w:color="auto" w:fill="1D2758"/>
          </w:tcPr>
          <w:p>
            <w:pPr>
              <w:spacing w:after="0"/>
              <w:rPr>
                <w:sz w:val="15"/>
                <w:szCs w:val="15"/>
                <w:color w:val="auto"/>
              </w:rPr>
            </w:pPr>
          </w:p>
        </w:tc>
        <w:tc>
          <w:tcPr>
            <w:tcW w:w="15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w:t>
            </w:r>
          </w:p>
        </w:tc>
        <w:tc>
          <w:tcPr>
            <w:tcW w:w="320" w:type="dxa"/>
            <w:vAlign w:val="bottom"/>
            <w:shd w:val="clear" w:color="auto" w:fill="1D2758"/>
          </w:tcPr>
          <w:p>
            <w:pPr>
              <w:spacing w:after="0"/>
              <w:rPr>
                <w:sz w:val="15"/>
                <w:szCs w:val="15"/>
                <w:color w:val="auto"/>
              </w:rPr>
            </w:pPr>
          </w:p>
        </w:tc>
        <w:tc>
          <w:tcPr>
            <w:tcW w:w="1320" w:type="dxa"/>
            <w:vAlign w:val="bottom"/>
            <w:shd w:val="clear" w:color="auto" w:fill="1D2758"/>
          </w:tcPr>
          <w:p>
            <w:pPr>
              <w:spacing w:after="0"/>
              <w:rPr>
                <w:sz w:val="15"/>
                <w:szCs w:val="15"/>
                <w:color w:val="auto"/>
              </w:rPr>
            </w:pP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220" w:type="dxa"/>
            <w:vAlign w:val="bottom"/>
            <w:shd w:val="clear" w:color="auto" w:fill="1D2758"/>
          </w:tcPr>
          <w:p>
            <w:pPr>
              <w:spacing w:after="0"/>
              <w:rPr>
                <w:sz w:val="15"/>
                <w:szCs w:val="15"/>
                <w:color w:val="auto"/>
              </w:rPr>
            </w:pPr>
          </w:p>
        </w:tc>
        <w:tc>
          <w:tcPr>
            <w:tcW w:w="200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Maximum Dollar Value of</w:t>
            </w:r>
          </w:p>
        </w:tc>
        <w:tc>
          <w:tcPr>
            <w:tcW w:w="0" w:type="dxa"/>
            <w:vAlign w:val="bottom"/>
          </w:tcPr>
          <w:p>
            <w:pPr>
              <w:spacing w:after="0"/>
              <w:rPr>
                <w:sz w:val="1"/>
                <w:szCs w:val="1"/>
                <w:color w:val="auto"/>
              </w:rPr>
            </w:pPr>
          </w:p>
        </w:tc>
      </w:tr>
      <w:tr>
        <w:trPr>
          <w:trHeight w:val="155"/>
        </w:trPr>
        <w:tc>
          <w:tcPr>
            <w:tcW w:w="3780" w:type="dxa"/>
            <w:vAlign w:val="bottom"/>
            <w:shd w:val="clear" w:color="auto" w:fill="1D2758"/>
          </w:tcPr>
          <w:p>
            <w:pPr>
              <w:spacing w:after="0"/>
              <w:rPr>
                <w:sz w:val="13"/>
                <w:szCs w:val="13"/>
                <w:color w:val="auto"/>
              </w:rPr>
            </w:pPr>
          </w:p>
        </w:tc>
        <w:tc>
          <w:tcPr>
            <w:tcW w:w="15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Shares and</w:t>
            </w:r>
          </w:p>
        </w:tc>
        <w:tc>
          <w:tcPr>
            <w:tcW w:w="320" w:type="dxa"/>
            <w:vAlign w:val="bottom"/>
            <w:shd w:val="clear" w:color="auto" w:fill="1D2758"/>
          </w:tcPr>
          <w:p>
            <w:pPr>
              <w:spacing w:after="0"/>
              <w:rPr>
                <w:sz w:val="13"/>
                <w:szCs w:val="13"/>
                <w:color w:val="auto"/>
              </w:rPr>
            </w:pPr>
          </w:p>
        </w:tc>
        <w:tc>
          <w:tcPr>
            <w:tcW w:w="1320" w:type="dxa"/>
            <w:vAlign w:val="bottom"/>
            <w:shd w:val="clear" w:color="auto" w:fill="1D2758"/>
          </w:tcPr>
          <w:p>
            <w:pPr>
              <w:spacing w:after="0"/>
              <w:rPr>
                <w:sz w:val="13"/>
                <w:szCs w:val="13"/>
                <w:color w:val="auto"/>
              </w:rPr>
            </w:pPr>
          </w:p>
        </w:tc>
        <w:tc>
          <w:tcPr>
            <w:tcW w:w="2100" w:type="dxa"/>
            <w:vAlign w:val="bottom"/>
            <w:vMerge w:val="continue"/>
            <w:shd w:val="clear" w:color="auto" w:fill="1D2758"/>
          </w:tcPr>
          <w:p>
            <w:pPr>
              <w:spacing w:after="0"/>
              <w:rPr>
                <w:sz w:val="13"/>
                <w:szCs w:val="13"/>
                <w:color w:val="auto"/>
              </w:rPr>
            </w:pPr>
          </w:p>
        </w:tc>
        <w:tc>
          <w:tcPr>
            <w:tcW w:w="2220" w:type="dxa"/>
            <w:vAlign w:val="bottom"/>
            <w:gridSpan w:val="2"/>
            <w:shd w:val="clear" w:color="auto" w:fill="1D2758"/>
          </w:tcPr>
          <w:p>
            <w:pPr>
              <w:ind w:left="120"/>
              <w:spacing w:after="0" w:line="155" w:lineRule="exact"/>
              <w:rPr>
                <w:sz w:val="20"/>
                <w:szCs w:val="20"/>
                <w:color w:val="auto"/>
              </w:rPr>
            </w:pPr>
            <w:r>
              <w:rPr>
                <w:rFonts w:ascii="Arial" w:cs="Arial" w:eastAsia="Arial" w:hAnsi="Arial"/>
                <w:sz w:val="15"/>
                <w:szCs w:val="15"/>
                <w:b w:val="1"/>
                <w:bCs w:val="1"/>
                <w:color w:val="FFFFFF"/>
              </w:rPr>
              <w:t>Shares and Equivalents that</w:t>
            </w:r>
          </w:p>
        </w:tc>
        <w:tc>
          <w:tcPr>
            <w:tcW w:w="0" w:type="dxa"/>
            <w:vAlign w:val="bottom"/>
          </w:tcPr>
          <w:p>
            <w:pPr>
              <w:spacing w:after="0"/>
              <w:rPr>
                <w:sz w:val="1"/>
                <w:szCs w:val="1"/>
                <w:color w:val="auto"/>
              </w:rPr>
            </w:pPr>
          </w:p>
        </w:tc>
      </w:tr>
      <w:tr>
        <w:trPr>
          <w:trHeight w:val="155"/>
        </w:trPr>
        <w:tc>
          <w:tcPr>
            <w:tcW w:w="3780" w:type="dxa"/>
            <w:vAlign w:val="bottom"/>
            <w:shd w:val="clear" w:color="auto" w:fill="1D2758"/>
          </w:tcPr>
          <w:p>
            <w:pPr>
              <w:spacing w:after="0"/>
              <w:rPr>
                <w:sz w:val="13"/>
                <w:szCs w:val="13"/>
                <w:color w:val="auto"/>
              </w:rPr>
            </w:pPr>
          </w:p>
        </w:tc>
        <w:tc>
          <w:tcPr>
            <w:tcW w:w="15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w:t>
            </w:r>
          </w:p>
        </w:tc>
        <w:tc>
          <w:tcPr>
            <w:tcW w:w="1640" w:type="dxa"/>
            <w:vAlign w:val="bottom"/>
            <w:gridSpan w:val="2"/>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Average Price Paid</w:t>
            </w:r>
          </w:p>
        </w:tc>
        <w:tc>
          <w:tcPr>
            <w:tcW w:w="21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as</w:t>
            </w:r>
          </w:p>
        </w:tc>
        <w:tc>
          <w:tcPr>
            <w:tcW w:w="220" w:type="dxa"/>
            <w:vAlign w:val="bottom"/>
            <w:shd w:val="clear" w:color="auto" w:fill="1D2758"/>
          </w:tcPr>
          <w:p>
            <w:pPr>
              <w:spacing w:after="0"/>
              <w:rPr>
                <w:sz w:val="13"/>
                <w:szCs w:val="13"/>
                <w:color w:val="auto"/>
              </w:rPr>
            </w:pPr>
          </w:p>
        </w:tc>
        <w:tc>
          <w:tcPr>
            <w:tcW w:w="20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May Yet Be Purchased</w:t>
            </w:r>
          </w:p>
        </w:tc>
        <w:tc>
          <w:tcPr>
            <w:tcW w:w="0" w:type="dxa"/>
            <w:vAlign w:val="bottom"/>
          </w:tcPr>
          <w:p>
            <w:pPr>
              <w:spacing w:after="0"/>
              <w:rPr>
                <w:sz w:val="1"/>
                <w:szCs w:val="1"/>
                <w:color w:val="auto"/>
              </w:rPr>
            </w:pPr>
          </w:p>
        </w:tc>
      </w:tr>
      <w:tr>
        <w:trPr>
          <w:trHeight w:val="155"/>
        </w:trPr>
        <w:tc>
          <w:tcPr>
            <w:tcW w:w="3780" w:type="dxa"/>
            <w:vAlign w:val="bottom"/>
            <w:vMerge w:val="restart"/>
            <w:shd w:val="clear" w:color="auto" w:fill="1D2758"/>
          </w:tcPr>
          <w:p>
            <w:pPr>
              <w:ind w:left="1660"/>
              <w:spacing w:after="0"/>
              <w:rPr>
                <w:sz w:val="20"/>
                <w:szCs w:val="20"/>
                <w:color w:val="auto"/>
              </w:rPr>
            </w:pPr>
            <w:r>
              <w:rPr>
                <w:rFonts w:ascii="Arial" w:cs="Arial" w:eastAsia="Arial" w:hAnsi="Arial"/>
                <w:sz w:val="15"/>
                <w:szCs w:val="15"/>
                <w:b w:val="1"/>
                <w:bCs w:val="1"/>
                <w:color w:val="FFFFFF"/>
              </w:rPr>
              <w:t>Period</w:t>
            </w:r>
          </w:p>
        </w:tc>
        <w:tc>
          <w:tcPr>
            <w:tcW w:w="15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Purchased (in</w:t>
            </w:r>
          </w:p>
        </w:tc>
        <w:tc>
          <w:tcPr>
            <w:tcW w:w="1640" w:type="dxa"/>
            <w:vAlign w:val="bottom"/>
            <w:gridSpan w:val="2"/>
            <w:vMerge w:val="continue"/>
            <w:shd w:val="clear" w:color="auto" w:fill="1D2758"/>
          </w:tcPr>
          <w:p>
            <w:pPr>
              <w:spacing w:after="0"/>
              <w:rPr>
                <w:sz w:val="13"/>
                <w:szCs w:val="13"/>
                <w:color w:val="auto"/>
              </w:rPr>
            </w:pPr>
          </w:p>
        </w:tc>
        <w:tc>
          <w:tcPr>
            <w:tcW w:w="21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part of Publicly Announced</w:t>
            </w:r>
          </w:p>
        </w:tc>
        <w:tc>
          <w:tcPr>
            <w:tcW w:w="220" w:type="dxa"/>
            <w:vAlign w:val="bottom"/>
            <w:shd w:val="clear" w:color="auto" w:fill="1D2758"/>
          </w:tcPr>
          <w:p>
            <w:pPr>
              <w:spacing w:after="0"/>
              <w:rPr>
                <w:sz w:val="13"/>
                <w:szCs w:val="13"/>
                <w:color w:val="auto"/>
              </w:rPr>
            </w:pPr>
          </w:p>
        </w:tc>
        <w:tc>
          <w:tcPr>
            <w:tcW w:w="20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Under the Plans (in</w:t>
            </w:r>
          </w:p>
        </w:tc>
        <w:tc>
          <w:tcPr>
            <w:tcW w:w="0" w:type="dxa"/>
            <w:vAlign w:val="bottom"/>
          </w:tcPr>
          <w:p>
            <w:pPr>
              <w:spacing w:after="0"/>
              <w:rPr>
                <w:sz w:val="1"/>
                <w:szCs w:val="1"/>
                <w:color w:val="auto"/>
              </w:rPr>
            </w:pPr>
          </w:p>
        </w:tc>
      </w:tr>
      <w:tr>
        <w:trPr>
          <w:trHeight w:val="122"/>
        </w:trPr>
        <w:tc>
          <w:tcPr>
            <w:tcW w:w="3780" w:type="dxa"/>
            <w:vAlign w:val="bottom"/>
            <w:vMerge w:val="continue"/>
            <w:shd w:val="clear" w:color="auto" w:fill="1D2758"/>
          </w:tcPr>
          <w:p>
            <w:pPr>
              <w:spacing w:after="0"/>
              <w:rPr>
                <w:sz w:val="10"/>
                <w:szCs w:val="10"/>
                <w:color w:val="auto"/>
              </w:rPr>
            </w:pPr>
          </w:p>
        </w:tc>
        <w:tc>
          <w:tcPr>
            <w:tcW w:w="15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320" w:type="dxa"/>
            <w:vAlign w:val="bottom"/>
            <w:shd w:val="clear" w:color="auto" w:fill="1D2758"/>
          </w:tcPr>
          <w:p>
            <w:pPr>
              <w:spacing w:after="0"/>
              <w:rPr>
                <w:sz w:val="10"/>
                <w:szCs w:val="10"/>
                <w:color w:val="auto"/>
              </w:rPr>
            </w:pPr>
          </w:p>
        </w:tc>
        <w:tc>
          <w:tcPr>
            <w:tcW w:w="132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per Share</w:t>
            </w: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220" w:type="dxa"/>
            <w:vAlign w:val="bottom"/>
            <w:shd w:val="clear" w:color="auto" w:fill="1D2758"/>
          </w:tcPr>
          <w:p>
            <w:pPr>
              <w:spacing w:after="0"/>
              <w:rPr>
                <w:sz w:val="10"/>
                <w:szCs w:val="10"/>
                <w:color w:val="auto"/>
              </w:rPr>
            </w:pPr>
          </w:p>
        </w:tc>
        <w:tc>
          <w:tcPr>
            <w:tcW w:w="2000" w:type="dxa"/>
            <w:vAlign w:val="bottom"/>
            <w:vMerge w:val="restart"/>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millions)</w:t>
            </w:r>
          </w:p>
        </w:tc>
        <w:tc>
          <w:tcPr>
            <w:tcW w:w="0" w:type="dxa"/>
            <w:vAlign w:val="bottom"/>
          </w:tcPr>
          <w:p>
            <w:pPr>
              <w:spacing w:after="0"/>
              <w:rPr>
                <w:sz w:val="1"/>
                <w:szCs w:val="1"/>
                <w:color w:val="auto"/>
              </w:rPr>
            </w:pPr>
          </w:p>
        </w:tc>
      </w:tr>
      <w:tr>
        <w:trPr>
          <w:trHeight w:val="84"/>
        </w:trPr>
        <w:tc>
          <w:tcPr>
            <w:tcW w:w="3780" w:type="dxa"/>
            <w:vAlign w:val="bottom"/>
            <w:shd w:val="clear" w:color="auto" w:fill="1D2758"/>
          </w:tcPr>
          <w:p>
            <w:pPr>
              <w:spacing w:after="0"/>
              <w:rPr>
                <w:sz w:val="7"/>
                <w:szCs w:val="7"/>
                <w:color w:val="auto"/>
              </w:rPr>
            </w:pPr>
          </w:p>
        </w:tc>
        <w:tc>
          <w:tcPr>
            <w:tcW w:w="1500" w:type="dxa"/>
            <w:vAlign w:val="bottom"/>
            <w:vMerge w:val="continue"/>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2100" w:type="dxa"/>
            <w:vAlign w:val="bottom"/>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20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April 1, 2023 to April 30, 2023</w:t>
            </w: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2,187.4</w:t>
            </w:r>
          </w:p>
        </w:tc>
        <w:tc>
          <w:tcPr>
            <w:tcW w:w="320" w:type="dxa"/>
            <w:vAlign w:val="bottom"/>
            <w:shd w:val="clear" w:color="auto" w:fill="DBDBDB"/>
          </w:tcPr>
          <w:p>
            <w:pPr>
              <w:ind w:left="10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42.60</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2,187.4</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5"/>
                <w:szCs w:val="15"/>
                <w:color w:val="auto"/>
              </w:rPr>
              <w:t>May 1, 2023 to May 31, 2023</w:t>
            </w: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1,863.8</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3"/>
              <w:spacing w:after="0"/>
              <w:rPr>
                <w:sz w:val="20"/>
                <w:szCs w:val="20"/>
                <w:color w:val="auto"/>
              </w:rPr>
            </w:pPr>
            <w:r>
              <w:rPr>
                <w:rFonts w:ascii="Arial" w:cs="Arial" w:eastAsia="Arial" w:hAnsi="Arial"/>
                <w:sz w:val="15"/>
                <w:szCs w:val="15"/>
                <w:color w:val="auto"/>
              </w:rPr>
              <w:t>44.48</w:t>
            </w:r>
          </w:p>
        </w:tc>
        <w:tc>
          <w:tcPr>
            <w:tcW w:w="2100" w:type="dxa"/>
            <w:vAlign w:val="bottom"/>
          </w:tcPr>
          <w:p>
            <w:pPr>
              <w:jc w:val="right"/>
              <w:spacing w:after="0"/>
              <w:rPr>
                <w:sz w:val="20"/>
                <w:szCs w:val="20"/>
                <w:color w:val="auto"/>
              </w:rPr>
            </w:pPr>
            <w:r>
              <w:rPr>
                <w:rFonts w:ascii="Arial" w:cs="Arial" w:eastAsia="Arial" w:hAnsi="Arial"/>
                <w:sz w:val="15"/>
                <w:szCs w:val="15"/>
                <w:color w:val="auto"/>
              </w:rPr>
              <w:t>1,863.8</w:t>
            </w:r>
          </w:p>
        </w:tc>
        <w:tc>
          <w:tcPr>
            <w:tcW w:w="220" w:type="dxa"/>
            <w:vAlign w:val="bottom"/>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917.1</w:t>
            </w:r>
          </w:p>
        </w:tc>
        <w:tc>
          <w:tcPr>
            <w:tcW w:w="0" w:type="dxa"/>
            <w:vAlign w:val="bottom"/>
          </w:tcPr>
          <w:p>
            <w:pPr>
              <w:spacing w:after="0"/>
              <w:rPr>
                <w:sz w:val="1"/>
                <w:szCs w:val="1"/>
                <w:color w:val="auto"/>
              </w:rPr>
            </w:pP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June 30, 2023 to June 30, 2023</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1,354.8</w:t>
            </w:r>
          </w:p>
        </w:tc>
        <w:tc>
          <w:tcPr>
            <w:tcW w:w="320" w:type="dxa"/>
            <w:vAlign w:val="bottom"/>
            <w:shd w:val="clear" w:color="auto" w:fill="DBDBDB"/>
          </w:tcPr>
          <w:p>
            <w:pPr>
              <w:ind w:left="10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46.47</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1,354.8</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854.1</w:t>
            </w:r>
          </w:p>
        </w:tc>
        <w:tc>
          <w:tcPr>
            <w:tcW w:w="0" w:type="dxa"/>
            <w:vAlign w:val="bottom"/>
          </w:tcPr>
          <w:p>
            <w:pPr>
              <w:spacing w:after="0"/>
              <w:rPr>
                <w:sz w:val="1"/>
                <w:szCs w:val="1"/>
                <w:color w:val="auto"/>
              </w:rPr>
            </w:pPr>
          </w:p>
        </w:tc>
      </w:tr>
      <w:tr>
        <w:trPr>
          <w:trHeight w:val="202"/>
        </w:trPr>
        <w:tc>
          <w:tcPr>
            <w:tcW w:w="3780" w:type="dxa"/>
            <w:vAlign w:val="bottom"/>
          </w:tcPr>
          <w:p>
            <w:pPr>
              <w:ind w:left="220"/>
              <w:spacing w:after="0"/>
              <w:rPr>
                <w:sz w:val="20"/>
                <w:szCs w:val="20"/>
                <w:color w:val="auto"/>
              </w:rPr>
            </w:pPr>
            <w:r>
              <w:rPr>
                <w:rFonts w:ascii="Arial" w:cs="Arial" w:eastAsia="Arial" w:hAnsi="Arial"/>
                <w:sz w:val="15"/>
                <w:szCs w:val="15"/>
                <w:color w:val="auto"/>
              </w:rPr>
              <w:t>Total</w:t>
            </w: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5,406.0</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3"/>
              <w:spacing w:after="0"/>
              <w:rPr>
                <w:sz w:val="20"/>
                <w:szCs w:val="20"/>
                <w:color w:val="auto"/>
              </w:rPr>
            </w:pPr>
            <w:r>
              <w:rPr>
                <w:rFonts w:ascii="Arial" w:cs="Arial" w:eastAsia="Arial" w:hAnsi="Arial"/>
                <w:sz w:val="15"/>
                <w:szCs w:val="15"/>
                <w:color w:val="auto"/>
              </w:rPr>
              <w:t>44.22</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5,406.0</w:t>
            </w: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A share repurchase program authorizes the Company to repurchase its outstanding shares of Common Stock and equivalents. In May 2023, the Board of Directors approved an increase to the share repurchase program authorizing the Company to repurchase up to $1.0 billion of its outstanding shares of Common Stock and equivalents. As of June 30, 2023, $854.1 million of the $1.0 billion share repurchase authorization remained available for use.</w:t>
      </w:r>
    </w:p>
    <w:p>
      <w:pPr>
        <w:spacing w:after="0" w:line="222"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Defaults Upon Senior Securities</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19"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50" w:name="page51"/>
    <w:bookmarkEnd w:id="50"/>
    <w:p>
      <w:pPr>
        <w:spacing w:after="0"/>
        <w:tabs>
          <w:tab w:leader="none" w:pos="1720" w:val="left"/>
        </w:tabs>
        <w:rPr>
          <w:sz w:val="20"/>
          <w:szCs w:val="20"/>
          <w:color w:val="auto"/>
        </w:rPr>
      </w:pPr>
      <w:r>
        <w:rPr>
          <w:rFonts w:ascii="Arial" w:cs="Arial" w:eastAsia="Arial" w:hAnsi="Arial"/>
          <w:sz w:val="38"/>
          <w:szCs w:val="38"/>
          <w:b w:val="1"/>
          <w:bCs w:val="1"/>
          <w:color w:val="auto"/>
        </w:rPr>
        <w:t>ITEM 5.</w:t>
      </w:r>
      <w:r>
        <w:rPr>
          <w:sz w:val="20"/>
          <w:szCs w:val="20"/>
          <w:color w:val="auto"/>
        </w:rPr>
        <w:tab/>
      </w:r>
      <w:r>
        <w:rPr>
          <w:rFonts w:ascii="Arial" w:cs="Arial" w:eastAsia="Arial" w:hAnsi="Arial"/>
          <w:sz w:val="37"/>
          <w:szCs w:val="37"/>
          <w:b w:val="1"/>
          <w:bCs w:val="1"/>
          <w:color w:val="auto"/>
        </w:rPr>
        <w:t>Other Information</w:t>
      </w:r>
    </w:p>
    <w:p>
      <w:pPr>
        <w:spacing w:after="0" w:line="138" w:lineRule="exact"/>
        <w:rPr>
          <w:sz w:val="20"/>
          <w:szCs w:val="20"/>
          <w:color w:val="auto"/>
        </w:rPr>
      </w:pPr>
    </w:p>
    <w:p>
      <w:pPr>
        <w:ind w:firstLine="619"/>
        <w:spacing w:after="0" w:line="301" w:lineRule="auto"/>
        <w:rPr>
          <w:sz w:val="20"/>
          <w:szCs w:val="20"/>
          <w:color w:val="auto"/>
        </w:rPr>
      </w:pPr>
      <w:r>
        <w:rPr>
          <w:rFonts w:ascii="Arial" w:cs="Arial" w:eastAsia="Arial" w:hAnsi="Arial"/>
          <w:sz w:val="15"/>
          <w:szCs w:val="15"/>
          <w:color w:val="auto"/>
        </w:rPr>
        <w:t>During the three months ended June 30, 2023, no director or Section 16 officer of the Company adopted or terminated a "Rule 10b5-1 trading arrangement" or "non-Rule 10b5-1 trading arrangement," as each term is defined in Item 408(a) of Regulation S-K.</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506"/>
        </w:trPr>
        <w:tc>
          <w:tcPr>
            <w:tcW w:w="1540" w:type="dxa"/>
            <w:vAlign w:val="bottom"/>
            <w:gridSpan w:val="2"/>
          </w:tcPr>
          <w:p>
            <w:pPr>
              <w:spacing w:after="0"/>
              <w:rPr>
                <w:sz w:val="20"/>
                <w:szCs w:val="20"/>
                <w:color w:val="auto"/>
              </w:rPr>
            </w:pPr>
            <w:r>
              <w:rPr>
                <w:rFonts w:ascii="Arial" w:cs="Arial" w:eastAsia="Arial" w:hAnsi="Arial"/>
                <w:sz w:val="38"/>
                <w:szCs w:val="38"/>
                <w:b w:val="1"/>
                <w:bCs w:val="1"/>
                <w:color w:val="auto"/>
              </w:rPr>
              <w:t>ITEM 6.</w:t>
            </w:r>
          </w:p>
        </w:tc>
        <w:tc>
          <w:tcPr>
            <w:tcW w:w="9700" w:type="dxa"/>
            <w:vAlign w:val="bottom"/>
          </w:tcPr>
          <w:p>
            <w:pPr>
              <w:ind w:left="200"/>
              <w:spacing w:after="0"/>
              <w:rPr>
                <w:sz w:val="20"/>
                <w:szCs w:val="20"/>
                <w:color w:val="auto"/>
              </w:rPr>
            </w:pPr>
            <w:r>
              <w:rPr>
                <w:rFonts w:ascii="Arial" w:cs="Arial" w:eastAsia="Arial" w:hAnsi="Arial"/>
                <w:sz w:val="38"/>
                <w:szCs w:val="38"/>
                <w:b w:val="1"/>
                <w:bCs w:val="1"/>
                <w:color w:val="auto"/>
              </w:rPr>
              <w:t>Exhibits</w:t>
            </w:r>
          </w:p>
        </w:tc>
        <w:tc>
          <w:tcPr>
            <w:tcW w:w="0" w:type="dxa"/>
            <w:vAlign w:val="bottom"/>
          </w:tcPr>
          <w:p>
            <w:pPr>
              <w:spacing w:after="0"/>
              <w:rPr>
                <w:sz w:val="1"/>
                <w:szCs w:val="1"/>
                <w:color w:val="auto"/>
              </w:rPr>
            </w:pPr>
          </w:p>
        </w:tc>
      </w:tr>
      <w:tr>
        <w:trPr>
          <w:trHeight w:val="206"/>
        </w:trPr>
        <w:tc>
          <w:tcPr>
            <w:tcW w:w="1160" w:type="dxa"/>
            <w:vAlign w:val="bottom"/>
            <w:shd w:val="clear" w:color="auto" w:fill="1D2758"/>
          </w:tcPr>
          <w:p>
            <w:pPr>
              <w:ind w:left="240"/>
              <w:spacing w:after="0"/>
              <w:rPr>
                <w:sz w:val="20"/>
                <w:szCs w:val="20"/>
                <w:color w:val="auto"/>
              </w:rPr>
            </w:pPr>
            <w:r>
              <w:rPr>
                <w:rFonts w:ascii="Arial" w:cs="Arial" w:eastAsia="Arial" w:hAnsi="Arial"/>
                <w:sz w:val="15"/>
                <w:szCs w:val="15"/>
                <w:b w:val="1"/>
                <w:bCs w:val="1"/>
                <w:color w:val="FFFFFF"/>
              </w:rPr>
              <w:t>Exhibit No.</w:t>
            </w:r>
          </w:p>
        </w:tc>
        <w:tc>
          <w:tcPr>
            <w:tcW w:w="380" w:type="dxa"/>
            <w:vAlign w:val="bottom"/>
            <w:shd w:val="clear" w:color="auto" w:fill="1D2758"/>
          </w:tcPr>
          <w:p>
            <w:pPr>
              <w:spacing w:after="0"/>
              <w:rPr>
                <w:sz w:val="17"/>
                <w:szCs w:val="17"/>
                <w:color w:val="auto"/>
              </w:rPr>
            </w:pPr>
          </w:p>
        </w:tc>
        <w:tc>
          <w:tcPr>
            <w:tcW w:w="9700" w:type="dxa"/>
            <w:vAlign w:val="bottom"/>
            <w:shd w:val="clear" w:color="auto" w:fill="1D2758"/>
          </w:tcPr>
          <w:p>
            <w:pPr>
              <w:ind w:left="4020"/>
              <w:spacing w:after="0"/>
              <w:rPr>
                <w:sz w:val="20"/>
                <w:szCs w:val="20"/>
                <w:color w:val="auto"/>
              </w:rPr>
            </w:pPr>
            <w:r>
              <w:rPr>
                <w:rFonts w:ascii="Arial" w:cs="Arial" w:eastAsia="Arial" w:hAnsi="Arial"/>
                <w:sz w:val="15"/>
                <w:szCs w:val="15"/>
                <w:b w:val="1"/>
                <w:bCs w:val="1"/>
                <w:color w:val="FFFFFF"/>
              </w:rPr>
              <w:t>Exhibit Description</w:t>
            </w:r>
          </w:p>
        </w:tc>
        <w:tc>
          <w:tcPr>
            <w:tcW w:w="0" w:type="dxa"/>
            <w:vAlign w:val="bottom"/>
          </w:tcPr>
          <w:p>
            <w:pPr>
              <w:spacing w:after="0"/>
              <w:rPr>
                <w:sz w:val="1"/>
                <w:szCs w:val="1"/>
                <w:color w:val="auto"/>
              </w:rPr>
            </w:pPr>
          </w:p>
        </w:tc>
      </w:tr>
      <w:tr>
        <w:trPr>
          <w:trHeight w:val="206"/>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w:t>
            </w:r>
          </w:p>
        </w:tc>
        <w:tc>
          <w:tcPr>
            <w:tcW w:w="10080" w:type="dxa"/>
            <w:vAlign w:val="bottom"/>
            <w:gridSpan w:val="2"/>
            <w:shd w:val="clear" w:color="auto" w:fill="DBDBDB"/>
          </w:tcPr>
          <w:p>
            <w:pPr>
              <w:ind w:left="140"/>
              <w:spacing w:after="0"/>
              <w:rPr>
                <w:sz w:val="20"/>
                <w:szCs w:val="20"/>
                <w:color w:val="auto"/>
              </w:rPr>
            </w:pPr>
            <w:r>
              <w:rPr>
                <w:rFonts w:ascii="Arial" w:cs="Arial" w:eastAsia="Arial" w:hAnsi="Arial"/>
                <w:sz w:val="15"/>
                <w:szCs w:val="15"/>
                <w:color w:val="auto"/>
              </w:rPr>
              <w:t>Employment Agreement with Felicia Gorcyca dated June 26, 2023</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5"/>
                <w:szCs w:val="15"/>
                <w:color w:val="auto"/>
              </w:rPr>
              <w:t>31.1*</w:t>
            </w:r>
          </w:p>
        </w:tc>
        <w:tc>
          <w:tcPr>
            <w:tcW w:w="10080" w:type="dxa"/>
            <w:vAlign w:val="bottom"/>
            <w:gridSpan w:val="2"/>
          </w:tcPr>
          <w:p>
            <w:pPr>
              <w:ind w:left="14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31.2*</w:t>
            </w:r>
          </w:p>
        </w:tc>
        <w:tc>
          <w:tcPr>
            <w:tcW w:w="10080" w:type="dxa"/>
            <w:vAlign w:val="bottom"/>
            <w:gridSpan w:val="2"/>
            <w:shd w:val="clear" w:color="auto" w:fill="DBDBDB"/>
          </w:tcPr>
          <w:p>
            <w:pPr>
              <w:ind w:left="14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5"/>
                <w:szCs w:val="15"/>
                <w:color w:val="auto"/>
              </w:rPr>
              <w:t>32.1**</w:t>
            </w:r>
          </w:p>
        </w:tc>
        <w:tc>
          <w:tcPr>
            <w:tcW w:w="10080" w:type="dxa"/>
            <w:vAlign w:val="bottom"/>
            <w:gridSpan w:val="2"/>
          </w:tcPr>
          <w:p>
            <w:pPr>
              <w:ind w:left="14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32.2**</w:t>
            </w:r>
          </w:p>
        </w:tc>
        <w:tc>
          <w:tcPr>
            <w:tcW w:w="10080" w:type="dxa"/>
            <w:vAlign w:val="bottom"/>
            <w:gridSpan w:val="2"/>
            <w:shd w:val="clear" w:color="auto" w:fill="DBDBDB"/>
          </w:tcPr>
          <w:p>
            <w:pPr>
              <w:ind w:left="14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59"/>
        </w:trPr>
        <w:tc>
          <w:tcPr>
            <w:tcW w:w="1160" w:type="dxa"/>
            <w:vAlign w:val="bottom"/>
            <w:vMerge w:val="restart"/>
          </w:tcPr>
          <w:p>
            <w:pPr>
              <w:ind w:left="20"/>
              <w:spacing w:after="0"/>
              <w:rPr>
                <w:sz w:val="20"/>
                <w:szCs w:val="20"/>
                <w:color w:val="auto"/>
              </w:rPr>
            </w:pPr>
            <w:r>
              <w:rPr>
                <w:rFonts w:ascii="Arial" w:cs="Arial" w:eastAsia="Arial" w:hAnsi="Arial"/>
                <w:sz w:val="15"/>
                <w:szCs w:val="15"/>
                <w:color w:val="auto"/>
              </w:rPr>
              <w:t>101.INS</w:t>
            </w:r>
          </w:p>
        </w:tc>
        <w:tc>
          <w:tcPr>
            <w:tcW w:w="10080" w:type="dxa"/>
            <w:vAlign w:val="bottom"/>
            <w:gridSpan w:val="2"/>
          </w:tcPr>
          <w:p>
            <w:pPr>
              <w:ind w:left="140"/>
              <w:spacing w:after="0" w:line="159" w:lineRule="exact"/>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99"/>
        </w:trPr>
        <w:tc>
          <w:tcPr>
            <w:tcW w:w="1160" w:type="dxa"/>
            <w:vAlign w:val="bottom"/>
            <w:vMerge w:val="continue"/>
          </w:tcPr>
          <w:p>
            <w:pPr>
              <w:spacing w:after="0"/>
              <w:rPr>
                <w:sz w:val="17"/>
                <w:szCs w:val="17"/>
                <w:color w:val="auto"/>
              </w:rPr>
            </w:pPr>
          </w:p>
        </w:tc>
        <w:tc>
          <w:tcPr>
            <w:tcW w:w="10080" w:type="dxa"/>
            <w:vAlign w:val="bottom"/>
            <w:gridSpan w:val="2"/>
          </w:tcPr>
          <w:p>
            <w:pPr>
              <w:ind w:left="140"/>
              <w:spacing w:after="0"/>
              <w:rPr>
                <w:sz w:val="20"/>
                <w:szCs w:val="20"/>
                <w:color w:val="auto"/>
              </w:rPr>
            </w:pPr>
            <w:r>
              <w:rPr>
                <w:rFonts w:ascii="Arial" w:cs="Arial" w:eastAsia="Arial" w:hAnsi="Arial"/>
                <w:sz w:val="15"/>
                <w:szCs w:val="15"/>
                <w:color w:val="auto"/>
              </w:rPr>
              <w:t>Inline XBRL document</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101.SCH</w:t>
            </w:r>
          </w:p>
        </w:tc>
        <w:tc>
          <w:tcPr>
            <w:tcW w:w="10080" w:type="dxa"/>
            <w:vAlign w:val="bottom"/>
            <w:gridSpan w:val="2"/>
            <w:shd w:val="clear" w:color="auto" w:fill="DBDBDB"/>
          </w:tcPr>
          <w:p>
            <w:pPr>
              <w:ind w:left="14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5"/>
                <w:szCs w:val="15"/>
                <w:color w:val="auto"/>
              </w:rPr>
              <w:t>101.CAL</w:t>
            </w:r>
          </w:p>
        </w:tc>
        <w:tc>
          <w:tcPr>
            <w:tcW w:w="10080" w:type="dxa"/>
            <w:vAlign w:val="bottom"/>
            <w:gridSpan w:val="2"/>
          </w:tcPr>
          <w:p>
            <w:pPr>
              <w:ind w:left="14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101.DEF</w:t>
            </w:r>
          </w:p>
        </w:tc>
        <w:tc>
          <w:tcPr>
            <w:tcW w:w="10080" w:type="dxa"/>
            <w:vAlign w:val="bottom"/>
            <w:gridSpan w:val="2"/>
            <w:shd w:val="clear" w:color="auto" w:fill="DBDBDB"/>
          </w:tcPr>
          <w:p>
            <w:pPr>
              <w:ind w:left="14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5"/>
                <w:szCs w:val="15"/>
                <w:color w:val="auto"/>
              </w:rPr>
              <w:t>101.LAB</w:t>
            </w:r>
          </w:p>
        </w:tc>
        <w:tc>
          <w:tcPr>
            <w:tcW w:w="10080" w:type="dxa"/>
            <w:vAlign w:val="bottom"/>
            <w:gridSpan w:val="2"/>
          </w:tcPr>
          <w:p>
            <w:pPr>
              <w:ind w:left="14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209"/>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101.PRE</w:t>
            </w:r>
          </w:p>
        </w:tc>
        <w:tc>
          <w:tcPr>
            <w:tcW w:w="10080" w:type="dxa"/>
            <w:vAlign w:val="bottom"/>
            <w:gridSpan w:val="2"/>
            <w:shd w:val="clear" w:color="auto" w:fill="DBDBDB"/>
          </w:tcPr>
          <w:p>
            <w:pPr>
              <w:ind w:left="14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r>
        <w:trPr>
          <w:trHeight w:val="201"/>
        </w:trPr>
        <w:tc>
          <w:tcPr>
            <w:tcW w:w="1160" w:type="dxa"/>
            <w:vAlign w:val="bottom"/>
          </w:tcPr>
          <w:p>
            <w:pPr>
              <w:ind w:left="20"/>
              <w:spacing w:after="0"/>
              <w:rPr>
                <w:sz w:val="20"/>
                <w:szCs w:val="20"/>
                <w:color w:val="auto"/>
              </w:rPr>
            </w:pPr>
            <w:r>
              <w:rPr>
                <w:rFonts w:ascii="Arial" w:cs="Arial" w:eastAsia="Arial" w:hAnsi="Arial"/>
                <w:sz w:val="15"/>
                <w:szCs w:val="15"/>
                <w:color w:val="auto"/>
              </w:rPr>
              <w:t>104*</w:t>
            </w:r>
          </w:p>
        </w:tc>
        <w:tc>
          <w:tcPr>
            <w:tcW w:w="10080" w:type="dxa"/>
            <w:vAlign w:val="bottom"/>
            <w:gridSpan w:val="2"/>
          </w:tcPr>
          <w:p>
            <w:pPr>
              <w:ind w:left="14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58" w:lineRule="exact"/>
        <w:rPr>
          <w:sz w:val="20"/>
          <w:szCs w:val="20"/>
          <w:color w:val="auto"/>
        </w:rPr>
      </w:pPr>
    </w:p>
    <w:p>
      <w:pPr>
        <w:ind w:left="140" w:hanging="137"/>
        <w:spacing w:after="0"/>
        <w:tabs>
          <w:tab w:leader="none" w:pos="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0"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color w:val="1D2758"/>
        </w:rPr>
        <w:t>Signature</w:t>
      </w:r>
    </w:p>
    <w:p>
      <w:pPr>
        <w:spacing w:after="0" w:line="99" w:lineRule="exact"/>
        <w:rPr>
          <w:sz w:val="20"/>
          <w:szCs w:val="20"/>
          <w:color w:val="auto"/>
        </w:rPr>
      </w:pPr>
    </w:p>
    <w:p>
      <w:pPr>
        <w:ind w:firstLine="619"/>
        <w:spacing w:after="0" w:line="30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74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Mobile Mini Holdings Corp.</w:t>
            </w:r>
          </w:p>
        </w:tc>
      </w:tr>
      <w:tr>
        <w:trPr>
          <w:trHeight w:val="401"/>
        </w:trPr>
        <w:tc>
          <w:tcPr>
            <w:tcW w:w="680" w:type="dxa"/>
            <w:vAlign w:val="bottom"/>
          </w:tcPr>
          <w:p>
            <w:pPr>
              <w:spacing w:after="0"/>
              <w:rPr>
                <w:sz w:val="24"/>
                <w:szCs w:val="24"/>
                <w:color w:val="auto"/>
              </w:rPr>
            </w:pPr>
          </w:p>
        </w:tc>
        <w:tc>
          <w:tcPr>
            <w:tcW w:w="4520" w:type="dxa"/>
            <w:vAlign w:val="bottom"/>
          </w:tcPr>
          <w:p>
            <w:pPr>
              <w:ind w:left="3960"/>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TIMOTHY D. BOSWELL</w:t>
            </w:r>
          </w:p>
        </w:tc>
      </w:tr>
      <w:tr>
        <w:trPr>
          <w:trHeight w:val="199"/>
        </w:trPr>
        <w:tc>
          <w:tcPr>
            <w:tcW w:w="680" w:type="dxa"/>
            <w:vAlign w:val="bottom"/>
          </w:tcPr>
          <w:p>
            <w:pPr>
              <w:spacing w:after="0"/>
              <w:rPr>
                <w:sz w:val="20"/>
                <w:szCs w:val="20"/>
                <w:color w:val="auto"/>
              </w:rPr>
            </w:pPr>
            <w:r>
              <w:rPr>
                <w:rFonts w:ascii="Arial" w:cs="Arial" w:eastAsia="Arial" w:hAnsi="Arial"/>
                <w:sz w:val="15"/>
                <w:szCs w:val="15"/>
                <w:color w:val="auto"/>
              </w:rPr>
              <w:t>Dated:</w:t>
            </w:r>
          </w:p>
        </w:tc>
        <w:tc>
          <w:tcPr>
            <w:tcW w:w="4520" w:type="dxa"/>
            <w:vAlign w:val="bottom"/>
          </w:tcPr>
          <w:p>
            <w:pPr>
              <w:ind w:left="200"/>
              <w:spacing w:after="0"/>
              <w:rPr>
                <w:sz w:val="20"/>
                <w:szCs w:val="20"/>
                <w:color w:val="auto"/>
              </w:rPr>
            </w:pPr>
            <w:r>
              <w:rPr>
                <w:rFonts w:ascii="Arial" w:cs="Arial" w:eastAsia="Arial" w:hAnsi="Arial"/>
                <w:sz w:val="15"/>
                <w:szCs w:val="15"/>
                <w:color w:val="auto"/>
              </w:rPr>
              <w:t>August 3, 2023</w:t>
            </w:r>
          </w:p>
        </w:tc>
        <w:tc>
          <w:tcPr>
            <w:tcW w:w="5220" w:type="dxa"/>
            <w:vAlign w:val="bottom"/>
          </w:tcPr>
          <w:p>
            <w:pPr>
              <w:ind w:left="20"/>
              <w:spacing w:after="0"/>
              <w:rPr>
                <w:sz w:val="20"/>
                <w:szCs w:val="20"/>
                <w:color w:val="auto"/>
              </w:rPr>
            </w:pPr>
            <w:r>
              <w:rPr>
                <w:rFonts w:ascii="Arial" w:cs="Arial" w:eastAsia="Arial" w:hAnsi="Arial"/>
                <w:sz w:val="15"/>
                <w:szCs w:val="15"/>
                <w:color w:val="auto"/>
              </w:rPr>
              <w:t>Timothy D. Boswell</w:t>
            </w:r>
          </w:p>
        </w:tc>
      </w:tr>
      <w:tr>
        <w:trPr>
          <w:trHeight w:val="160"/>
        </w:trPr>
        <w:tc>
          <w:tcPr>
            <w:tcW w:w="6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5220" w:type="dxa"/>
            <w:vAlign w:val="bottom"/>
          </w:tcPr>
          <w:p>
            <w:pPr>
              <w:ind w:left="20"/>
              <w:spacing w:after="0" w:line="161" w:lineRule="exact"/>
              <w:rPr>
                <w:sz w:val="20"/>
                <w:szCs w:val="20"/>
                <w:color w:val="auto"/>
              </w:rPr>
            </w:pPr>
            <w:r>
              <w:rPr>
                <w:rFonts w:ascii="Arial" w:cs="Arial" w:eastAsia="Arial" w:hAnsi="Arial"/>
                <w:sz w:val="15"/>
                <w:szCs w:val="15"/>
                <w:i w:val="1"/>
                <w:iCs w:val="1"/>
                <w:color w:val="auto"/>
              </w:rPr>
              <w:t>President &amp; Chief Financial Officer</w:t>
            </w:r>
          </w:p>
        </w:tc>
      </w:tr>
      <w:tr>
        <w:trPr>
          <w:trHeight w:val="202"/>
        </w:trPr>
        <w:tc>
          <w:tcPr>
            <w:tcW w:w="6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Arial" w:cs="Arial" w:eastAsia="Arial" w:hAnsi="Arial"/>
                <w:sz w:val="15"/>
                <w:szCs w:val="15"/>
                <w:i w:val="1"/>
                <w:iCs w:val="1"/>
                <w:color w:val="auto"/>
              </w:rPr>
              <w:t>(Principal Financial Officer and Duly Authorized 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105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5"/>
          <w:szCs w:val="1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EMPLOYMENT AGREEMENT</w:t>
      </w:r>
    </w:p>
    <w:p>
      <w:pPr>
        <w:spacing w:after="0" w:line="282" w:lineRule="exact"/>
        <w:rPr>
          <w:sz w:val="20"/>
          <w:szCs w:val="20"/>
          <w:color w:val="auto"/>
        </w:rPr>
      </w:pPr>
    </w:p>
    <w:p>
      <w:pPr>
        <w:ind w:right="20" w:firstLine="619"/>
        <w:spacing w:after="0" w:line="248" w:lineRule="auto"/>
        <w:rPr>
          <w:sz w:val="20"/>
          <w:szCs w:val="20"/>
          <w:color w:val="auto"/>
        </w:rPr>
      </w:pPr>
      <w:r>
        <w:rPr>
          <w:rFonts w:ascii="Arial" w:cs="Arial" w:eastAsia="Arial" w:hAnsi="Arial"/>
          <w:sz w:val="17"/>
          <w:szCs w:val="17"/>
          <w:color w:val="auto"/>
        </w:rPr>
        <w:t>This EMPLOYMENT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by and between WillScot Mobile Mini Holdings Corp., a Delaware corporation (the “</w:t>
      </w:r>
      <w:r>
        <w:rPr>
          <w:rFonts w:ascii="Arial" w:cs="Arial" w:eastAsia="Arial" w:hAnsi="Arial"/>
          <w:sz w:val="17"/>
          <w:szCs w:val="17"/>
          <w:u w:val="single" w:color="auto"/>
          <w:color w:val="auto"/>
        </w:rPr>
        <w:t>Employer</w:t>
      </w:r>
      <w:r>
        <w:rPr>
          <w:rFonts w:ascii="Arial" w:cs="Arial" w:eastAsia="Arial" w:hAnsi="Arial"/>
          <w:sz w:val="17"/>
          <w:szCs w:val="17"/>
          <w:color w:val="auto"/>
        </w:rPr>
        <w:t>”), and Felicia Gorcyca, an individual (the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21" w:lineRule="exact"/>
        <w:rPr>
          <w:sz w:val="20"/>
          <w:szCs w:val="20"/>
          <w:color w:val="auto"/>
        </w:rPr>
      </w:pPr>
    </w:p>
    <w:p>
      <w:pPr>
        <w:ind w:left="620" w:right="2240"/>
        <w:spacing w:after="0" w:line="319" w:lineRule="auto"/>
        <w:rPr>
          <w:sz w:val="20"/>
          <w:szCs w:val="20"/>
          <w:color w:val="auto"/>
        </w:rPr>
      </w:pPr>
      <w:r>
        <w:rPr>
          <w:rFonts w:ascii="Arial" w:cs="Arial" w:eastAsia="Arial" w:hAnsi="Arial"/>
          <w:sz w:val="16"/>
          <w:szCs w:val="16"/>
          <w:color w:val="auto"/>
        </w:rPr>
        <w:t>WHEREAS, the Employer desires to employ the Executive on the terms and conditions set forth in this Agreement; and WHEREAS, the Executive desires to be employed by the Employer on such terms and conditions;</w:t>
      </w:r>
    </w:p>
    <w:p>
      <w:pPr>
        <w:spacing w:after="0" w:line="1" w:lineRule="exact"/>
        <w:rPr>
          <w:sz w:val="20"/>
          <w:szCs w:val="20"/>
          <w:color w:val="auto"/>
        </w:rPr>
      </w:pPr>
    </w:p>
    <w:p>
      <w:pPr>
        <w:ind w:right="20" w:firstLine="619"/>
        <w:spacing w:after="0" w:line="248" w:lineRule="auto"/>
        <w:rPr>
          <w:sz w:val="20"/>
          <w:szCs w:val="20"/>
          <w:color w:val="auto"/>
        </w:rPr>
      </w:pPr>
      <w:r>
        <w:rPr>
          <w:rFonts w:ascii="Arial" w:cs="Arial" w:eastAsia="Arial" w:hAnsi="Arial"/>
          <w:sz w:val="17"/>
          <w:szCs w:val="17"/>
          <w:color w:val="auto"/>
        </w:rPr>
        <w:t>NOW, THEREFORE, in consideration of the mutual covenants and agreements set forth herein and for other good and valuable consideration, the receipt and sufficiency of which hereby are acknowledged, the parties hereto agree as follows:</w:t>
      </w:r>
    </w:p>
    <w:p>
      <w:pPr>
        <w:spacing w:after="0" w:line="189" w:lineRule="exact"/>
        <w:rPr>
          <w:sz w:val="20"/>
          <w:szCs w:val="20"/>
          <w:color w:val="auto"/>
        </w:rPr>
      </w:pPr>
    </w:p>
    <w:p>
      <w:pPr>
        <w:jc w:val="both"/>
        <w:ind w:right="20" w:firstLine="618"/>
        <w:spacing w:after="0" w:line="224"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Employment Agreement</w:t>
      </w:r>
      <w:r>
        <w:rPr>
          <w:rFonts w:ascii="Arial" w:cs="Arial" w:eastAsia="Arial" w:hAnsi="Arial"/>
          <w:sz w:val="17"/>
          <w:szCs w:val="17"/>
          <w:color w:val="auto"/>
        </w:rPr>
        <w:t xml:space="preserve">. On the terms and conditions set forth in this Agreement, the Employer agrees to employ the Executive and the Executive agrees to be employed by the Employer for the Employment Period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in the positions and with the duties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Terms used herein with initial capitalization not otherwise defined are defined in </w:t>
      </w:r>
      <w:r>
        <w:rPr>
          <w:rFonts w:ascii="Arial" w:cs="Arial" w:eastAsia="Arial" w:hAnsi="Arial"/>
          <w:sz w:val="17"/>
          <w:szCs w:val="17"/>
          <w:u w:val="single" w:color="auto"/>
          <w:color w:val="auto"/>
        </w:rPr>
        <w:t>Section 25</w:t>
      </w:r>
      <w:r>
        <w:rPr>
          <w:rFonts w:ascii="Arial" w:cs="Arial" w:eastAsia="Arial" w:hAnsi="Arial"/>
          <w:sz w:val="17"/>
          <w:szCs w:val="17"/>
          <w:color w:val="auto"/>
        </w:rPr>
        <w:t>. This Agreement shall become effective June 26, 2023 (the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right="20" w:firstLine="618"/>
        <w:spacing w:after="0" w:line="230"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initial term of employment under this Agreement shall commence on the Effective Date and extend until five (5) years from the Effective Date (the “</w:t>
      </w:r>
      <w:r>
        <w:rPr>
          <w:rFonts w:ascii="Arial" w:cs="Arial" w:eastAsia="Arial" w:hAnsi="Arial"/>
          <w:sz w:val="16"/>
          <w:szCs w:val="16"/>
          <w:u w:val="single" w:color="auto"/>
          <w:color w:val="auto"/>
        </w:rPr>
        <w:t>Initial Term</w:t>
      </w:r>
      <w:r>
        <w:rPr>
          <w:rFonts w:ascii="Arial" w:cs="Arial" w:eastAsia="Arial" w:hAnsi="Arial"/>
          <w:sz w:val="16"/>
          <w:szCs w:val="16"/>
          <w:color w:val="auto"/>
        </w:rPr>
        <w:t>”). The term of employment shall be automatically extended for an additional consecutive 12-month period (the “</w:t>
      </w:r>
      <w:r>
        <w:rPr>
          <w:rFonts w:ascii="Arial" w:cs="Arial" w:eastAsia="Arial" w:hAnsi="Arial"/>
          <w:sz w:val="16"/>
          <w:szCs w:val="16"/>
          <w:u w:val="single" w:color="auto"/>
          <w:color w:val="auto"/>
        </w:rPr>
        <w:t>Extended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on the last day of the Initial Term and each subsequent anniversary thereof, unless and until the Employer or Executive provides written notice to the other party in accordance with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not less than 90 days before such anniversary date that such party is electing not to extend the term of employment under this Agreement (“</w:t>
      </w:r>
      <w:r>
        <w:rPr>
          <w:rFonts w:ascii="Arial" w:cs="Arial" w:eastAsia="Arial" w:hAnsi="Arial"/>
          <w:sz w:val="16"/>
          <w:szCs w:val="16"/>
          <w:u w:val="single" w:color="auto"/>
          <w:color w:val="auto"/>
        </w:rPr>
        <w:t>Non-Renewal</w:t>
      </w:r>
      <w:r>
        <w:rPr>
          <w:rFonts w:ascii="Arial" w:cs="Arial" w:eastAsia="Arial" w:hAnsi="Arial"/>
          <w:sz w:val="16"/>
          <w:szCs w:val="16"/>
          <w:color w:val="auto"/>
        </w:rPr>
        <w:t>”), in which case the term of employment hereunder shall end as of the end of such Initial Term or Extended Term, as the case may be, unless sooner terminated as hereinafter set forth. Such Initial Term and all such Extended Terms are collectively referred to herein as the “</w:t>
      </w:r>
      <w:r>
        <w:rPr>
          <w:rFonts w:ascii="Arial" w:cs="Arial" w:eastAsia="Arial" w:hAnsi="Arial"/>
          <w:sz w:val="16"/>
          <w:szCs w:val="16"/>
          <w:u w:val="single" w:color="auto"/>
          <w:color w:val="auto"/>
        </w:rPr>
        <w:t>Employment Period</w:t>
      </w:r>
      <w:r>
        <w:rPr>
          <w:rFonts w:ascii="Arial" w:cs="Arial" w:eastAsia="Arial" w:hAnsi="Arial"/>
          <w:sz w:val="16"/>
          <w:szCs w:val="16"/>
          <w:color w:val="auto"/>
        </w:rPr>
        <w:t>.” Anything herein to the contrary notwithstanding, if on the date of a Change in Control the remaining term of the Employment Period is less than 12 months, the Employment Period shall be automatically extended to the end of the 12-month period following such Change in Control, and the extension and renewal provisions in this Section 2 shall apply with regard to the last day of the Employment Period as extended by this sentence and on each subsequent anniversary thereof.</w:t>
      </w:r>
    </w:p>
    <w:p>
      <w:pPr>
        <w:spacing w:after="0" w:line="183" w:lineRule="exact"/>
        <w:rPr>
          <w:rFonts w:ascii="Arial" w:cs="Arial" w:eastAsia="Arial" w:hAnsi="Arial"/>
          <w:sz w:val="16"/>
          <w:szCs w:val="16"/>
          <w:color w:val="auto"/>
        </w:rPr>
      </w:pPr>
    </w:p>
    <w:p>
      <w:pPr>
        <w:jc w:val="both"/>
        <w:ind w:right="20" w:firstLine="618"/>
        <w:spacing w:after="0" w:line="253" w:lineRule="auto"/>
        <w:tabs>
          <w:tab w:leader="none" w:pos="110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Position and Duties</w:t>
      </w:r>
      <w:r>
        <w:rPr>
          <w:rFonts w:ascii="Arial" w:cs="Arial" w:eastAsia="Arial" w:hAnsi="Arial"/>
          <w:sz w:val="15"/>
          <w:szCs w:val="15"/>
          <w:color w:val="auto"/>
        </w:rPr>
        <w:t xml:space="preserve">. During the Employment Period the Executive shall serve as Executive Vice President and Chief Human Resources Officer. In such capacities, the Executive shall report to the Chief Executive Officer and shall have the duties, responsibilities and authorities customarily associated with such position(s) in a company the size and nature of the Employer. The Executive shall devote the Executive’s reasonable best efforts and full business time to the performance of the Executive’s duties hereunder and the advancement of the business and affairs of the Employer; </w:t>
      </w:r>
      <w:r>
        <w:rPr>
          <w:rFonts w:ascii="Arial" w:cs="Arial" w:eastAsia="Arial" w:hAnsi="Arial"/>
          <w:sz w:val="15"/>
          <w:szCs w:val="15"/>
          <w:u w:val="single" w:color="auto"/>
          <w:color w:val="auto"/>
        </w:rPr>
        <w:t>provided that</w:t>
      </w:r>
      <w:r>
        <w:rPr>
          <w:rFonts w:ascii="Arial" w:cs="Arial" w:eastAsia="Arial" w:hAnsi="Arial"/>
          <w:sz w:val="15"/>
          <w:szCs w:val="15"/>
          <w:color w:val="auto"/>
        </w:rPr>
        <w:t>, the Executive may serve on civic, charitable, educational, religious, public interest or public service boards</w:t>
      </w:r>
      <w:r>
        <w:rPr>
          <w:rFonts w:ascii="Arial" w:cs="Arial" w:eastAsia="Arial" w:hAnsi="Arial"/>
          <w:sz w:val="16"/>
          <w:szCs w:val="16"/>
          <w:color w:val="auto"/>
        </w:rPr>
        <w:t>,</w:t>
      </w:r>
      <w:r>
        <w:rPr>
          <w:rFonts w:ascii="Arial" w:cs="Arial" w:eastAsia="Arial" w:hAnsi="Arial"/>
          <w:sz w:val="15"/>
          <w:szCs w:val="15"/>
          <w:color w:val="auto"/>
        </w:rPr>
        <w:t xml:space="preserve"> and manage the Executive’s personal and family investments, in each case, to the extent such activities do not materially interfere with the performance of the Executive’s duties and responsibilities hereunder.</w:t>
      </w:r>
    </w:p>
    <w:p>
      <w:pPr>
        <w:spacing w:after="0" w:line="186" w:lineRule="exact"/>
        <w:rPr>
          <w:rFonts w:ascii="Arial" w:cs="Arial" w:eastAsia="Arial" w:hAnsi="Arial"/>
          <w:sz w:val="15"/>
          <w:szCs w:val="15"/>
          <w:color w:val="auto"/>
        </w:rPr>
      </w:pPr>
    </w:p>
    <w:p>
      <w:pPr>
        <w:ind w:left="1100" w:hanging="482"/>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Place of Performance</w:t>
      </w:r>
      <w:r>
        <w:rPr>
          <w:rFonts w:ascii="Arial" w:cs="Arial" w:eastAsia="Arial" w:hAnsi="Arial"/>
          <w:sz w:val="17"/>
          <w:szCs w:val="17"/>
          <w:color w:val="auto"/>
        </w:rPr>
        <w:t>. The Executive shall be based primarily at the Employer’s executive headquarters, in Phoenix, Arizona.</w:t>
      </w:r>
    </w:p>
    <w:p>
      <w:pPr>
        <w:spacing w:after="0" w:line="204" w:lineRule="exact"/>
        <w:rPr>
          <w:rFonts w:ascii="Arial" w:cs="Arial" w:eastAsia="Arial" w:hAnsi="Arial"/>
          <w:sz w:val="17"/>
          <w:szCs w:val="17"/>
          <w:color w:val="auto"/>
        </w:rPr>
      </w:pPr>
    </w:p>
    <w:p>
      <w:pPr>
        <w:ind w:left="1240" w:hanging="621"/>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Compensation and Benefits</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right="20" w:firstLine="1237"/>
        <w:spacing w:after="0" w:line="238" w:lineRule="auto"/>
        <w:tabs>
          <w:tab w:leader="none" w:pos="1719"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Employment Period, the Employer shall pay to the Executive a base salary (the “</w:t>
      </w:r>
      <w:r>
        <w:rPr>
          <w:rFonts w:ascii="Arial" w:cs="Arial" w:eastAsia="Arial" w:hAnsi="Arial"/>
          <w:sz w:val="16"/>
          <w:szCs w:val="16"/>
          <w:u w:val="single" w:color="auto"/>
          <w:color w:val="auto"/>
        </w:rPr>
        <w:t>Base Salary</w:t>
      </w:r>
      <w:r>
        <w:rPr>
          <w:rFonts w:ascii="Arial" w:cs="Arial" w:eastAsia="Arial" w:hAnsi="Arial"/>
          <w:sz w:val="16"/>
          <w:szCs w:val="16"/>
          <w:color w:val="auto"/>
        </w:rPr>
        <w:t>”) at the rate of no less than $450,000 per calendar year, less applicable deductions, and prorated for any partial year. The Base Salary shall be reviewed for increase by the Employer no less frequently than annually, and shall be increased in the discretion of the Employer and any such adjusted Base Salary shall constitute the “Base Salary” for purposes of this Agreement. The Base Salary shall be paid in substantially equal installments in accordance with the Employer’s regular payroll procedures. The Executive’s Base Salary may not be decreased during the Employment Period.</w:t>
      </w:r>
    </w:p>
    <w:p>
      <w:pPr>
        <w:spacing w:after="0" w:line="183" w:lineRule="exact"/>
        <w:rPr>
          <w:rFonts w:ascii="Arial" w:cs="Arial" w:eastAsia="Arial" w:hAnsi="Arial"/>
          <w:sz w:val="16"/>
          <w:szCs w:val="16"/>
          <w:color w:val="auto"/>
        </w:rPr>
      </w:pPr>
    </w:p>
    <w:p>
      <w:pPr>
        <w:jc w:val="both"/>
        <w:ind w:right="20" w:firstLine="1237"/>
        <w:spacing w:after="0" w:line="234" w:lineRule="auto"/>
        <w:tabs>
          <w:tab w:leader="none" w:pos="1719"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For each fiscal year of the Employer ending during the Employment Period, the Executive shall be eligible to earn an annual cash performance bonus (an “</w:t>
      </w:r>
      <w:r>
        <w:rPr>
          <w:rFonts w:ascii="Arial" w:cs="Arial" w:eastAsia="Arial" w:hAnsi="Arial"/>
          <w:sz w:val="16"/>
          <w:szCs w:val="16"/>
          <w:u w:val="single" w:color="auto"/>
          <w:color w:val="auto"/>
        </w:rPr>
        <w:t>Annual Bonus</w:t>
      </w:r>
      <w:r>
        <w:rPr>
          <w:rFonts w:ascii="Arial" w:cs="Arial" w:eastAsia="Arial" w:hAnsi="Arial"/>
          <w:sz w:val="16"/>
          <w:szCs w:val="16"/>
          <w:color w:val="auto"/>
        </w:rPr>
        <w:t>”) based on performance against performance criteria determined by the Compensation Committee of the Board (the “</w:t>
      </w:r>
      <w:r>
        <w:rPr>
          <w:rFonts w:ascii="Arial" w:cs="Arial" w:eastAsia="Arial" w:hAnsi="Arial"/>
          <w:sz w:val="16"/>
          <w:szCs w:val="16"/>
          <w:u w:val="single" w:color="auto"/>
          <w:color w:val="auto"/>
        </w:rPr>
        <w:t>Committee</w:t>
      </w:r>
      <w:r>
        <w:rPr>
          <w:rFonts w:ascii="Arial" w:cs="Arial" w:eastAsia="Arial" w:hAnsi="Arial"/>
          <w:sz w:val="16"/>
          <w:szCs w:val="16"/>
          <w:color w:val="auto"/>
        </w:rPr>
        <w:t>”). The Executive’s annual target bonus opportunity for each fiscal year shall equal 75% of the Executive’s Base Salary (the “</w:t>
      </w:r>
      <w:r>
        <w:rPr>
          <w:rFonts w:ascii="Arial" w:cs="Arial" w:eastAsia="Arial" w:hAnsi="Arial"/>
          <w:sz w:val="16"/>
          <w:szCs w:val="16"/>
          <w:u w:val="single" w:color="auto"/>
          <w:color w:val="auto"/>
        </w:rPr>
        <w:t>Target</w:t>
      </w:r>
      <w:r>
        <w:rPr>
          <w:rFonts w:ascii="Arial" w:cs="Arial" w:eastAsia="Arial" w:hAnsi="Arial"/>
          <w:sz w:val="16"/>
          <w:szCs w:val="16"/>
          <w:color w:val="auto"/>
        </w:rPr>
        <w:t xml:space="preserve"> </w:t>
      </w:r>
      <w:r>
        <w:rPr>
          <w:rFonts w:ascii="Arial" w:cs="Arial" w:eastAsia="Arial" w:hAnsi="Arial"/>
          <w:sz w:val="16"/>
          <w:szCs w:val="16"/>
          <w:u w:val="single" w:color="auto"/>
          <w:color w:val="auto"/>
        </w:rPr>
        <w:t>Bonus</w:t>
      </w:r>
      <w:r>
        <w:rPr>
          <w:rFonts w:ascii="Arial" w:cs="Arial" w:eastAsia="Arial" w:hAnsi="Arial"/>
          <w:sz w:val="16"/>
          <w:szCs w:val="16"/>
          <w:color w:val="auto"/>
        </w:rPr>
        <w:t>”). The Executive’s Annual Bonus for a fiscal year shall be determined by the Committee after the end of the applicable bonus period and shall be paid to the Executive when annual bonuses for that year are paid to other senior executives of the Employer generally.</w:t>
      </w:r>
    </w:p>
    <w:p>
      <w:pPr>
        <w:spacing w:after="0" w:line="198" w:lineRule="exact"/>
        <w:rPr>
          <w:rFonts w:ascii="Arial" w:cs="Arial" w:eastAsia="Arial" w:hAnsi="Arial"/>
          <w:sz w:val="16"/>
          <w:szCs w:val="16"/>
          <w:color w:val="auto"/>
        </w:rPr>
      </w:pPr>
    </w:p>
    <w:p>
      <w:pPr>
        <w:ind w:left="1620" w:hanging="383"/>
        <w:spacing w:after="0"/>
        <w:tabs>
          <w:tab w:leader="none" w:pos="162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Long Term Incentive Equity</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right="20" w:firstLine="1855"/>
        <w:spacing w:after="0" w:line="238" w:lineRule="auto"/>
        <w:tabs>
          <w:tab w:leader="none" w:pos="2340"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Annual Award</w:t>
      </w:r>
      <w:r>
        <w:rPr>
          <w:rFonts w:ascii="Arial" w:cs="Arial" w:eastAsia="Arial" w:hAnsi="Arial"/>
          <w:sz w:val="16"/>
          <w:szCs w:val="16"/>
          <w:color w:val="auto"/>
        </w:rPr>
        <w:t>. With respect to each fiscal year of the Employer ending during the Employment Period, the Executive shall be eligible to receive annual equity awards under the WillScot Mobile Mini Holdings Corp. 2020 Incentive Award Plan or other long-term equity incentive plan of the Employer then in effect (the “</w:t>
      </w:r>
      <w:r>
        <w:rPr>
          <w:rFonts w:ascii="Arial" w:cs="Arial" w:eastAsia="Arial" w:hAnsi="Arial"/>
          <w:sz w:val="16"/>
          <w:szCs w:val="16"/>
          <w:u w:val="single" w:color="auto"/>
          <w:color w:val="auto"/>
        </w:rPr>
        <w:t>Plan</w:t>
      </w:r>
      <w:r>
        <w:rPr>
          <w:rFonts w:ascii="Arial" w:cs="Arial" w:eastAsia="Arial" w:hAnsi="Arial"/>
          <w:sz w:val="16"/>
          <w:szCs w:val="16"/>
          <w:color w:val="auto"/>
        </w:rPr>
        <w:t>”), 70% of which shall be in the form of performance-based restricted stock units (“</w:t>
      </w:r>
      <w:r>
        <w:rPr>
          <w:rFonts w:ascii="Arial" w:cs="Arial" w:eastAsia="Arial" w:hAnsi="Arial"/>
          <w:sz w:val="16"/>
          <w:szCs w:val="16"/>
          <w:u w:val="single" w:color="auto"/>
          <w:color w:val="auto"/>
        </w:rPr>
        <w:t>PSUs</w:t>
      </w:r>
      <w:r>
        <w:rPr>
          <w:rFonts w:ascii="Arial" w:cs="Arial" w:eastAsia="Arial" w:hAnsi="Arial"/>
          <w:sz w:val="16"/>
          <w:szCs w:val="16"/>
          <w:color w:val="auto"/>
        </w:rPr>
        <w:t>”) vesting over three years and 30% in the form of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vesting ratably over four years. The level of the Executive’s</w:t>
      </w:r>
    </w:p>
    <w:p>
      <w:pPr>
        <w:sectPr>
          <w:pgSz w:w="11900" w:h="16838" w:orient="portrait"/>
          <w:cols w:equalWidth="0" w:num="1">
            <w:col w:w="11100"/>
          </w:cols>
          <w:pgMar w:left="460" w:top="114" w:right="339" w:bottom="1440" w:gutter="0" w:footer="0" w:header="0"/>
        </w:sectPr>
      </w:pPr>
    </w:p>
    <w:bookmarkStart w:id="53" w:name="page54"/>
    <w:bookmarkEnd w:id="53"/>
    <w:p>
      <w:pPr>
        <w:jc w:val="both"/>
        <w:spacing w:after="0" w:line="251" w:lineRule="auto"/>
        <w:rPr>
          <w:sz w:val="20"/>
          <w:szCs w:val="20"/>
          <w:color w:val="auto"/>
        </w:rPr>
      </w:pPr>
      <w:r>
        <w:rPr>
          <w:rFonts w:ascii="Arial" w:cs="Arial" w:eastAsia="Arial" w:hAnsi="Arial"/>
          <w:sz w:val="15"/>
          <w:szCs w:val="15"/>
          <w:color w:val="auto"/>
        </w:rPr>
        <w:t>participation in the Plan, if any, shall be determined in the discretion of the Committee from time to time. The target grant value of this annual award is $750,000, but the actual value of any grant may be higher or lower based on Committee discretion. Terms and conditions of such awards shall be governed by</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 xml:space="preserve">the terms and conditions of the Plan and the applicable award agreements. For the avoidance of doubt, the first grant to the Executive under this </w:t>
      </w:r>
      <w:r>
        <w:rPr>
          <w:rFonts w:ascii="Arial" w:cs="Arial" w:eastAsia="Arial" w:hAnsi="Arial"/>
          <w:sz w:val="17"/>
          <w:szCs w:val="17"/>
          <w:u w:val="single" w:color="auto"/>
          <w:color w:val="auto"/>
        </w:rPr>
        <w:t>Section 5(c)(i)</w:t>
      </w:r>
      <w:r>
        <w:rPr>
          <w:rFonts w:ascii="Arial" w:cs="Arial" w:eastAsia="Arial" w:hAnsi="Arial"/>
          <w:sz w:val="17"/>
          <w:szCs w:val="17"/>
          <w:color w:val="auto"/>
        </w:rPr>
        <w:t>, with respect to the fiscal year ended December 31, 2023, shall be granted as soon as practicable following the filing of the Employer’s Form 10-K for the 2023 and in any event, is anticipated to occur during 2024.</w:t>
      </w:r>
    </w:p>
    <w:p>
      <w:pPr>
        <w:spacing w:after="0" w:line="196" w:lineRule="exact"/>
        <w:rPr>
          <w:sz w:val="20"/>
          <w:szCs w:val="20"/>
          <w:color w:val="auto"/>
        </w:rPr>
      </w:pPr>
    </w:p>
    <w:p>
      <w:pPr>
        <w:jc w:val="both"/>
        <w:ind w:firstLine="1856"/>
        <w:spacing w:after="0" w:line="218" w:lineRule="auto"/>
        <w:tabs>
          <w:tab w:leader="none" w:pos="2338" w:val="left"/>
        </w:tabs>
        <w:numPr>
          <w:ilvl w:val="2"/>
          <w:numId w:val="13"/>
        </w:numPr>
        <w:rPr>
          <w:rFonts w:ascii="Arial" w:cs="Arial" w:eastAsia="Arial" w:hAnsi="Arial"/>
          <w:sz w:val="17"/>
          <w:szCs w:val="17"/>
          <w:color w:val="auto"/>
        </w:rPr>
      </w:pPr>
      <w:r>
        <w:rPr>
          <w:rFonts w:ascii="Arial" w:cs="Arial" w:eastAsia="Arial" w:hAnsi="Arial"/>
          <w:sz w:val="17"/>
          <w:szCs w:val="17"/>
          <w:u w:val="single" w:color="auto"/>
          <w:color w:val="auto"/>
        </w:rPr>
        <w:t>Executive New Hire Bonus</w:t>
      </w:r>
      <w:r>
        <w:rPr>
          <w:rFonts w:ascii="Arial" w:cs="Arial" w:eastAsia="Arial" w:hAnsi="Arial"/>
          <w:sz w:val="17"/>
          <w:szCs w:val="17"/>
          <w:color w:val="auto"/>
        </w:rPr>
        <w:t>. The Employer shall recommend to the Committee that the Executive receive an executive new hire bonus in the form of PSUs (the “</w:t>
      </w:r>
      <w:r>
        <w:rPr>
          <w:rFonts w:ascii="Arial" w:cs="Arial" w:eastAsia="Arial" w:hAnsi="Arial"/>
          <w:sz w:val="17"/>
          <w:szCs w:val="17"/>
          <w:u w:val="single" w:color="auto"/>
          <w:color w:val="auto"/>
        </w:rPr>
        <w:t>New Hire Bonus</w:t>
      </w:r>
      <w:r>
        <w:rPr>
          <w:rFonts w:ascii="Arial" w:cs="Arial" w:eastAsia="Arial" w:hAnsi="Arial"/>
          <w:sz w:val="17"/>
          <w:szCs w:val="17"/>
          <w:color w:val="auto"/>
        </w:rPr>
        <w:t>”), granted in two equal tranches (each, a “</w:t>
      </w:r>
      <w:r>
        <w:rPr>
          <w:rFonts w:ascii="Arial" w:cs="Arial" w:eastAsia="Arial" w:hAnsi="Arial"/>
          <w:sz w:val="17"/>
          <w:szCs w:val="17"/>
          <w:u w:val="single" w:color="auto"/>
          <w:color w:val="auto"/>
        </w:rPr>
        <w:t>Bonus Tranche</w:t>
      </w:r>
      <w:r>
        <w:rPr>
          <w:rFonts w:ascii="Arial" w:cs="Arial" w:eastAsia="Arial" w:hAnsi="Arial"/>
          <w:sz w:val="17"/>
          <w:szCs w:val="17"/>
          <w:color w:val="auto"/>
        </w:rPr>
        <w:t>”) coincidental with the Company’s 2024 and 2025 annual grant cycles, expected to occur following the filing of, for the 2024 annual grant cycle, 4Q2023 and FY2023 results and, for the 2025 annual grant cycle, 4Q2024 and FY2024 results. The aggregate target grant value of the New Hire Bonus shall be $750,000, and each Bonus Tranche shall consist of a number of PSUs equal to the greater of (a) $375,000 divided by the closing stock price on the date of grant or (b) $375,000 divided by $45.90, in either case, rounded to the nearest 5 shares.</w:t>
      </w:r>
    </w:p>
    <w:p>
      <w:pPr>
        <w:spacing w:after="0" w:line="198" w:lineRule="exact"/>
        <w:rPr>
          <w:rFonts w:ascii="Arial" w:cs="Arial" w:eastAsia="Arial" w:hAnsi="Arial"/>
          <w:sz w:val="17"/>
          <w:szCs w:val="17"/>
          <w:color w:val="auto"/>
        </w:rPr>
      </w:pPr>
    </w:p>
    <w:p>
      <w:pPr>
        <w:ind w:firstLine="1237"/>
        <w:spacing w:after="0" w:line="236" w:lineRule="auto"/>
        <w:tabs>
          <w:tab w:leader="none" w:pos="1719"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Employment Period, the Executive shall be entitled to four (4) weeks’ vacation annually to be used in accordance with the Employer’s applicable vacation policy.</w:t>
      </w:r>
    </w:p>
    <w:p>
      <w:pPr>
        <w:spacing w:after="0" w:line="182" w:lineRule="exact"/>
        <w:rPr>
          <w:rFonts w:ascii="Arial" w:cs="Arial" w:eastAsia="Arial" w:hAnsi="Arial"/>
          <w:sz w:val="17"/>
          <w:szCs w:val="17"/>
          <w:color w:val="auto"/>
        </w:rPr>
      </w:pPr>
    </w:p>
    <w:p>
      <w:pPr>
        <w:jc w:val="both"/>
        <w:ind w:firstLine="1237"/>
        <w:spacing w:after="0" w:line="273" w:lineRule="auto"/>
        <w:tabs>
          <w:tab w:leader="none" w:pos="1719" w:val="left"/>
        </w:tabs>
        <w:numPr>
          <w:ilvl w:val="1"/>
          <w:numId w:val="14"/>
        </w:numPr>
        <w:rPr>
          <w:rFonts w:ascii="Arial" w:cs="Arial" w:eastAsia="Arial" w:hAnsi="Arial"/>
          <w:sz w:val="15"/>
          <w:szCs w:val="15"/>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During the Employment Period, the Employer shall provide to the Executive employee benefits and perquisites on a basis that is comparable in all material respects to that provided to other similarly situated executives of the Employer. The Employer shall have the right to change insurance carriers and to adopt, amend, terminate or modify employee benefit plans and arrangements at any time and without the consent of the Executive.</w:t>
      </w:r>
    </w:p>
    <w:p>
      <w:pPr>
        <w:spacing w:after="0" w:line="159" w:lineRule="exact"/>
        <w:rPr>
          <w:rFonts w:ascii="Arial" w:cs="Arial" w:eastAsia="Arial" w:hAnsi="Arial"/>
          <w:sz w:val="15"/>
          <w:szCs w:val="15"/>
          <w:color w:val="auto"/>
        </w:rPr>
      </w:pPr>
    </w:p>
    <w:p>
      <w:pPr>
        <w:jc w:val="both"/>
        <w:ind w:firstLine="618"/>
        <w:spacing w:after="0" w:line="273" w:lineRule="auto"/>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The Executive is expected and is authorized to incur reasonable expenses in the performance of the Executive’s duties hereunder. The Employer shall reimburse the Executive for all such expenses reasonably and actually incurred in accordance with policies which may be adopted from time to time by the Employer promptly upon periodic presentation by the Executive of an itemized account, including reasonable substantiation, of such expenses.</w:t>
      </w:r>
    </w:p>
    <w:p>
      <w:pPr>
        <w:spacing w:after="0" w:line="159" w:lineRule="exact"/>
        <w:rPr>
          <w:rFonts w:ascii="Arial" w:cs="Arial" w:eastAsia="Arial" w:hAnsi="Arial"/>
          <w:sz w:val="15"/>
          <w:szCs w:val="15"/>
          <w:color w:val="auto"/>
        </w:rPr>
      </w:pPr>
    </w:p>
    <w:p>
      <w:pPr>
        <w:jc w:val="both"/>
        <w:ind w:firstLine="618"/>
        <w:spacing w:after="0" w:line="234" w:lineRule="auto"/>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Confidentiality, Non-Disclosure and Non-Competition Agreement</w:t>
      </w:r>
      <w:r>
        <w:rPr>
          <w:rFonts w:ascii="Arial" w:cs="Arial" w:eastAsia="Arial" w:hAnsi="Arial"/>
          <w:sz w:val="16"/>
          <w:szCs w:val="16"/>
          <w:color w:val="auto"/>
        </w:rPr>
        <w:t>. The Employer and the Executive acknowledge and agree that during the Executive’s employment with the Employer, the Executive will have access to and may assist in developing Employer Confidential Information and will occupy a position of trust and confidence with respect to the Employer’s affairs and business and the affairs and business of the Employer Affiliates. The Executive agrees that the following obligations are necessary to preserve the confidential and proprietary nature of Employer Confidential Information and to protect the Employer and the Employer Affiliates against harmful solicitation of employees and customers, harmful competition and other actions by the Executive that may result in serious adverse consequences for the Employer and the Employer Affiliates:</w:t>
      </w:r>
    </w:p>
    <w:p>
      <w:pPr>
        <w:spacing w:after="0" w:line="187" w:lineRule="exact"/>
        <w:rPr>
          <w:rFonts w:ascii="Arial" w:cs="Arial" w:eastAsia="Arial" w:hAnsi="Arial"/>
          <w:sz w:val="16"/>
          <w:szCs w:val="16"/>
          <w:color w:val="auto"/>
        </w:rPr>
      </w:pPr>
    </w:p>
    <w:p>
      <w:pPr>
        <w:jc w:val="both"/>
        <w:ind w:firstLine="1237"/>
        <w:spacing w:after="0" w:line="234" w:lineRule="auto"/>
        <w:tabs>
          <w:tab w:leader="none" w:pos="1719"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Non-Disclosure</w:t>
      </w:r>
      <w:r>
        <w:rPr>
          <w:rFonts w:ascii="Arial" w:cs="Arial" w:eastAsia="Arial" w:hAnsi="Arial"/>
          <w:sz w:val="16"/>
          <w:szCs w:val="16"/>
          <w:color w:val="auto"/>
        </w:rPr>
        <w:t xml:space="preserve">. During and after the Executive’s employment with the Employer, the Executive will not knowingly use, disclose or transfer any Employer Confidential Information other than as authorized in writing by the Employer or within the scope of the Executive’s duties with the Employer as determined reasonably and in good faith by the Executive. Anything herein to the contrary notwithstanding, the provisions of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shall not apply when disclosure is required by law or by any court, arbitrator, mediator or administrative or legislative body (including any committee thereof) with actual or apparent jurisdiction to order the Executive to disclose or make accessible any information or as to information that becomes generally known to the public or within the relevant trade or industry other than due to the Executive’s violation of this </w:t>
      </w:r>
      <w:r>
        <w:rPr>
          <w:rFonts w:ascii="Arial" w:cs="Arial" w:eastAsia="Arial" w:hAnsi="Arial"/>
          <w:sz w:val="16"/>
          <w:szCs w:val="16"/>
          <w:u w:val="single" w:color="auto"/>
          <w:color w:val="auto"/>
        </w:rPr>
        <w:t>Section 7(a)</w:t>
      </w:r>
      <w:r>
        <w:rPr>
          <w:rFonts w:ascii="Arial" w:cs="Arial" w:eastAsia="Arial" w:hAnsi="Arial"/>
          <w:sz w:val="16"/>
          <w:szCs w:val="16"/>
          <w:color w:val="auto"/>
        </w:rPr>
        <w:t>.</w:t>
      </w:r>
    </w:p>
    <w:p>
      <w:pPr>
        <w:spacing w:after="0" w:line="187" w:lineRule="exact"/>
        <w:rPr>
          <w:rFonts w:ascii="Arial" w:cs="Arial" w:eastAsia="Arial" w:hAnsi="Arial"/>
          <w:sz w:val="16"/>
          <w:szCs w:val="16"/>
          <w:color w:val="auto"/>
        </w:rPr>
      </w:pPr>
    </w:p>
    <w:p>
      <w:pPr>
        <w:jc w:val="both"/>
        <w:ind w:firstLine="1237"/>
        <w:spacing w:after="0" w:line="249" w:lineRule="auto"/>
        <w:tabs>
          <w:tab w:leader="none" w:pos="1719" w:val="left"/>
        </w:tabs>
        <w:numPr>
          <w:ilvl w:val="1"/>
          <w:numId w:val="15"/>
        </w:numPr>
        <w:rPr>
          <w:rFonts w:ascii="Arial" w:cs="Arial" w:eastAsia="Arial" w:hAnsi="Arial"/>
          <w:sz w:val="15"/>
          <w:szCs w:val="15"/>
          <w:color w:val="auto"/>
        </w:rPr>
      </w:pPr>
      <w:r>
        <w:rPr>
          <w:rFonts w:ascii="Arial" w:cs="Arial" w:eastAsia="Arial" w:hAnsi="Arial"/>
          <w:sz w:val="15"/>
          <w:szCs w:val="15"/>
          <w:u w:val="single" w:color="auto"/>
          <w:color w:val="auto"/>
        </w:rPr>
        <w:t>Materials</w:t>
      </w:r>
      <w:r>
        <w:rPr>
          <w:rFonts w:ascii="Arial" w:cs="Arial" w:eastAsia="Arial" w:hAnsi="Arial"/>
          <w:sz w:val="15"/>
          <w:szCs w:val="15"/>
          <w:color w:val="auto"/>
        </w:rPr>
        <w:t xml:space="preserve">. The Executive will not remove any Employer Confidential Information or any other property of the Employer or any Employer Affiliate from the Employer’s premises or make copies of such materials except for normal and customary use in the Employer’s business as determined reasonably and in good faith by the Executive. The Executive will return to the Employer all Employer Confidential Information and copies thereof and all other property of the Employer or any Employer Affiliate at any time upon the request of the Employer and in any event promptly after termination of Executive’s employment. The Executive agrees to attempt in good faith to identify and return to the Employer any copies of any Employer Confidential Information after the Executive ceases to be employed by the Employer. Anything to the contrary notwithstanding, nothing in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shall prevent the Executive from retaining a home computer, papers and other materials of a personal nature that do not contain Employer Confidential Information.</w:t>
      </w:r>
    </w:p>
    <w:p>
      <w:pPr>
        <w:spacing w:after="0" w:line="178" w:lineRule="exact"/>
        <w:rPr>
          <w:rFonts w:ascii="Arial" w:cs="Arial" w:eastAsia="Arial" w:hAnsi="Arial"/>
          <w:sz w:val="15"/>
          <w:szCs w:val="15"/>
          <w:color w:val="auto"/>
        </w:rPr>
      </w:pPr>
    </w:p>
    <w:p>
      <w:pPr>
        <w:jc w:val="both"/>
        <w:ind w:firstLine="1237"/>
        <w:spacing w:after="0" w:line="224" w:lineRule="auto"/>
        <w:tabs>
          <w:tab w:leader="none" w:pos="1719"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No Solicitation or Hiring of Employees</w:t>
      </w:r>
      <w:r>
        <w:rPr>
          <w:rFonts w:ascii="Arial" w:cs="Arial" w:eastAsia="Arial" w:hAnsi="Arial"/>
          <w:sz w:val="17"/>
          <w:szCs w:val="17"/>
          <w:color w:val="auto"/>
        </w:rPr>
        <w:t>. During the Non-Compete Period, the Executive shall not solicit, entice, persuade or induce any individual who is employed by the Employer or any Employer Affiliate (or who was so employed within 180 days prior to the Executive’s action) to terminate or refrain from continuing such employment or to become employed by or enter into contractual relations with any other individual or entity, and the Executive shall not hire, directly or indirectly, as an employee, consultant or otherwise, any such person.</w:t>
      </w:r>
    </w:p>
    <w:p>
      <w:pPr>
        <w:spacing w:after="0" w:line="198" w:lineRule="exact"/>
        <w:rPr>
          <w:rFonts w:ascii="Arial" w:cs="Arial" w:eastAsia="Arial" w:hAnsi="Arial"/>
          <w:sz w:val="17"/>
          <w:szCs w:val="17"/>
          <w:color w:val="auto"/>
        </w:rPr>
      </w:pPr>
    </w:p>
    <w:p>
      <w:pPr>
        <w:ind w:left="1900" w:hanging="663"/>
        <w:spacing w:after="0"/>
        <w:tabs>
          <w:tab w:leader="none" w:pos="1900"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w:t>
      </w:r>
    </w:p>
    <w:p>
      <w:pPr>
        <w:spacing w:after="0" w:line="217" w:lineRule="exact"/>
        <w:rPr>
          <w:rFonts w:ascii="Arial" w:cs="Arial" w:eastAsia="Arial" w:hAnsi="Arial"/>
          <w:sz w:val="17"/>
          <w:szCs w:val="17"/>
          <w:color w:val="auto"/>
        </w:rPr>
      </w:pPr>
    </w:p>
    <w:p>
      <w:pPr>
        <w:jc w:val="both"/>
        <w:ind w:firstLine="1856"/>
        <w:spacing w:after="0" w:line="273" w:lineRule="auto"/>
        <w:tabs>
          <w:tab w:leader="none" w:pos="2338" w:val="left"/>
        </w:tabs>
        <w:numPr>
          <w:ilvl w:val="2"/>
          <w:numId w:val="15"/>
        </w:numPr>
        <w:rPr>
          <w:rFonts w:ascii="Arial" w:cs="Arial" w:eastAsia="Arial" w:hAnsi="Arial"/>
          <w:sz w:val="15"/>
          <w:szCs w:val="15"/>
          <w:color w:val="auto"/>
        </w:rPr>
      </w:pPr>
      <w:r>
        <w:rPr>
          <w:rFonts w:ascii="Arial" w:cs="Arial" w:eastAsia="Arial" w:hAnsi="Arial"/>
          <w:sz w:val="15"/>
          <w:szCs w:val="15"/>
          <w:color w:val="auto"/>
        </w:rPr>
        <w:t>During the Non-Compete Period, the Executive shall not, directly or indirectly, (A) solicit or encourage any client or customer of the Employer or any direct or indirect subsidiary of the Employer, or any person or entity who was such a client or customer within 180 days prior to Executive’s action to terminate, reduce or alter in a manner adverse to the Employer or any direct or indirect subsidiary of the Employer, any existing business</w:t>
      </w:r>
    </w:p>
    <w:p>
      <w:pPr>
        <w:sectPr>
          <w:pgSz w:w="11900" w:h="16838" w:orient="portrait"/>
          <w:cols w:equalWidth="0" w:num="1">
            <w:col w:w="11080"/>
          </w:cols>
          <w:pgMar w:left="460" w:top="1042" w:right="359" w:bottom="1440" w:gutter="0" w:footer="0" w:header="0"/>
        </w:sectPr>
      </w:pPr>
    </w:p>
    <w:bookmarkStart w:id="54" w:name="page55"/>
    <w:bookmarkEnd w:id="54"/>
    <w:p>
      <w:pPr>
        <w:jc w:val="both"/>
        <w:spacing w:after="0" w:line="251" w:lineRule="auto"/>
        <w:rPr>
          <w:sz w:val="20"/>
          <w:szCs w:val="20"/>
          <w:color w:val="auto"/>
        </w:rPr>
      </w:pPr>
      <w:r>
        <w:rPr>
          <w:rFonts w:ascii="Arial" w:cs="Arial" w:eastAsia="Arial" w:hAnsi="Arial"/>
          <w:sz w:val="15"/>
          <w:szCs w:val="15"/>
          <w:color w:val="auto"/>
        </w:rPr>
        <w:t>arrangements with the Employer or any direct or indirect subsidiary of the Employer or to transfer existing business from the Employer or any direct or indirect subsidiary of the Employer to any other person or entity, (B) provide services in any capacity to any entity in any geographic area in which the Employer or any</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direct or indirect subsidiary of the Employer conducts that business, or is actively planning to conduct that business, as of the date of such termination (the “</w:t>
      </w:r>
      <w:r>
        <w:rPr>
          <w:rFonts w:ascii="Arial" w:cs="Arial" w:eastAsia="Arial" w:hAnsi="Arial"/>
          <w:sz w:val="16"/>
          <w:szCs w:val="16"/>
          <w:u w:val="single" w:color="auto"/>
          <w:color w:val="auto"/>
        </w:rPr>
        <w:t>Non-Competition Area</w:t>
      </w:r>
      <w:r>
        <w:rPr>
          <w:rFonts w:ascii="Arial" w:cs="Arial" w:eastAsia="Arial" w:hAnsi="Arial"/>
          <w:sz w:val="16"/>
          <w:szCs w:val="16"/>
          <w:color w:val="auto"/>
        </w:rPr>
        <w:t>”) if (i) the entity competes with the Employer or any direct or indirect subsidiary of the Employer by engaging in the Business, or (ii) the services to be provided by the Executive are competitive with the Business and substantially similar to those previously provided by the Executive to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 xml:space="preserve">Employer, or (C) own an interest in any entity, including those described in </w:t>
      </w:r>
      <w:r>
        <w:rPr>
          <w:rFonts w:ascii="Arial" w:cs="Arial" w:eastAsia="Arial" w:hAnsi="Arial"/>
          <w:sz w:val="15"/>
          <w:szCs w:val="15"/>
          <w:u w:val="single" w:color="auto"/>
          <w:color w:val="auto"/>
        </w:rPr>
        <w:t>Section 7(d)(i)(B)(i)</w:t>
      </w:r>
      <w:r>
        <w:rPr>
          <w:rFonts w:ascii="Arial" w:cs="Arial" w:eastAsia="Arial" w:hAnsi="Arial"/>
          <w:sz w:val="15"/>
          <w:szCs w:val="15"/>
          <w:color w:val="auto"/>
        </w:rPr>
        <w:t xml:space="preserve"> immediately above. The Executive agrees that, before providing services, whether as an employee or consultant, to any entity during the Non-Compete Period, the Executive will provide a copy of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of this Agreement to such entity. The Executive acknowledges that this covenant has a unique, very substantial and immeasurable value to the Employer, that the</w:t>
      </w:r>
    </w:p>
    <w:p>
      <w:pPr>
        <w:jc w:val="both"/>
        <w:spacing w:after="0" w:line="220" w:lineRule="auto"/>
        <w:rPr>
          <w:sz w:val="20"/>
          <w:szCs w:val="20"/>
          <w:color w:val="auto"/>
        </w:rPr>
      </w:pPr>
      <w:r>
        <w:rPr>
          <w:rFonts w:ascii="Arial" w:cs="Arial" w:eastAsia="Arial" w:hAnsi="Arial"/>
          <w:sz w:val="17"/>
          <w:szCs w:val="17"/>
          <w:color w:val="auto"/>
        </w:rPr>
        <w:t>Executive has sufficient assets and skills to provide a livelihood for the Executive while such covenant remains in force and that, as a result of the foregoing, in the event that the Executive breaches such covenant, monetary damages may be an insufficient remedy for the Employer and equitable enforcement of the covenant may be proper.</w:t>
      </w:r>
    </w:p>
    <w:p>
      <w:pPr>
        <w:spacing w:after="0" w:line="196" w:lineRule="exact"/>
        <w:rPr>
          <w:sz w:val="20"/>
          <w:szCs w:val="20"/>
          <w:color w:val="auto"/>
        </w:rPr>
      </w:pPr>
    </w:p>
    <w:p>
      <w:pPr>
        <w:jc w:val="both"/>
        <w:ind w:firstLine="1856"/>
        <w:spacing w:after="0" w:line="238" w:lineRule="auto"/>
        <w:tabs>
          <w:tab w:leader="none" w:pos="2338" w:val="left"/>
        </w:tabs>
        <w:numPr>
          <w:ilvl w:val="2"/>
          <w:numId w:val="16"/>
        </w:numPr>
        <w:rPr>
          <w:rFonts w:ascii="Arial" w:cs="Arial" w:eastAsia="Arial" w:hAnsi="Arial"/>
          <w:sz w:val="16"/>
          <w:szCs w:val="16"/>
          <w:color w:val="auto"/>
        </w:rPr>
      </w:pPr>
      <w:r>
        <w:rPr>
          <w:rFonts w:ascii="Arial" w:cs="Arial" w:eastAsia="Arial" w:hAnsi="Arial"/>
          <w:sz w:val="16"/>
          <w:szCs w:val="16"/>
          <w:color w:val="auto"/>
        </w:rPr>
        <w:t xml:space="preserve">If the restrictions contained in </w:t>
      </w:r>
      <w:r>
        <w:rPr>
          <w:rFonts w:ascii="Arial" w:cs="Arial" w:eastAsia="Arial" w:hAnsi="Arial"/>
          <w:sz w:val="16"/>
          <w:szCs w:val="16"/>
          <w:u w:val="single" w:color="auto"/>
          <w:color w:val="auto"/>
        </w:rPr>
        <w:t>Section 7(d)(i)</w:t>
      </w:r>
      <w:r>
        <w:rPr>
          <w:rFonts w:ascii="Arial" w:cs="Arial" w:eastAsia="Arial" w:hAnsi="Arial"/>
          <w:sz w:val="16"/>
          <w:szCs w:val="16"/>
          <w:color w:val="auto"/>
        </w:rPr>
        <w:t xml:space="preserve"> shall be determined by any court of competent jurisdiction to be unenforceable by reason of their extending for too great a period of time or over too great a geographical area or by reason of their being too extensive in any other respect, </w:t>
      </w:r>
      <w:r>
        <w:rPr>
          <w:rFonts w:ascii="Arial" w:cs="Arial" w:eastAsia="Arial" w:hAnsi="Arial"/>
          <w:sz w:val="16"/>
          <w:szCs w:val="16"/>
          <w:u w:val="single" w:color="auto"/>
          <w:color w:val="auto"/>
        </w:rPr>
        <w:t>Section 7(d)(i)</w:t>
      </w:r>
      <w:r>
        <w:rPr>
          <w:rFonts w:ascii="Arial" w:cs="Arial" w:eastAsia="Arial" w:hAnsi="Arial"/>
          <w:sz w:val="16"/>
          <w:szCs w:val="16"/>
          <w:color w:val="auto"/>
        </w:rPr>
        <w:t xml:space="preserve"> shall be modified to be effective for the maximum period of time for which it may be enforceable and over the maximum geographical area as to which it may be enforceable and to the maximum extent in all other respects as to which it may be enforceable.</w:t>
      </w:r>
    </w:p>
    <w:p>
      <w:pPr>
        <w:spacing w:after="0" w:line="275" w:lineRule="exact"/>
        <w:rPr>
          <w:rFonts w:ascii="Arial" w:cs="Arial" w:eastAsia="Arial" w:hAnsi="Arial"/>
          <w:sz w:val="16"/>
          <w:szCs w:val="16"/>
          <w:color w:val="auto"/>
        </w:rPr>
      </w:pPr>
    </w:p>
    <w:p>
      <w:pPr>
        <w:jc w:val="both"/>
        <w:ind w:firstLine="1237"/>
        <w:spacing w:after="0" w:line="228" w:lineRule="auto"/>
        <w:tabs>
          <w:tab w:leader="none" w:pos="1719"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The Executive acknowledges that in the event of any breach of this </w:t>
      </w:r>
      <w:r>
        <w:rPr>
          <w:rFonts w:ascii="Arial" w:cs="Arial" w:eastAsia="Arial" w:hAnsi="Arial"/>
          <w:sz w:val="16"/>
          <w:szCs w:val="16"/>
          <w:u w:val="single" w:color="auto"/>
          <w:color w:val="auto"/>
        </w:rPr>
        <w:t>Section 7</w:t>
      </w:r>
      <w:r>
        <w:rPr>
          <w:rFonts w:ascii="Arial" w:cs="Arial" w:eastAsia="Arial" w:hAnsi="Arial"/>
          <w:sz w:val="16"/>
          <w:szCs w:val="16"/>
          <w:color w:val="auto"/>
        </w:rPr>
        <w:t>, the business interests of the Employer and the Employer Affiliates could be irreparably injured, the full extent of the damages to the Employer and the Employer Affiliates may be impossible to ascertain, monetary damages may not be an adequate remedy for the Employer and the Employer Affiliates, and the Employer will be entitled to seek to enforce this Agreement by a temporary, preliminary and/or permanent injunction or other equitable relief, without the necessity of posting bond or security, which the Executive expressly waives. The Executive understands that the Employer may waive some of the requirements expressed in this Agreement, but that such a waiver to be effective must be made in writing and should not in any way be deemed a waiver of the Employer’s right to enforce any other requirements or provisions of this Agreement. The Executive agrees that each of the Executive’s obligations specified in this Agreement is a separate and independent covenant and that the unenforceability of any of them shall not preclude the enforcement of any other covenants in this Agreement. In signing this Agreement, the Executive gives the Employer assurance that the Executive has carefully read and considered all of the terms and conditions of this Agreement. The Executive agrees that these restraints are necessary for the reasonable and proper protection of the Employer and the Employer Affiliates and their Confidential Information and that each and every one of the restraints is reasonable in respect to subject matter, length of time and geographic area, and that these restraints, individually or in the aggregate, will not prevent the Executive from obtaining other suitable employment during the period in which the Executive is bound by the restraints. It is also agreed that each of the Employer Affiliates will have the right to enforce all of the Executive’s obligations to that affiliate under this Agreement.</w:t>
      </w:r>
    </w:p>
    <w:p>
      <w:pPr>
        <w:spacing w:after="0" w:line="195" w:lineRule="exact"/>
        <w:rPr>
          <w:rFonts w:ascii="Arial" w:cs="Arial" w:eastAsia="Arial" w:hAnsi="Arial"/>
          <w:sz w:val="16"/>
          <w:szCs w:val="16"/>
          <w:color w:val="auto"/>
        </w:rPr>
      </w:pPr>
    </w:p>
    <w:p>
      <w:pPr>
        <w:ind w:left="1280" w:hanging="661"/>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w:t>
      </w:r>
    </w:p>
    <w:p>
      <w:pPr>
        <w:spacing w:after="0" w:line="294" w:lineRule="exact"/>
        <w:rPr>
          <w:rFonts w:ascii="Arial" w:cs="Arial" w:eastAsia="Arial" w:hAnsi="Arial"/>
          <w:sz w:val="17"/>
          <w:szCs w:val="17"/>
          <w:color w:val="auto"/>
        </w:rPr>
      </w:pPr>
    </w:p>
    <w:p>
      <w:pPr>
        <w:ind w:left="1720" w:hanging="483"/>
        <w:spacing w:after="0"/>
        <w:tabs>
          <w:tab w:leader="none" w:pos="1720" w:val="left"/>
        </w:tabs>
        <w:numPr>
          <w:ilvl w:val="1"/>
          <w:numId w:val="18"/>
        </w:numPr>
        <w:rPr>
          <w:rFonts w:ascii="Arial" w:cs="Arial" w:eastAsia="Arial" w:hAnsi="Arial"/>
          <w:sz w:val="15"/>
          <w:szCs w:val="15"/>
          <w:color w:val="auto"/>
        </w:rPr>
      </w:pPr>
      <w:r>
        <w:rPr>
          <w:rFonts w:ascii="Arial" w:cs="Arial" w:eastAsia="Arial" w:hAnsi="Arial"/>
          <w:sz w:val="15"/>
          <w:szCs w:val="15"/>
          <w:u w:val="single" w:color="auto"/>
          <w:color w:val="auto"/>
        </w:rPr>
        <w:t>Permitted Terminations</w:t>
      </w:r>
      <w:r>
        <w:rPr>
          <w:rFonts w:ascii="Arial" w:cs="Arial" w:eastAsia="Arial" w:hAnsi="Arial"/>
          <w:sz w:val="15"/>
          <w:szCs w:val="15"/>
          <w:color w:val="auto"/>
        </w:rPr>
        <w:t>. The Executive’s employment hereunder may be terminated during the Employment Period under the following</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circumstances:</w:t>
      </w:r>
    </w:p>
    <w:p>
      <w:pPr>
        <w:spacing w:after="0" w:line="203" w:lineRule="exact"/>
        <w:rPr>
          <w:rFonts w:ascii="Arial" w:cs="Arial" w:eastAsia="Arial" w:hAnsi="Arial"/>
          <w:sz w:val="15"/>
          <w:szCs w:val="15"/>
          <w:color w:val="auto"/>
        </w:rPr>
      </w:pPr>
    </w:p>
    <w:p>
      <w:pPr>
        <w:ind w:left="2340" w:hanging="484"/>
        <w:spacing w:after="0"/>
        <w:tabs>
          <w:tab w:leader="none" w:pos="2340" w:val="left"/>
        </w:tabs>
        <w:numPr>
          <w:ilvl w:val="2"/>
          <w:numId w:val="18"/>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Executive’s employment hereunder shall terminate automatically upon the Executive’s death;</w:t>
      </w:r>
    </w:p>
    <w:p>
      <w:pPr>
        <w:spacing w:after="0" w:line="204" w:lineRule="exact"/>
        <w:rPr>
          <w:rFonts w:ascii="Arial" w:cs="Arial" w:eastAsia="Arial" w:hAnsi="Arial"/>
          <w:sz w:val="17"/>
          <w:szCs w:val="17"/>
          <w:color w:val="auto"/>
        </w:rPr>
      </w:pPr>
    </w:p>
    <w:p>
      <w:pPr>
        <w:ind w:left="2480" w:hanging="623"/>
        <w:spacing w:after="0"/>
        <w:tabs>
          <w:tab w:leader="none" w:pos="2480" w:val="left"/>
        </w:tabs>
        <w:numPr>
          <w:ilvl w:val="2"/>
          <w:numId w:val="19"/>
        </w:numPr>
        <w:rPr>
          <w:rFonts w:ascii="Arial" w:cs="Arial" w:eastAsia="Arial" w:hAnsi="Arial"/>
          <w:sz w:val="17"/>
          <w:szCs w:val="17"/>
          <w:color w:val="auto"/>
        </w:rPr>
      </w:pPr>
      <w:r>
        <w:rPr>
          <w:rFonts w:ascii="Arial" w:cs="Arial" w:eastAsia="Arial" w:hAnsi="Arial"/>
          <w:sz w:val="17"/>
          <w:szCs w:val="17"/>
          <w:u w:val="single" w:color="auto"/>
          <w:color w:val="auto"/>
        </w:rPr>
        <w:t>By the Employer</w:t>
      </w:r>
      <w:r>
        <w:rPr>
          <w:rFonts w:ascii="Arial" w:cs="Arial" w:eastAsia="Arial" w:hAnsi="Arial"/>
          <w:sz w:val="17"/>
          <w:szCs w:val="17"/>
          <w:color w:val="auto"/>
        </w:rPr>
        <w:t>. The Employer may terminate the Executive’s employment:</w:t>
      </w:r>
    </w:p>
    <w:p>
      <w:pPr>
        <w:spacing w:after="0" w:line="294" w:lineRule="exact"/>
        <w:rPr>
          <w:rFonts w:ascii="Arial" w:cs="Arial" w:eastAsia="Arial" w:hAnsi="Arial"/>
          <w:sz w:val="17"/>
          <w:szCs w:val="17"/>
          <w:color w:val="auto"/>
        </w:rPr>
      </w:pPr>
    </w:p>
    <w:p>
      <w:pPr>
        <w:jc w:val="both"/>
        <w:ind w:firstLine="2785"/>
        <w:spacing w:after="0" w:line="238" w:lineRule="auto"/>
        <w:tabs>
          <w:tab w:leader="none" w:pos="3575" w:val="left"/>
        </w:tabs>
        <w:numPr>
          <w:ilvl w:val="4"/>
          <w:numId w:val="1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the Executive shall have been substantially unable to perform the Executive’s material duties hereunder by reason of illness, physical or mental disability or other similar incapacity, which inability shall continue for 180 consecutive days or 270 days in any 24-month period (a “</w:t>
      </w:r>
      <w:r>
        <w:rPr>
          <w:rFonts w:ascii="Arial" w:cs="Arial" w:eastAsia="Arial" w:hAnsi="Arial"/>
          <w:sz w:val="16"/>
          <w:szCs w:val="16"/>
          <w:u w:val="single" w:color="auto"/>
          <w:color w:val="auto"/>
        </w:rPr>
        <w:t>Disability</w:t>
      </w:r>
      <w:r>
        <w:rPr>
          <w:rFonts w:ascii="Arial" w:cs="Arial" w:eastAsia="Arial" w:hAnsi="Arial"/>
          <w:sz w:val="16"/>
          <w:szCs w:val="16"/>
          <w:color w:val="auto"/>
        </w:rPr>
        <w:t>”) (provided, that until such termination, the Executive shall continue to receive the Executive’s compensation and benefits hereunder, reduced by any benefits payable to the Executive under any applicable disability insurance policy or plan); or</w:t>
      </w:r>
    </w:p>
    <w:p>
      <w:pPr>
        <w:spacing w:after="0" w:line="198" w:lineRule="exact"/>
        <w:rPr>
          <w:rFonts w:ascii="Arial" w:cs="Arial" w:eastAsia="Arial" w:hAnsi="Arial"/>
          <w:sz w:val="16"/>
          <w:szCs w:val="16"/>
          <w:color w:val="auto"/>
        </w:rPr>
      </w:pPr>
    </w:p>
    <w:p>
      <w:pPr>
        <w:ind w:left="3140" w:hanging="355"/>
        <w:spacing w:after="0"/>
        <w:tabs>
          <w:tab w:leader="none" w:pos="3140" w:val="left"/>
        </w:tabs>
        <w:numPr>
          <w:ilvl w:val="4"/>
          <w:numId w:val="19"/>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For Cause or without Cause;</w:t>
      </w:r>
    </w:p>
    <w:p>
      <w:pPr>
        <w:spacing w:after="0" w:line="281" w:lineRule="exact"/>
        <w:rPr>
          <w:rFonts w:ascii="Arial" w:cs="Arial" w:eastAsia="Arial" w:hAnsi="Arial"/>
          <w:sz w:val="17"/>
          <w:szCs w:val="17"/>
          <w:color w:val="auto"/>
        </w:rPr>
      </w:pPr>
    </w:p>
    <w:p>
      <w:pPr>
        <w:ind w:left="2340" w:hanging="484"/>
        <w:spacing w:after="0"/>
        <w:tabs>
          <w:tab w:leader="none" w:pos="2340" w:val="left"/>
        </w:tabs>
        <w:numPr>
          <w:ilvl w:val="3"/>
          <w:numId w:val="19"/>
        </w:numPr>
        <w:rPr>
          <w:rFonts w:ascii="Arial" w:cs="Arial" w:eastAsia="Arial" w:hAnsi="Arial"/>
          <w:sz w:val="16"/>
          <w:szCs w:val="16"/>
          <w:color w:val="auto"/>
        </w:rPr>
      </w:pPr>
      <w:r>
        <w:rPr>
          <w:rFonts w:ascii="Arial" w:cs="Arial" w:eastAsia="Arial" w:hAnsi="Arial"/>
          <w:sz w:val="16"/>
          <w:szCs w:val="16"/>
          <w:u w:val="single" w:color="auto"/>
          <w:color w:val="auto"/>
        </w:rPr>
        <w:t>By the Executive</w:t>
      </w:r>
      <w:r>
        <w:rPr>
          <w:rFonts w:ascii="Arial" w:cs="Arial" w:eastAsia="Arial" w:hAnsi="Arial"/>
          <w:sz w:val="16"/>
          <w:szCs w:val="16"/>
          <w:color w:val="auto"/>
        </w:rPr>
        <w:t>. The Executive may terminate the Executive’s employment for any reason (including Good Reason) or for</w:t>
      </w:r>
    </w:p>
    <w:p>
      <w:pPr>
        <w:spacing w:after="0" w:line="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no reason.</w:t>
      </w:r>
    </w:p>
    <w:p>
      <w:pPr>
        <w:spacing w:after="0" w:line="203" w:lineRule="exact"/>
        <w:rPr>
          <w:rFonts w:ascii="Arial" w:cs="Arial" w:eastAsia="Arial" w:hAnsi="Arial"/>
          <w:sz w:val="16"/>
          <w:szCs w:val="16"/>
          <w:color w:val="auto"/>
        </w:rPr>
      </w:pPr>
    </w:p>
    <w:p>
      <w:pPr>
        <w:jc w:val="both"/>
        <w:ind w:firstLine="1237"/>
        <w:spacing w:after="0" w:line="221" w:lineRule="auto"/>
        <w:tabs>
          <w:tab w:leader="none" w:pos="1719"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Any termination of the Executive’s employment by the Employer or the Executive (other than because of the Executive’s death) shall be communicated by written Notice of Termination to the other party hereto in accordance with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hereof. For purposes of this Agreement,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shall mean a notice which shall indicate the specific termination provision in this Agreement relied upon, if any, and set forth in reasonable detail the facts and circumstances claimed to provide a basis for termination of the Executive’s employment under the provision so indicated. Termination of the Executive’s employment shall take effect on the Date of Termination.</w:t>
      </w:r>
    </w:p>
    <w:p>
      <w:pPr>
        <w:sectPr>
          <w:pgSz w:w="11900" w:h="16838" w:orient="portrait"/>
          <w:cols w:equalWidth="0" w:num="1">
            <w:col w:w="11080"/>
          </w:cols>
          <w:pgMar w:left="460" w:top="1042" w:right="359" w:bottom="1440" w:gutter="0" w:footer="0" w:header="0"/>
        </w:sectPr>
      </w:pPr>
    </w:p>
    <w:bookmarkStart w:id="55" w:name="page56"/>
    <w:bookmarkEnd w:id="55"/>
    <w:p>
      <w:pPr>
        <w:jc w:val="both"/>
        <w:spacing w:after="0" w:line="236" w:lineRule="auto"/>
        <w:rPr>
          <w:sz w:val="20"/>
          <w:szCs w:val="20"/>
          <w:color w:val="auto"/>
        </w:rPr>
      </w:pPr>
      <w:r>
        <w:rPr>
          <w:rFonts w:ascii="Arial" w:cs="Arial" w:eastAsia="Arial" w:hAnsi="Arial"/>
          <w:sz w:val="16"/>
          <w:szCs w:val="16"/>
          <w:color w:val="auto"/>
        </w:rPr>
        <w:t xml:space="preserve">The Executive agrees, in the event of any dispute under </w:t>
      </w:r>
      <w:r>
        <w:rPr>
          <w:rFonts w:ascii="Arial" w:cs="Arial" w:eastAsia="Arial" w:hAnsi="Arial"/>
          <w:sz w:val="16"/>
          <w:szCs w:val="16"/>
          <w:u w:val="single" w:color="auto"/>
          <w:color w:val="auto"/>
        </w:rPr>
        <w:t>Section 8(a)(ii)(A)</w:t>
      </w:r>
      <w:r>
        <w:rPr>
          <w:rFonts w:ascii="Arial" w:cs="Arial" w:eastAsia="Arial" w:hAnsi="Arial"/>
          <w:sz w:val="16"/>
          <w:szCs w:val="16"/>
          <w:color w:val="auto"/>
        </w:rPr>
        <w:t xml:space="preserve"> as to whether a Disability exists, and if requested by the Employer, to submit to a physical examination by a licensed physician selected by mutual consent of the Employer and the Executive, the cost of such examination to be paid by the</w:t>
      </w:r>
    </w:p>
    <w:p>
      <w:pPr>
        <w:jc w:val="both"/>
        <w:spacing w:after="0" w:line="239" w:lineRule="auto"/>
        <w:rPr>
          <w:sz w:val="20"/>
          <w:szCs w:val="20"/>
          <w:color w:val="auto"/>
        </w:rPr>
      </w:pPr>
      <w:r>
        <w:rPr>
          <w:rFonts w:ascii="Arial" w:cs="Arial" w:eastAsia="Arial" w:hAnsi="Arial"/>
          <w:sz w:val="15"/>
          <w:szCs w:val="15"/>
          <w:color w:val="auto"/>
        </w:rPr>
        <w:t>Employer. The written medical opinion of such physician shall be conclusive and binding upon each of the parties hereto as to whether a Disability exists and the date when such Disability arose. This Section shall be interpreted and applied so as to comply with the provisions of the Americans with Disabilities Act and any applicable state or local laws. For the purposes of this Agreement, a voluntary termination by the Executive upon the expiration of the Employment Period</w:t>
      </w:r>
    </w:p>
    <w:p>
      <w:pPr>
        <w:spacing w:after="0"/>
        <w:rPr>
          <w:sz w:val="20"/>
          <w:szCs w:val="20"/>
          <w:color w:val="auto"/>
        </w:rPr>
      </w:pPr>
      <w:r>
        <w:rPr>
          <w:rFonts w:ascii="Arial" w:cs="Arial" w:eastAsia="Arial" w:hAnsi="Arial"/>
          <w:sz w:val="17"/>
          <w:szCs w:val="17"/>
          <w:color w:val="auto"/>
        </w:rPr>
        <w:t xml:space="preserve">due to delivery of a non-renewal notice by the Employer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treated as a termination by the Employer without Cause.</w:t>
      </w:r>
    </w:p>
    <w:p>
      <w:pPr>
        <w:spacing w:after="0" w:line="190" w:lineRule="exact"/>
        <w:rPr>
          <w:sz w:val="20"/>
          <w:szCs w:val="20"/>
          <w:color w:val="auto"/>
        </w:rPr>
      </w:pPr>
    </w:p>
    <w:p>
      <w:pPr>
        <w:ind w:left="1240" w:hanging="621"/>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Compensation Upon Termination</w:t>
      </w:r>
      <w:r>
        <w:rPr>
          <w:rFonts w:ascii="Arial" w:cs="Arial" w:eastAsia="Arial" w:hAnsi="Arial"/>
          <w:sz w:val="17"/>
          <w:szCs w:val="17"/>
          <w:color w:val="auto"/>
        </w:rPr>
        <w:t>.</w:t>
      </w:r>
    </w:p>
    <w:p>
      <w:pPr>
        <w:spacing w:after="0" w:line="294" w:lineRule="exact"/>
        <w:rPr>
          <w:rFonts w:ascii="Arial" w:cs="Arial" w:eastAsia="Arial" w:hAnsi="Arial"/>
          <w:sz w:val="17"/>
          <w:szCs w:val="17"/>
          <w:color w:val="auto"/>
        </w:rPr>
      </w:pPr>
    </w:p>
    <w:p>
      <w:pPr>
        <w:jc w:val="both"/>
        <w:ind w:firstLine="1237"/>
        <w:spacing w:after="0" w:line="230" w:lineRule="auto"/>
        <w:tabs>
          <w:tab w:leader="none" w:pos="1719"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If the Employer terminates the Executive’s employment during the Employment Period because of the Executive’s Disability pursuant to </w:t>
      </w:r>
      <w:r>
        <w:rPr>
          <w:rFonts w:ascii="Arial" w:cs="Arial" w:eastAsia="Arial" w:hAnsi="Arial"/>
          <w:sz w:val="16"/>
          <w:szCs w:val="16"/>
          <w:u w:val="single" w:color="auto"/>
          <w:color w:val="auto"/>
        </w:rPr>
        <w:t>Section 8(a)(ii)(A)</w:t>
      </w:r>
      <w:r>
        <w:rPr>
          <w:rFonts w:ascii="Arial" w:cs="Arial" w:eastAsia="Arial" w:hAnsi="Arial"/>
          <w:sz w:val="16"/>
          <w:szCs w:val="16"/>
          <w:color w:val="auto"/>
        </w:rPr>
        <w:t xml:space="preserve">, the Employer shall pay to the Executive (i) the Accrued Benefits; (ii) a pro rata portion (based on the number of days during the applicable fiscal period prior to the Date of Termination) of the Annual Bonus the Executive would have earned absent such termination, with such payment to be made based on actual performance and at the time bonus payments are made to executives of the Employer generally; (iii) any outstanding equity awards granted pursuant to </w:t>
      </w:r>
      <w:r>
        <w:rPr>
          <w:rFonts w:ascii="Arial" w:cs="Arial" w:eastAsia="Arial" w:hAnsi="Arial"/>
          <w:sz w:val="16"/>
          <w:szCs w:val="16"/>
          <w:u w:val="single" w:color="auto"/>
          <w:color w:val="auto"/>
        </w:rPr>
        <w:t>Sections 5(c)(i)-(ii)</w:t>
      </w:r>
      <w:r>
        <w:rPr>
          <w:rFonts w:ascii="Arial" w:cs="Arial" w:eastAsia="Arial" w:hAnsi="Arial"/>
          <w:sz w:val="16"/>
          <w:szCs w:val="16"/>
          <w:color w:val="auto"/>
        </w:rPr>
        <w:t xml:space="preserve"> that are subject solely to time-based vesting conditions shall immediately vest in full and any outstanding equity awards that are subject to performance-based vesting conditions shall vest based on target performance for the applicable performance period in which termination occurs; and (iv) the Executive shall be entitled to additional payments payable in equal installments in accordance with the Employer’s normal payroll practices, equal to the total costs that would be incurred by the Executive to obtain and pay for continued coverage under the Employer’s health insurance plans pursuant to COBRA for 12 months following the Date of Termination (the “</w:t>
      </w:r>
      <w:r>
        <w:rPr>
          <w:rFonts w:ascii="Arial" w:cs="Arial" w:eastAsia="Arial" w:hAnsi="Arial"/>
          <w:sz w:val="16"/>
          <w:szCs w:val="16"/>
          <w:u w:val="single" w:color="auto"/>
          <w:color w:val="auto"/>
        </w:rPr>
        <w:t>Continued Coverage Payment</w:t>
      </w:r>
      <w:r>
        <w:rPr>
          <w:rFonts w:ascii="Arial" w:cs="Arial" w:eastAsia="Arial" w:hAnsi="Arial"/>
          <w:sz w:val="16"/>
          <w:szCs w:val="16"/>
          <w:color w:val="auto"/>
        </w:rPr>
        <w:t>”). Except as set forth herein, the Employer shall have no further obligation to the Executive under this Agreement.</w:t>
      </w:r>
    </w:p>
    <w:p>
      <w:pPr>
        <w:spacing w:after="0" w:line="196" w:lineRule="exact"/>
        <w:rPr>
          <w:rFonts w:ascii="Arial" w:cs="Arial" w:eastAsia="Arial" w:hAnsi="Arial"/>
          <w:sz w:val="16"/>
          <w:szCs w:val="16"/>
          <w:color w:val="auto"/>
        </w:rPr>
      </w:pPr>
    </w:p>
    <w:p>
      <w:pPr>
        <w:jc w:val="both"/>
        <w:ind w:firstLine="1237"/>
        <w:spacing w:after="0" w:line="221" w:lineRule="auto"/>
        <w:tabs>
          <w:tab w:leader="none" w:pos="1719"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xml:space="preserve">. If the Executive’s employment is terminated during the Employment Period as a result of the Executive’s death, the Employer shall pay to the Executive’s legal representative or estate, and the Executive’s legal representative or estate shall be entitled to, as applicable, (i) the amounts and the acceleration of outstanding equity awards set forth in </w:t>
      </w:r>
      <w:r>
        <w:rPr>
          <w:rFonts w:ascii="Arial" w:cs="Arial" w:eastAsia="Arial" w:hAnsi="Arial"/>
          <w:sz w:val="17"/>
          <w:szCs w:val="17"/>
          <w:u w:val="single" w:color="auto"/>
          <w:color w:val="auto"/>
        </w:rPr>
        <w:t>Section 9(a)(i)-(iii)</w:t>
      </w:r>
      <w:r>
        <w:rPr>
          <w:rFonts w:ascii="Arial" w:cs="Arial" w:eastAsia="Arial" w:hAnsi="Arial"/>
          <w:sz w:val="17"/>
          <w:szCs w:val="17"/>
          <w:color w:val="auto"/>
        </w:rPr>
        <w:t xml:space="preserve"> (but excluding, for the avoidance of doubt, the Continued Coverage Payment under clause (iv)); and (ii) one times the Executive’s Base Salary at the time of termination, payable in a lump sum. Except as set forth herein, the Employer shall have no further obligation to the Executive under this Agreement.</w:t>
      </w:r>
    </w:p>
    <w:p>
      <w:pPr>
        <w:spacing w:after="0" w:line="182" w:lineRule="exact"/>
        <w:rPr>
          <w:rFonts w:ascii="Arial" w:cs="Arial" w:eastAsia="Arial" w:hAnsi="Arial"/>
          <w:sz w:val="17"/>
          <w:szCs w:val="17"/>
          <w:color w:val="auto"/>
        </w:rPr>
      </w:pPr>
    </w:p>
    <w:p>
      <w:pPr>
        <w:jc w:val="both"/>
        <w:ind w:firstLine="1237"/>
        <w:spacing w:after="0" w:line="224" w:lineRule="auto"/>
        <w:tabs>
          <w:tab w:leader="none" w:pos="1721"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Termination by the Employer for Cause or by the Executive without Good Reason</w:t>
      </w:r>
      <w:r>
        <w:rPr>
          <w:rFonts w:ascii="Arial" w:cs="Arial" w:eastAsia="Arial" w:hAnsi="Arial"/>
          <w:sz w:val="17"/>
          <w:szCs w:val="17"/>
          <w:color w:val="auto"/>
        </w:rPr>
        <w:t xml:space="preserve">. If, during the Employment Period, the Employer terminates the Executive’s employment for Cause pursuant to </w:t>
      </w:r>
      <w:r>
        <w:rPr>
          <w:rFonts w:ascii="Arial" w:cs="Arial" w:eastAsia="Arial" w:hAnsi="Arial"/>
          <w:sz w:val="17"/>
          <w:szCs w:val="17"/>
          <w:u w:val="single" w:color="auto"/>
          <w:color w:val="auto"/>
        </w:rPr>
        <w:t>Section 8(a)(ii)(B)</w:t>
      </w:r>
      <w:r>
        <w:rPr>
          <w:rFonts w:ascii="Arial" w:cs="Arial" w:eastAsia="Arial" w:hAnsi="Arial"/>
          <w:sz w:val="17"/>
          <w:szCs w:val="17"/>
          <w:color w:val="auto"/>
        </w:rPr>
        <w:t xml:space="preserve"> or the Executive terminates the Executive’s employment without Good Reason, the Employer shall pay to the Executive the Accrued Benefits. Except as set forth herein, the Employer shall have no further obligations to the Executive under this Agreement.</w:t>
      </w:r>
    </w:p>
    <w:p>
      <w:pPr>
        <w:spacing w:after="0" w:line="198" w:lineRule="exact"/>
        <w:rPr>
          <w:rFonts w:ascii="Arial" w:cs="Arial" w:eastAsia="Arial" w:hAnsi="Arial"/>
          <w:sz w:val="17"/>
          <w:szCs w:val="17"/>
          <w:color w:val="auto"/>
        </w:rPr>
      </w:pPr>
    </w:p>
    <w:p>
      <w:pPr>
        <w:jc w:val="both"/>
        <w:ind w:firstLine="1237"/>
        <w:spacing w:after="0" w:line="230" w:lineRule="auto"/>
        <w:tabs>
          <w:tab w:leader="none" w:pos="172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Termination by the Employer without Cause or by the Executive with Good Reason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9(e)</w:t>
      </w:r>
      <w:r>
        <w:rPr>
          <w:rFonts w:ascii="Arial" w:cs="Arial" w:eastAsia="Arial" w:hAnsi="Arial"/>
          <w:sz w:val="16"/>
          <w:szCs w:val="16"/>
          <w:color w:val="auto"/>
        </w:rPr>
        <w:t>, if the Employer terminates the Executive’s employment during the Employment Period for a reason other than for Cause or if the Executive terminates the Executive’s employment hereunder with Good Reason, (i) the Employer shall pay the Executive (A) the Accrued Benefits, (B) a pro rata portion (based on the number of days during the applicable fiscal period prior to the Date of Termination) of the Annual Bonus the Executive would have earned absent such termination, with such payment to be made based on actual performance and at the time bonus payments are made to executives of the Employer generally, (C) a lump sum equal to 1x the Executive’s Target Annual Bonus for the year of termination, and (D) continued Base Salary for (i) 12 months following the Date of Termination in the case of Good Reason or (ii) 18 months following the Date of Termination in the case of termination without cause (in each applicable case,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payable in equal installments in accordance with the Employer’s normal payroll practices (the “</w:t>
      </w:r>
      <w:r>
        <w:rPr>
          <w:rFonts w:ascii="Arial" w:cs="Arial" w:eastAsia="Arial" w:hAnsi="Arial"/>
          <w:sz w:val="16"/>
          <w:szCs w:val="16"/>
          <w:u w:val="single" w:color="auto"/>
          <w:color w:val="auto"/>
        </w:rPr>
        <w:t>Cash Severance Payment</w:t>
      </w:r>
      <w:r>
        <w:rPr>
          <w:rFonts w:ascii="Arial" w:cs="Arial" w:eastAsia="Arial" w:hAnsi="Arial"/>
          <w:sz w:val="16"/>
          <w:szCs w:val="16"/>
          <w:color w:val="auto"/>
        </w:rPr>
        <w:t xml:space="preserve">”); (ii) any outstanding equity awards granted pursuant to </w:t>
      </w:r>
      <w:r>
        <w:rPr>
          <w:rFonts w:ascii="Arial" w:cs="Arial" w:eastAsia="Arial" w:hAnsi="Arial"/>
          <w:sz w:val="16"/>
          <w:szCs w:val="16"/>
          <w:u w:val="single" w:color="auto"/>
          <w:color w:val="auto"/>
        </w:rPr>
        <w:t>Sections 5(c)(i)-(ii)</w:t>
      </w:r>
      <w:r>
        <w:rPr>
          <w:rFonts w:ascii="Arial" w:cs="Arial" w:eastAsia="Arial" w:hAnsi="Arial"/>
          <w:sz w:val="16"/>
          <w:szCs w:val="16"/>
          <w:color w:val="auto"/>
        </w:rPr>
        <w:t xml:space="preserve"> of this Agreement shall continue to vest during the Severance Period; and (iii) the Executive shall be entitled to the Continued Coverage Payment (collectively, the “</w:t>
      </w:r>
      <w:r>
        <w:rPr>
          <w:rFonts w:ascii="Arial" w:cs="Arial" w:eastAsia="Arial" w:hAnsi="Arial"/>
          <w:sz w:val="16"/>
          <w:szCs w:val="16"/>
          <w:u w:val="single" w:color="auto"/>
          <w:color w:val="auto"/>
        </w:rPr>
        <w:t>Severance Benefits</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ind w:left="1860" w:hanging="623"/>
        <w:spacing w:after="0"/>
        <w:tabs>
          <w:tab w:leader="none" w:pos="1860"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firstLine="1856"/>
        <w:spacing w:after="0" w:line="224" w:lineRule="auto"/>
        <w:tabs>
          <w:tab w:leader="none" w:pos="2338" w:val="left"/>
        </w:tabs>
        <w:numPr>
          <w:ilvl w:val="2"/>
          <w:numId w:val="21"/>
        </w:numPr>
        <w:rPr>
          <w:rFonts w:ascii="Arial" w:cs="Arial" w:eastAsia="Arial" w:hAnsi="Arial"/>
          <w:sz w:val="17"/>
          <w:szCs w:val="17"/>
          <w:color w:val="auto"/>
        </w:rPr>
      </w:pPr>
      <w:r>
        <w:rPr>
          <w:rFonts w:ascii="Arial" w:cs="Arial" w:eastAsia="Arial" w:hAnsi="Arial"/>
          <w:sz w:val="17"/>
          <w:szCs w:val="17"/>
          <w:u w:val="single" w:color="auto"/>
          <w:color w:val="auto"/>
        </w:rPr>
        <w:t>Section 9(e)(ii)</w:t>
      </w:r>
      <w:r>
        <w:rPr>
          <w:rFonts w:ascii="Arial" w:cs="Arial" w:eastAsia="Arial" w:hAnsi="Arial"/>
          <w:sz w:val="17"/>
          <w:szCs w:val="17"/>
          <w:color w:val="auto"/>
        </w:rPr>
        <w:t xml:space="preserve"> shall apply if there is (A) a termination of the Executive’s employment by the Employer for a reason other than for Cause or due to the Executive’s Disability or by the Executive for Good Reason during the 12-month period after a Change in Control; or (B) a termination of the Executive’s employment by the Employer for a reason other than for Cause or due to the Executive’s Disability prior to a Change in Control, if the termination was at the request of a third party or otherwise arose in anticipation of a Change in Control (a termination described in either clause (A) or clause (B), a “</w:t>
      </w:r>
      <w:r>
        <w:rPr>
          <w:rFonts w:ascii="Arial" w:cs="Arial" w:eastAsia="Arial" w:hAnsi="Arial"/>
          <w:sz w:val="17"/>
          <w:szCs w:val="17"/>
          <w:u w:val="single" w:color="auto"/>
          <w:color w:val="auto"/>
        </w:rPr>
        <w:t>CIC Termination</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jc w:val="both"/>
        <w:ind w:firstLine="1856"/>
        <w:spacing w:after="0" w:line="221" w:lineRule="auto"/>
        <w:tabs>
          <w:tab w:leader="none" w:pos="2338" w:val="left"/>
        </w:tabs>
        <w:numPr>
          <w:ilvl w:val="2"/>
          <w:numId w:val="21"/>
        </w:numPr>
        <w:rPr>
          <w:rFonts w:ascii="Arial" w:cs="Arial" w:eastAsia="Arial" w:hAnsi="Arial"/>
          <w:sz w:val="17"/>
          <w:szCs w:val="17"/>
          <w:color w:val="auto"/>
        </w:rPr>
      </w:pPr>
      <w:r>
        <w:rPr>
          <w:rFonts w:ascii="Arial" w:cs="Arial" w:eastAsia="Arial" w:hAnsi="Arial"/>
          <w:sz w:val="17"/>
          <w:szCs w:val="17"/>
          <w:color w:val="auto"/>
        </w:rPr>
        <w:t xml:space="preserve">If any such CIC Termination occurs, the Executive shall receive the benefits set forth in </w:t>
      </w:r>
      <w:r>
        <w:rPr>
          <w:rFonts w:ascii="Arial" w:cs="Arial" w:eastAsia="Arial" w:hAnsi="Arial"/>
          <w:sz w:val="17"/>
          <w:szCs w:val="17"/>
          <w:u w:val="single" w:color="auto"/>
          <w:color w:val="auto"/>
        </w:rPr>
        <w:t>Section 9(d)(i)</w:t>
      </w:r>
      <w:r>
        <w:rPr>
          <w:rFonts w:ascii="Arial" w:cs="Arial" w:eastAsia="Arial" w:hAnsi="Arial"/>
          <w:sz w:val="17"/>
          <w:szCs w:val="17"/>
          <w:color w:val="auto"/>
        </w:rPr>
        <w:t>, including for the avoidance of doubt, the accelerated vesting of the Executive’s outstanding equity awards, except that (A) if such Change in Control is a “change in control event” under Section 409A of the Code (a “</w:t>
      </w:r>
      <w:r>
        <w:rPr>
          <w:rFonts w:ascii="Arial" w:cs="Arial" w:eastAsia="Arial" w:hAnsi="Arial"/>
          <w:sz w:val="17"/>
          <w:szCs w:val="17"/>
          <w:u w:val="single" w:color="auto"/>
          <w:color w:val="auto"/>
        </w:rPr>
        <w:t>Qualifying CIC</w:t>
      </w:r>
      <w:r>
        <w:rPr>
          <w:rFonts w:ascii="Arial" w:cs="Arial" w:eastAsia="Arial" w:hAnsi="Arial"/>
          <w:sz w:val="17"/>
          <w:szCs w:val="17"/>
          <w:color w:val="auto"/>
        </w:rPr>
        <w:t>”), shall be paid in a lump sum; (B) the Continued Coverage Payment shall be equal to the total costs that would be incurred by the Executive to obtain and pay for continued coverage under the Employer’s health insurance plans for 18 months following the CIC Termination and shall be paid in a lump sum; and (C) any outstanding equity awards granted</w:t>
      </w:r>
    </w:p>
    <w:p>
      <w:pPr>
        <w:sectPr>
          <w:pgSz w:w="11900" w:h="16838" w:orient="portrait"/>
          <w:cols w:equalWidth="0" w:num="1">
            <w:col w:w="11080"/>
          </w:cols>
          <w:pgMar w:left="460" w:top="1042" w:right="359" w:bottom="1440" w:gutter="0" w:footer="0" w:header="0"/>
        </w:sectPr>
      </w:pPr>
    </w:p>
    <w:bookmarkStart w:id="56" w:name="page57"/>
    <w:bookmarkEnd w:id="56"/>
    <w:p>
      <w:pPr>
        <w:spacing w:after="0" w:line="236"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Sections 5(c)(i)-(ii)</w:t>
      </w:r>
      <w:r>
        <w:rPr>
          <w:rFonts w:ascii="Arial" w:cs="Arial" w:eastAsia="Arial" w:hAnsi="Arial"/>
          <w:sz w:val="16"/>
          <w:szCs w:val="16"/>
          <w:color w:val="auto"/>
        </w:rPr>
        <w:t xml:space="preserve"> shall immediately vest in full upon a CIC Termination (without regard to any time-based or performance-based vesting conditions). To the extent the Executive’s CIC Termination is described in </w:t>
      </w:r>
      <w:r>
        <w:rPr>
          <w:rFonts w:ascii="Arial" w:cs="Arial" w:eastAsia="Arial" w:hAnsi="Arial"/>
          <w:sz w:val="16"/>
          <w:szCs w:val="16"/>
          <w:u w:val="single" w:color="auto"/>
          <w:color w:val="auto"/>
        </w:rPr>
        <w:t>Section 9(e)(i)(B)</w:t>
      </w:r>
      <w:r>
        <w:rPr>
          <w:rFonts w:ascii="Arial" w:cs="Arial" w:eastAsia="Arial" w:hAnsi="Arial"/>
          <w:sz w:val="16"/>
          <w:szCs w:val="16"/>
          <w:color w:val="auto"/>
        </w:rPr>
        <w:t xml:space="preserve"> and the Change in Control is a Qualifying CIC, the incremental</w:t>
      </w:r>
    </w:p>
    <w:p>
      <w:pPr>
        <w:spacing w:after="0"/>
        <w:rPr>
          <w:sz w:val="20"/>
          <w:szCs w:val="20"/>
          <w:color w:val="auto"/>
        </w:rPr>
      </w:pPr>
      <w:r>
        <w:rPr>
          <w:rFonts w:ascii="Arial" w:cs="Arial" w:eastAsia="Arial" w:hAnsi="Arial"/>
          <w:sz w:val="17"/>
          <w:szCs w:val="17"/>
          <w:color w:val="auto"/>
        </w:rPr>
        <w:t>Cash Severance Payment and any unpaid Cash Severance Payment shall be paid in a lump sum.</w:t>
      </w:r>
    </w:p>
    <w:p>
      <w:pPr>
        <w:spacing w:after="0" w:line="190" w:lineRule="exact"/>
        <w:rPr>
          <w:sz w:val="20"/>
          <w:szCs w:val="20"/>
          <w:color w:val="auto"/>
        </w:rPr>
      </w:pPr>
    </w:p>
    <w:p>
      <w:pPr>
        <w:jc w:val="both"/>
        <w:ind w:firstLine="1237"/>
        <w:spacing w:after="0" w:line="221" w:lineRule="auto"/>
        <w:tabs>
          <w:tab w:leader="none" w:pos="1719"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xml:space="preserve"> As a condition to receiving the Severance Benefits, the Executive and the Company must execute a release of claims substantially in the form attached hereto as Exhibit A (the “</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To be eligible for Severance Benefits, the Executive must execute and deliver the Release, and such Release must become irrevocable, within 60 days of the Date of Termination. The Cash Severance Payment shall be made, and the continuing health insurance coverage shall commence, promptly after the Release becomes irrevocable;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to the extent the 60-day period spans two calendar years and to the extent required to comply with Code Section 409A, such payments shall be made or commence, as applicable, on the 60th day following the Date of Termination.</w:t>
      </w:r>
    </w:p>
    <w:p>
      <w:pPr>
        <w:spacing w:after="0" w:line="183" w:lineRule="exact"/>
        <w:rPr>
          <w:rFonts w:ascii="Arial" w:cs="Arial" w:eastAsia="Arial" w:hAnsi="Arial"/>
          <w:sz w:val="17"/>
          <w:szCs w:val="17"/>
          <w:color w:val="auto"/>
        </w:rPr>
      </w:pPr>
    </w:p>
    <w:p>
      <w:pPr>
        <w:jc w:val="both"/>
        <w:ind w:firstLine="1237"/>
        <w:spacing w:after="0" w:line="221" w:lineRule="auto"/>
        <w:tabs>
          <w:tab w:leader="none" w:pos="1719"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No Offset</w:t>
      </w:r>
      <w:r>
        <w:rPr>
          <w:rFonts w:ascii="Arial" w:cs="Arial" w:eastAsia="Arial" w:hAnsi="Arial"/>
          <w:sz w:val="17"/>
          <w:szCs w:val="17"/>
          <w:color w:val="auto"/>
        </w:rPr>
        <w:t>. In the event of termination of the Executive’s employment, the Executive shall be under no obligation to seek other employment and there shall be no offset against amounts due to the Executive on account of any remuneration or benefits provided by any subsequent employment the Executive may obtain. The Employer’s obligation to make any payment pursuant to, and otherwise to perform its obligations under, this Agreement shall not be affected by any offset, counterclaim or other right that the Employer or any Employer Affiliate may have against the Executive for any reason.</w:t>
      </w:r>
    </w:p>
    <w:p>
      <w:pPr>
        <w:spacing w:after="0" w:line="195" w:lineRule="exact"/>
        <w:rPr>
          <w:rFonts w:ascii="Arial" w:cs="Arial" w:eastAsia="Arial" w:hAnsi="Arial"/>
          <w:sz w:val="17"/>
          <w:szCs w:val="17"/>
          <w:color w:val="auto"/>
        </w:rPr>
      </w:pPr>
    </w:p>
    <w:p>
      <w:pPr>
        <w:jc w:val="both"/>
        <w:ind w:firstLine="618"/>
        <w:spacing w:after="0" w:line="231"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requests, or other communications which may be or are required to be given or made by any party to any other party pursuant to this Agreement shall be in writing and shall be hand delivered, mailed by first-class registered or certified mail, return receipt requested, postage prepaid, delivered by overnight air courier, or transmitted by facsimile transmission addressed as follows:</w:t>
      </w:r>
    </w:p>
    <w:p>
      <w:pPr>
        <w:spacing w:after="0" w:line="234" w:lineRule="exact"/>
        <w:rPr>
          <w:rFonts w:ascii="Arial" w:cs="Arial" w:eastAsia="Arial" w:hAnsi="Arial"/>
          <w:sz w:val="17"/>
          <w:szCs w:val="17"/>
          <w:color w:val="auto"/>
        </w:rPr>
      </w:pPr>
    </w:p>
    <w:p>
      <w:pPr>
        <w:ind w:left="1680" w:hanging="373"/>
        <w:spacing w:after="0"/>
        <w:tabs>
          <w:tab w:leader="none" w:pos="1680" w:val="left"/>
        </w:tabs>
        <w:numPr>
          <w:ilvl w:val="2"/>
          <w:numId w:val="23"/>
        </w:numPr>
        <w:rPr>
          <w:rFonts w:ascii="Arial" w:cs="Arial" w:eastAsia="Arial" w:hAnsi="Arial"/>
          <w:sz w:val="17"/>
          <w:szCs w:val="17"/>
          <w:color w:val="auto"/>
        </w:rPr>
      </w:pPr>
      <w:r>
        <w:rPr>
          <w:rFonts w:ascii="Arial" w:cs="Arial" w:eastAsia="Arial" w:hAnsi="Arial"/>
          <w:sz w:val="17"/>
          <w:szCs w:val="17"/>
          <w:color w:val="auto"/>
        </w:rPr>
        <w:t>If to the Employer:</w:t>
      </w:r>
    </w:p>
    <w:p>
      <w:pPr>
        <w:spacing w:after="0" w:line="139" w:lineRule="exact"/>
        <w:rPr>
          <w:rFonts w:ascii="Arial" w:cs="Arial" w:eastAsia="Arial" w:hAnsi="Arial"/>
          <w:sz w:val="17"/>
          <w:szCs w:val="17"/>
          <w:color w:val="auto"/>
        </w:rPr>
      </w:pPr>
    </w:p>
    <w:p>
      <w:pPr>
        <w:ind w:left="1680"/>
        <w:spacing w:after="0"/>
        <w:rPr>
          <w:rFonts w:ascii="Arial" w:cs="Arial" w:eastAsia="Arial" w:hAnsi="Arial"/>
          <w:sz w:val="17"/>
          <w:szCs w:val="17"/>
          <w:color w:val="auto"/>
        </w:rPr>
      </w:pPr>
      <w:r>
        <w:rPr>
          <w:rFonts w:ascii="Arial" w:cs="Arial" w:eastAsia="Arial" w:hAnsi="Arial"/>
          <w:sz w:val="17"/>
          <w:szCs w:val="17"/>
          <w:color w:val="auto"/>
        </w:rPr>
        <w:t>WillScot Mobile Mini Holdings Corp.</w:t>
      </w:r>
    </w:p>
    <w:p>
      <w:pPr>
        <w:spacing w:after="0" w:line="49" w:lineRule="exact"/>
        <w:rPr>
          <w:rFonts w:ascii="Arial" w:cs="Arial" w:eastAsia="Arial" w:hAnsi="Arial"/>
          <w:sz w:val="17"/>
          <w:szCs w:val="17"/>
          <w:color w:val="auto"/>
        </w:rPr>
      </w:pPr>
    </w:p>
    <w:p>
      <w:pPr>
        <w:ind w:left="1680" w:right="7560"/>
        <w:spacing w:after="0" w:line="311" w:lineRule="auto"/>
        <w:rPr>
          <w:rFonts w:ascii="Arial" w:cs="Arial" w:eastAsia="Arial" w:hAnsi="Arial"/>
          <w:sz w:val="17"/>
          <w:szCs w:val="17"/>
          <w:color w:val="auto"/>
        </w:rPr>
      </w:pPr>
      <w:r>
        <w:rPr>
          <w:rFonts w:ascii="Arial" w:cs="Arial" w:eastAsia="Arial" w:hAnsi="Arial"/>
          <w:sz w:val="16"/>
          <w:szCs w:val="16"/>
          <w:color w:val="auto"/>
        </w:rPr>
        <w:t>4646 E Van Buren St #400 Phoenix, AZ 85008</w:t>
      </w:r>
    </w:p>
    <w:p>
      <w:pPr>
        <w:ind w:left="1680"/>
        <w:spacing w:after="0"/>
        <w:rPr>
          <w:rFonts w:ascii="Arial" w:cs="Arial" w:eastAsia="Arial" w:hAnsi="Arial"/>
          <w:sz w:val="17"/>
          <w:szCs w:val="17"/>
          <w:color w:val="auto"/>
        </w:rPr>
      </w:pPr>
      <w:r>
        <w:rPr>
          <w:rFonts w:ascii="Arial" w:cs="Arial" w:eastAsia="Arial" w:hAnsi="Arial"/>
          <w:sz w:val="17"/>
          <w:szCs w:val="17"/>
          <w:color w:val="auto"/>
        </w:rPr>
        <w:t>Attn: General Counsel &amp; Secretary</w:t>
      </w:r>
    </w:p>
    <w:p>
      <w:pPr>
        <w:spacing w:after="0" w:line="127" w:lineRule="exact"/>
        <w:rPr>
          <w:sz w:val="20"/>
          <w:szCs w:val="20"/>
          <w:color w:val="auto"/>
        </w:rPr>
      </w:pPr>
    </w:p>
    <w:p>
      <w:pPr>
        <w:ind w:left="1680" w:hanging="397"/>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to the Executive:</w:t>
      </w:r>
    </w:p>
    <w:p>
      <w:pPr>
        <w:spacing w:after="0" w:line="126" w:lineRule="exact"/>
        <w:rPr>
          <w:rFonts w:ascii="Arial" w:cs="Arial" w:eastAsia="Arial" w:hAnsi="Arial"/>
          <w:sz w:val="17"/>
          <w:szCs w:val="17"/>
          <w:color w:val="auto"/>
        </w:rPr>
      </w:pPr>
    </w:p>
    <w:p>
      <w:pPr>
        <w:ind w:left="1680"/>
        <w:spacing w:after="0"/>
        <w:rPr>
          <w:rFonts w:ascii="Arial" w:cs="Arial" w:eastAsia="Arial" w:hAnsi="Arial"/>
          <w:sz w:val="17"/>
          <w:szCs w:val="17"/>
          <w:color w:val="auto"/>
        </w:rPr>
      </w:pPr>
      <w:r>
        <w:rPr>
          <w:rFonts w:ascii="Arial" w:cs="Arial" w:eastAsia="Arial" w:hAnsi="Arial"/>
          <w:sz w:val="17"/>
          <w:szCs w:val="17"/>
          <w:color w:val="auto"/>
        </w:rPr>
        <w:t>Felicia Gorcyca</w:t>
      </w:r>
    </w:p>
    <w:p>
      <w:pPr>
        <w:spacing w:after="0" w:line="36" w:lineRule="exact"/>
        <w:rPr>
          <w:rFonts w:ascii="Arial" w:cs="Arial" w:eastAsia="Arial" w:hAnsi="Arial"/>
          <w:sz w:val="17"/>
          <w:szCs w:val="17"/>
          <w:color w:val="auto"/>
        </w:rPr>
      </w:pPr>
    </w:p>
    <w:p>
      <w:pPr>
        <w:ind w:left="1680"/>
        <w:spacing w:after="0"/>
        <w:rPr>
          <w:rFonts w:ascii="Arial" w:cs="Arial" w:eastAsia="Arial" w:hAnsi="Arial"/>
          <w:sz w:val="17"/>
          <w:szCs w:val="17"/>
          <w:color w:val="auto"/>
        </w:rPr>
      </w:pPr>
      <w:r>
        <w:rPr>
          <w:rFonts w:ascii="Arial" w:cs="Arial" w:eastAsia="Arial" w:hAnsi="Arial"/>
          <w:sz w:val="17"/>
          <w:szCs w:val="17"/>
          <w:color w:val="auto"/>
        </w:rPr>
        <w:t>To the address on file for Felicia Gorcyca with the Employer</w:t>
      </w:r>
    </w:p>
    <w:p>
      <w:pPr>
        <w:spacing w:after="0" w:line="204" w:lineRule="exact"/>
        <w:rPr>
          <w:sz w:val="20"/>
          <w:szCs w:val="20"/>
          <w:color w:val="auto"/>
        </w:rPr>
      </w:pPr>
    </w:p>
    <w:p>
      <w:pPr>
        <w:jc w:val="both"/>
        <w:ind w:firstLine="1237"/>
        <w:spacing w:after="0" w:line="251" w:lineRule="auto"/>
        <w:rPr>
          <w:sz w:val="20"/>
          <w:szCs w:val="20"/>
          <w:color w:val="auto"/>
        </w:rPr>
      </w:pPr>
      <w:r>
        <w:rPr>
          <w:rFonts w:ascii="Arial" w:cs="Arial" w:eastAsia="Arial" w:hAnsi="Arial"/>
          <w:sz w:val="15"/>
          <w:szCs w:val="15"/>
          <w:color w:val="auto"/>
        </w:rPr>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given or made for all purposes at such time as it is delivered to the addressee (with the return receipt, the delivery receipt, confirmation of facsimile transmission or the affidavit of messenger being deemed conclusive but not exclusive evidence of such delivery) or at such time as delivery is refused by the addressee upon presentation.</w:t>
      </w:r>
    </w:p>
    <w:p>
      <w:pPr>
        <w:spacing w:after="0" w:line="196" w:lineRule="exact"/>
        <w:rPr>
          <w:sz w:val="20"/>
          <w:szCs w:val="20"/>
          <w:color w:val="auto"/>
        </w:rPr>
      </w:pPr>
    </w:p>
    <w:p>
      <w:pPr>
        <w:ind w:firstLine="618"/>
        <w:spacing w:after="0" w:line="236" w:lineRule="auto"/>
        <w:tabs>
          <w:tab w:leader="none" w:pos="109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one or more provisions of this Agreement shall not affect the validity or enforceability of the other provisions of this Agreement, which shall remain in full force and effect.</w:t>
      </w:r>
    </w:p>
    <w:p>
      <w:pPr>
        <w:spacing w:after="0" w:line="195" w:lineRule="exact"/>
        <w:rPr>
          <w:rFonts w:ascii="Arial" w:cs="Arial" w:eastAsia="Arial" w:hAnsi="Arial"/>
          <w:sz w:val="17"/>
          <w:szCs w:val="17"/>
          <w:color w:val="auto"/>
        </w:rPr>
      </w:pPr>
    </w:p>
    <w:p>
      <w:pPr>
        <w:jc w:val="both"/>
        <w:ind w:firstLine="618"/>
        <w:spacing w:after="0" w:line="231" w:lineRule="auto"/>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Effect on Other Agreements</w:t>
      </w:r>
      <w:r>
        <w:rPr>
          <w:rFonts w:ascii="Arial" w:cs="Arial" w:eastAsia="Arial" w:hAnsi="Arial"/>
          <w:sz w:val="17"/>
          <w:szCs w:val="17"/>
          <w:color w:val="auto"/>
        </w:rPr>
        <w:t>. The provisions of this Agreement shall supersede the terms of any plan, policy, agreement, award or other arrangement of the Employer (whether entered into before or after the date hereof) to the extent application of the terms of this Agreement is more favorable to the Executive.</w:t>
      </w:r>
    </w:p>
    <w:p>
      <w:pPr>
        <w:spacing w:after="0" w:line="183" w:lineRule="exact"/>
        <w:rPr>
          <w:rFonts w:ascii="Arial" w:cs="Arial" w:eastAsia="Arial" w:hAnsi="Arial"/>
          <w:sz w:val="17"/>
          <w:szCs w:val="17"/>
          <w:color w:val="auto"/>
        </w:rPr>
      </w:pPr>
    </w:p>
    <w:p>
      <w:pPr>
        <w:jc w:val="both"/>
        <w:ind w:firstLine="618"/>
        <w:spacing w:after="0" w:line="231" w:lineRule="auto"/>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It is the express intention and agreement of the parties hereto that the provisions of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w:t>
      </w:r>
      <w:r>
        <w:rPr>
          <w:rFonts w:ascii="Arial" w:cs="Arial" w:eastAsia="Arial" w:hAnsi="Arial"/>
          <w:sz w:val="17"/>
          <w:szCs w:val="17"/>
          <w:u w:val="single" w:color="auto"/>
          <w:color w:val="auto"/>
        </w:rPr>
        <w:t>17</w:t>
      </w:r>
      <w:r>
        <w:rPr>
          <w:rFonts w:ascii="Arial" w:cs="Arial" w:eastAsia="Arial" w:hAnsi="Arial"/>
          <w:sz w:val="17"/>
          <w:szCs w:val="17"/>
          <w:color w:val="auto"/>
        </w:rPr>
        <w:t xml:space="preserve">,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hereof and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survive the termination of employment of the Executive. In addition, all obligations of the Employer to make payments hereunder shall survive any termination of this Agreement on the terms and conditions set forth herein.</w:t>
      </w:r>
    </w:p>
    <w:p>
      <w:pPr>
        <w:spacing w:after="0" w:line="260" w:lineRule="exact"/>
        <w:rPr>
          <w:rFonts w:ascii="Arial" w:cs="Arial" w:eastAsia="Arial" w:hAnsi="Arial"/>
          <w:sz w:val="17"/>
          <w:szCs w:val="17"/>
          <w:color w:val="auto"/>
        </w:rPr>
      </w:pPr>
    </w:p>
    <w:p>
      <w:pPr>
        <w:jc w:val="both"/>
        <w:ind w:firstLine="618"/>
        <w:spacing w:after="0" w:line="234" w:lineRule="auto"/>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rights and obligations of the parties to this Agreement shall not be assignable or delegable, except that (i) in the event of the Executive’s death, the personal representative or legatees or distributees of the Executive’s estate, as the case may be, shall have the right to receive any amount owing and unpaid to the Executive hereunder and (ii) the rights and obligations of the Employer hereunder shall be assignable and delegable in connection with any subsequent merger, consolidation, sale of all or substantially all of the assets or equity interests of the Employer or similar transaction involving the Employer or a successor corporation. The Employer shall require any successor to the Employer to expressly assume and agree to perform this Agreement in the same manner and to the same extent that the Employer would be required to perform it if no such succession had taken place.</w:t>
      </w:r>
    </w:p>
    <w:p>
      <w:pPr>
        <w:sectPr>
          <w:pgSz w:w="11900" w:h="16838" w:orient="portrait"/>
          <w:cols w:equalWidth="0" w:num="1">
            <w:col w:w="11080"/>
          </w:cols>
          <w:pgMar w:left="460" w:top="1042" w:right="359" w:bottom="1440" w:gutter="0" w:footer="0" w:header="0"/>
        </w:sectPr>
      </w:pPr>
    </w:p>
    <w:bookmarkStart w:id="57" w:name="page58"/>
    <w:bookmarkEnd w:id="57"/>
    <w:p>
      <w:pPr>
        <w:ind w:left="-618" w:firstLine="618"/>
        <w:spacing w:after="0" w:line="261" w:lineRule="auto"/>
        <w:tabs>
          <w:tab w:leader="none" w:pos="48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Subject to any provisions hereof restricting assignment, this Agreement shall be binding upon the parties hereto and shall inure to the benefit of the parties and their respective heirs, devisees, executors, administrators, legal representatives, successors and assigns.</w:t>
      </w:r>
    </w:p>
    <w:p>
      <w:pPr>
        <w:spacing w:after="0" w:line="179" w:lineRule="exact"/>
        <w:rPr>
          <w:rFonts w:ascii="Arial" w:cs="Arial" w:eastAsia="Arial" w:hAnsi="Arial"/>
          <w:sz w:val="16"/>
          <w:szCs w:val="16"/>
          <w:color w:val="auto"/>
        </w:rPr>
      </w:pPr>
    </w:p>
    <w:p>
      <w:pPr>
        <w:jc w:val="both"/>
        <w:ind w:left="-618" w:firstLine="618"/>
        <w:spacing w:after="0" w:line="224" w:lineRule="auto"/>
        <w:tabs>
          <w:tab w:leader="none" w:pos="48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shall not be amended, altered or modified except by an instrument in writing duly executed by the party against whom enforcement is sought.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183" w:lineRule="exact"/>
        <w:rPr>
          <w:rFonts w:ascii="Arial" w:cs="Arial" w:eastAsia="Arial" w:hAnsi="Arial"/>
          <w:sz w:val="17"/>
          <w:szCs w:val="17"/>
          <w:color w:val="auto"/>
        </w:rPr>
      </w:pPr>
    </w:p>
    <w:p>
      <w:pPr>
        <w:ind w:left="-618" w:firstLine="618"/>
        <w:spacing w:after="0" w:line="261" w:lineRule="auto"/>
        <w:tabs>
          <w:tab w:leader="none" w:pos="48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179" w:lineRule="exact"/>
        <w:rPr>
          <w:rFonts w:ascii="Arial" w:cs="Arial" w:eastAsia="Arial" w:hAnsi="Arial"/>
          <w:sz w:val="16"/>
          <w:szCs w:val="16"/>
          <w:color w:val="auto"/>
        </w:rPr>
      </w:pPr>
    </w:p>
    <w:p>
      <w:pPr>
        <w:jc w:val="both"/>
        <w:ind w:left="-618" w:firstLine="618"/>
        <w:spacing w:after="0" w:line="224" w:lineRule="auto"/>
        <w:tabs>
          <w:tab w:leader="none" w:pos="48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the rights and obligations of the parties hereto, and any claims or disputes relating thereto, shall be governed by and construed in accordance with the laws of the State of Delaware (but not including any choice of law rule thereof that would cause the laws of another jurisdiction to apply). In the event of a dispute concerning or arising out of this Agreement the prevailing party (meaning the party who received substantially all of the relief sought) in such action will be reimbursed by the other party for all costs (including, without limitation, reasonable attorneys’ fees) incurred in connection with any such action.</w:t>
      </w:r>
    </w:p>
    <w:p>
      <w:pPr>
        <w:spacing w:after="0" w:line="183" w:lineRule="exact"/>
        <w:rPr>
          <w:rFonts w:ascii="Arial" w:cs="Arial" w:eastAsia="Arial" w:hAnsi="Arial"/>
          <w:sz w:val="17"/>
          <w:szCs w:val="17"/>
          <w:color w:val="auto"/>
        </w:rPr>
      </w:pPr>
    </w:p>
    <w:p>
      <w:pPr>
        <w:jc w:val="both"/>
        <w:ind w:left="-618" w:firstLine="618"/>
        <w:spacing w:after="0" w:line="231" w:lineRule="auto"/>
        <w:tabs>
          <w:tab w:leader="none" w:pos="48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the parties respecting the employment of the Executive, there being no representations, warranties or commitments except as set forth herein and supersedes all prior and contemporaneous understandings, agreements, representations and warranties, both written and oral, with respect to the subject matter hereof.</w:t>
      </w:r>
    </w:p>
    <w:p>
      <w:pPr>
        <w:spacing w:after="0" w:line="183" w:lineRule="exact"/>
        <w:rPr>
          <w:rFonts w:ascii="Arial" w:cs="Arial" w:eastAsia="Arial" w:hAnsi="Arial"/>
          <w:sz w:val="17"/>
          <w:szCs w:val="17"/>
          <w:color w:val="auto"/>
        </w:rPr>
      </w:pPr>
    </w:p>
    <w:p>
      <w:pPr>
        <w:jc w:val="both"/>
        <w:ind w:left="-618" w:firstLine="618"/>
        <w:spacing w:after="0" w:line="231" w:lineRule="auto"/>
        <w:tabs>
          <w:tab w:leader="none" w:pos="48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counterparts, each of which shall be an original and all of which shall be deemed to constitute one and the same instrument. This Agreement may be executed using a secure electronic signature program (such as Docusign), which shall be deemed to constitute original signatures.</w:t>
      </w:r>
    </w:p>
    <w:p>
      <w:pPr>
        <w:spacing w:after="0" w:line="183" w:lineRule="exact"/>
        <w:rPr>
          <w:rFonts w:ascii="Arial" w:cs="Arial" w:eastAsia="Arial" w:hAnsi="Arial"/>
          <w:sz w:val="17"/>
          <w:szCs w:val="17"/>
          <w:color w:val="auto"/>
        </w:rPr>
      </w:pPr>
    </w:p>
    <w:p>
      <w:pPr>
        <w:jc w:val="both"/>
        <w:ind w:left="-618" w:firstLine="618"/>
        <w:spacing w:after="0" w:line="224" w:lineRule="auto"/>
        <w:tabs>
          <w:tab w:leader="none" w:pos="48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Employer may withhold from any benefit payment under this Agreement all federal, state, city or other taxes as shall be required pursuant to any law or governmental regulation or ruling; provided that any withholding obligation arising in connection with the exercise of a stock option or the transfer of stock or other property shall be satisfied through withholding an appropriate number of shares of stock or appropriate amount of such other property.</w:t>
      </w:r>
    </w:p>
    <w:p>
      <w:pPr>
        <w:spacing w:after="0" w:line="185" w:lineRule="exact"/>
        <w:rPr>
          <w:rFonts w:ascii="Arial" w:cs="Arial" w:eastAsia="Arial" w:hAnsi="Arial"/>
          <w:sz w:val="17"/>
          <w:szCs w:val="17"/>
          <w:color w:val="auto"/>
        </w:rPr>
      </w:pPr>
    </w:p>
    <w:p>
      <w:pPr>
        <w:jc w:val="both"/>
        <w:ind w:left="-618" w:firstLine="618"/>
        <w:spacing w:after="0" w:line="242" w:lineRule="auto"/>
        <w:tabs>
          <w:tab w:leader="none" w:pos="482"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 The intent of the parties is that payments and benefits under this Agreement comply with Section 409A of the Code and the regulations and guidance promulgated thereunder (collectively “</w:t>
      </w:r>
      <w:r>
        <w:rPr>
          <w:rFonts w:ascii="Arial" w:cs="Arial" w:eastAsia="Arial" w:hAnsi="Arial"/>
          <w:sz w:val="15"/>
          <w:szCs w:val="15"/>
          <w:u w:val="single" w:color="auto"/>
          <w:color w:val="auto"/>
        </w:rPr>
        <w:t>Code Section 409A</w:t>
      </w:r>
      <w:r>
        <w:rPr>
          <w:rFonts w:ascii="Arial" w:cs="Arial" w:eastAsia="Arial" w:hAnsi="Arial"/>
          <w:sz w:val="15"/>
          <w:szCs w:val="15"/>
          <w:color w:val="auto"/>
        </w:rPr>
        <w:t xml:space="preserve">”) and, accordingly, to the maximum extent permitted, this Agreement shall be interpreted to be in compliance therewith. If the Executive notifies the Employer (with specificity as to the reason therefor) that the Executive believes that any provision of this Agreement (or of any award of compensation, including equity compensation or benefits) would cause the Executive to incur any additional tax or interest under Code Section 409A and the Employer concurs with such belief or the Employer (without any obligation whatsoever to do so) independently makes such determination, the Employer shall, after consulting with the Executive, reform such provision to attempt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the Executive and the Employer of the applicable provision without violating the provisions of Code Section 409A. In no event whatsoever shall the Employer be liable for any additional tax, interest or penalty that may be imposed on the Executive by Code Section 409A or damages for failing to comply with Code Section 409A. With respect to any payment or benefit considered to be nonqualified deferred compensation under Code Section 409A,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w:t>
      </w:r>
    </w:p>
    <w:p>
      <w:pPr>
        <w:sectPr>
          <w:pgSz w:w="11900" w:h="16838" w:orient="portrait"/>
          <w:cols w:equalWidth="0" w:num="1">
            <w:col w:w="10462"/>
          </w:cols>
          <w:pgMar w:left="1078" w:top="1042" w:right="359" w:bottom="1440" w:gutter="0" w:footer="0" w:header="0"/>
        </w:sectPr>
      </w:pPr>
    </w:p>
    <w:bookmarkStart w:id="58" w:name="page59"/>
    <w:bookmarkEnd w:id="58"/>
    <w:p>
      <w:pPr>
        <w:jc w:val="both"/>
        <w:spacing w:after="0" w:line="251" w:lineRule="auto"/>
        <w:rPr>
          <w:sz w:val="20"/>
          <w:szCs w:val="20"/>
          <w:color w:val="auto"/>
        </w:rPr>
      </w:pPr>
      <w:r>
        <w:rPr>
          <w:rFonts w:ascii="Arial" w:cs="Arial" w:eastAsia="Arial" w:hAnsi="Arial"/>
          <w:sz w:val="15"/>
          <w:szCs w:val="15"/>
          <w:color w:val="auto"/>
        </w:rPr>
        <w:t>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expenses eligible for reimbursement, or in-kind benefits to be provided, in any other taxable year. 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w:t>
      </w:r>
    </w:p>
    <w:p>
      <w:pPr>
        <w:jc w:val="both"/>
        <w:spacing w:after="0" w:line="220" w:lineRule="auto"/>
        <w:rPr>
          <w:sz w:val="20"/>
          <w:szCs w:val="20"/>
          <w:color w:val="auto"/>
        </w:rPr>
      </w:pPr>
      <w:r>
        <w:rPr>
          <w:rFonts w:ascii="Arial" w:cs="Arial" w:eastAsia="Arial" w:hAnsi="Arial"/>
          <w:sz w:val="17"/>
          <w:szCs w:val="17"/>
          <w:color w:val="auto"/>
        </w:rPr>
        <w:t>within the sole discretion of the Employer. 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96" w:lineRule="exact"/>
        <w:rPr>
          <w:sz w:val="20"/>
          <w:szCs w:val="20"/>
          <w:color w:val="auto"/>
        </w:rPr>
      </w:pPr>
    </w:p>
    <w:p>
      <w:pPr>
        <w:ind w:left="1360" w:hanging="741"/>
        <w:spacing w:after="0"/>
        <w:tabs>
          <w:tab w:leader="none" w:pos="136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Section 280G</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firstLine="1237"/>
        <w:spacing w:after="0" w:line="225" w:lineRule="auto"/>
        <w:tabs>
          <w:tab w:leader="none" w:pos="1719"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or any other plan, arrangement or agreement to the contrary, if any of the payments or benefits provided or to be provided by the Employer or its affiliates to the Executive or for the Executive's benefit pursuant to the terms of this Agreement or otherwise (“</w:t>
      </w:r>
      <w:r>
        <w:rPr>
          <w:rFonts w:ascii="Arial" w:cs="Arial" w:eastAsia="Arial" w:hAnsi="Arial"/>
          <w:sz w:val="16"/>
          <w:szCs w:val="16"/>
          <w:u w:val="single" w:color="auto"/>
          <w:color w:val="auto"/>
        </w:rPr>
        <w:t>Covered Payments</w:t>
      </w:r>
      <w:r>
        <w:rPr>
          <w:rFonts w:ascii="Arial" w:cs="Arial" w:eastAsia="Arial" w:hAnsi="Arial"/>
          <w:sz w:val="16"/>
          <w:szCs w:val="16"/>
          <w:color w:val="auto"/>
        </w:rPr>
        <w:t xml:space="preserve">”) constitute “parachute payments” within the meaning of Section 280G of the Code and would, but for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Arial" w:cs="Arial" w:eastAsia="Arial" w:hAnsi="Arial"/>
          <w:sz w:val="16"/>
          <w:szCs w:val="16"/>
          <w:u w:val="single" w:color="auto"/>
          <w:color w:val="auto"/>
        </w:rPr>
        <w:t>Net Benefit</w:t>
      </w:r>
      <w:r>
        <w:rPr>
          <w:rFonts w:ascii="Arial" w:cs="Arial" w:eastAsia="Arial" w:hAnsi="Arial"/>
          <w:sz w:val="16"/>
          <w:szCs w:val="16"/>
          <w:color w:val="auto"/>
        </w:rPr>
        <w:t>” shall mean the present value of the Covered Payments net of all federal, state, local, foreign income, employment and excise taxes. The calculation shall take into consideration all available exemptions, including to what extent (if any) to what extent (if any) such payment or benefits or portions thereof may properly be treated as “reasonable compensation for personal services rendered” by the Executive before, or after, the Change of Control, within the meaning of Code Section 280G(b)(4) and the regulations issued thereunder, including, without limitation, the valuation of the Executive’s obligations under Section 7 hereof and any other covenants to refrain from performing services.</w:t>
      </w:r>
    </w:p>
    <w:p>
      <w:pPr>
        <w:spacing w:after="0" w:line="1" w:lineRule="exact"/>
        <w:rPr>
          <w:rFonts w:ascii="Arial" w:cs="Arial" w:eastAsia="Arial" w:hAnsi="Arial"/>
          <w:sz w:val="16"/>
          <w:szCs w:val="16"/>
          <w:color w:val="auto"/>
        </w:rPr>
      </w:pPr>
    </w:p>
    <w:p>
      <w:pPr>
        <w:jc w:val="both"/>
        <w:ind w:firstLine="1237"/>
        <w:spacing w:after="0" w:line="225" w:lineRule="auto"/>
        <w:tabs>
          <w:tab w:leader="none" w:pos="1719"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Covered Payments shall be reduced in a manner that maximizes the Executive’s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196" w:lineRule="exact"/>
        <w:rPr>
          <w:rFonts w:ascii="Arial" w:cs="Arial" w:eastAsia="Arial" w:hAnsi="Arial"/>
          <w:sz w:val="17"/>
          <w:szCs w:val="17"/>
          <w:color w:val="auto"/>
        </w:rPr>
      </w:pPr>
    </w:p>
    <w:p>
      <w:pPr>
        <w:jc w:val="both"/>
        <w:ind w:firstLine="1237"/>
        <w:spacing w:after="0" w:line="249" w:lineRule="auto"/>
        <w:tabs>
          <w:tab w:leader="none" w:pos="1719" w:val="left"/>
        </w:tabs>
        <w:numPr>
          <w:ilvl w:val="1"/>
          <w:numId w:val="27"/>
        </w:numPr>
        <w:rPr>
          <w:rFonts w:ascii="Arial" w:cs="Arial" w:eastAsia="Arial" w:hAnsi="Arial"/>
          <w:sz w:val="15"/>
          <w:szCs w:val="15"/>
          <w:color w:val="auto"/>
        </w:rPr>
      </w:pPr>
      <w:r>
        <w:rPr>
          <w:rFonts w:ascii="Arial" w:cs="Arial" w:eastAsia="Arial" w:hAnsi="Arial"/>
          <w:sz w:val="15"/>
          <w:szCs w:val="15"/>
          <w:color w:val="auto"/>
        </w:rPr>
        <w:t xml:space="preserve">Any determination required under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shall be made in writing in good faith by an independent accounting firm selected by the Employer that is reasonably acceptable to the Executive (the “</w:t>
      </w:r>
      <w:r>
        <w:rPr>
          <w:rFonts w:ascii="Arial" w:cs="Arial" w:eastAsia="Arial" w:hAnsi="Arial"/>
          <w:sz w:val="15"/>
          <w:szCs w:val="15"/>
          <w:u w:val="single" w:color="auto"/>
          <w:color w:val="auto"/>
        </w:rPr>
        <w:t>Accountants</w:t>
      </w:r>
      <w:r>
        <w:rPr>
          <w:rFonts w:ascii="Arial" w:cs="Arial" w:eastAsia="Arial" w:hAnsi="Arial"/>
          <w:sz w:val="15"/>
          <w:szCs w:val="15"/>
          <w:color w:val="auto"/>
        </w:rPr>
        <w:t xml:space="preserve">”) which shall provide detailed supporting calculations to the Employer and the Executive as requested by the Employer or the Executive. The Employer and the Executive shall provide the Accountants with such information and documents as the Accountants may reasonably request in order to make a determination under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For purposes of making the calculations and determinations required by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the Accountants may rely on reasonable, good faith assumptions and approximations concerning the application of Section 280G and Section 4999 of the Code. The Accountants’ determinations shall be final and binding on the Employer and the Executive. The Employer shall be responsible for all reasonable and customary fees and expenses incurred by the Accountants in connection with the calculations required by this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178" w:lineRule="exact"/>
        <w:rPr>
          <w:rFonts w:ascii="Arial" w:cs="Arial" w:eastAsia="Arial" w:hAnsi="Arial"/>
          <w:sz w:val="15"/>
          <w:szCs w:val="15"/>
          <w:color w:val="auto"/>
        </w:rPr>
      </w:pPr>
    </w:p>
    <w:p>
      <w:pPr>
        <w:ind w:firstLine="618"/>
        <w:spacing w:after="0" w:line="278" w:lineRule="auto"/>
        <w:tabs>
          <w:tab w:leader="none" w:pos="110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Employer hereby agrees to indemnify the Executive and provide Directors &amp; Officers Liability Insurance (“D&amp;O Insurance”) coverage to the Executive, in each case, on terms and conditions no less favorable than those provided to other similarly situated executive officers.</w:t>
      </w:r>
    </w:p>
    <w:p>
      <w:pPr>
        <w:spacing w:after="0" w:line="153" w:lineRule="exact"/>
        <w:rPr>
          <w:rFonts w:ascii="Arial" w:cs="Arial" w:eastAsia="Arial" w:hAnsi="Arial"/>
          <w:sz w:val="16"/>
          <w:szCs w:val="16"/>
          <w:color w:val="auto"/>
        </w:rPr>
      </w:pPr>
    </w:p>
    <w:p>
      <w:pPr>
        <w:ind w:firstLine="618"/>
        <w:spacing w:after="0" w:line="236" w:lineRule="auto"/>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Contingent Offer</w:t>
      </w:r>
      <w:r>
        <w:rPr>
          <w:rFonts w:ascii="Arial" w:cs="Arial" w:eastAsia="Arial" w:hAnsi="Arial"/>
          <w:sz w:val="17"/>
          <w:szCs w:val="17"/>
          <w:color w:val="auto"/>
        </w:rPr>
        <w:t>. The Executive agrees and understands that employment with the Employer, and the effectiveness of this Agreement, is contingent upon the occurrence of the following, to the satisfaction of the Employer in its sole discretion:</w:t>
      </w:r>
    </w:p>
    <w:p>
      <w:pPr>
        <w:spacing w:after="0" w:line="195" w:lineRule="exact"/>
        <w:rPr>
          <w:rFonts w:ascii="Arial" w:cs="Arial" w:eastAsia="Arial" w:hAnsi="Arial"/>
          <w:sz w:val="17"/>
          <w:szCs w:val="17"/>
          <w:color w:val="auto"/>
        </w:rPr>
      </w:pPr>
    </w:p>
    <w:p>
      <w:pPr>
        <w:ind w:left="1720" w:hanging="483"/>
        <w:spacing w:after="0"/>
        <w:tabs>
          <w:tab w:leader="none" w:pos="17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Executive’s satisfactory completion of drug screening test on or prior to the Effective Date;</w:t>
      </w:r>
    </w:p>
    <w:p>
      <w:pPr>
        <w:spacing w:after="0" w:line="204" w:lineRule="exact"/>
        <w:rPr>
          <w:rFonts w:ascii="Arial" w:cs="Arial" w:eastAsia="Arial" w:hAnsi="Arial"/>
          <w:sz w:val="17"/>
          <w:szCs w:val="17"/>
          <w:color w:val="auto"/>
        </w:rPr>
      </w:pPr>
    </w:p>
    <w:p>
      <w:pPr>
        <w:jc w:val="both"/>
        <w:ind w:firstLine="1237"/>
        <w:spacing w:after="0" w:line="231" w:lineRule="auto"/>
        <w:tabs>
          <w:tab w:leader="none" w:pos="1719" w:val="left"/>
        </w:tabs>
        <w:numPr>
          <w:ilvl w:val="1"/>
          <w:numId w:val="27"/>
        </w:numPr>
        <w:rPr>
          <w:rFonts w:ascii="Arial" w:cs="Arial" w:eastAsia="Arial" w:hAnsi="Arial"/>
          <w:sz w:val="17"/>
          <w:szCs w:val="17"/>
          <w:color w:val="auto"/>
        </w:rPr>
      </w:pPr>
      <w:r>
        <w:rPr>
          <w:rFonts w:ascii="Arial" w:cs="Arial" w:eastAsia="Arial" w:hAnsi="Arial"/>
          <w:sz w:val="17"/>
          <w:szCs w:val="17"/>
          <w:color w:val="auto"/>
        </w:rPr>
        <w:t>Verification of the Executive’s right to work in the United States, as demonstrated by the Executive’s completion of an I-9 form and submission of acceptable documentation (as noted on the I-9 form) verifying the Executive’s identity and work authorization within three days of the Effective Date; and</w:t>
      </w:r>
    </w:p>
    <w:p>
      <w:pPr>
        <w:spacing w:after="0" w:line="183" w:lineRule="exact"/>
        <w:rPr>
          <w:rFonts w:ascii="Arial" w:cs="Arial" w:eastAsia="Arial" w:hAnsi="Arial"/>
          <w:sz w:val="17"/>
          <w:szCs w:val="17"/>
          <w:color w:val="auto"/>
        </w:rPr>
      </w:pPr>
    </w:p>
    <w:p>
      <w:pPr>
        <w:ind w:left="1720" w:hanging="483"/>
        <w:spacing w:after="0"/>
        <w:tabs>
          <w:tab w:leader="none" w:pos="17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Executive’s satisfactory completion of a background screening process.</w:t>
      </w:r>
    </w:p>
    <w:p>
      <w:pPr>
        <w:spacing w:after="0" w:line="204" w:lineRule="exact"/>
        <w:rPr>
          <w:rFonts w:ascii="Arial" w:cs="Arial" w:eastAsia="Arial" w:hAnsi="Arial"/>
          <w:sz w:val="17"/>
          <w:szCs w:val="17"/>
          <w:color w:val="auto"/>
        </w:rPr>
      </w:pPr>
    </w:p>
    <w:p>
      <w:pPr>
        <w:ind w:left="1340" w:hanging="722"/>
        <w:spacing w:after="0"/>
        <w:tabs>
          <w:tab w:leader="none" w:pos="134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17" w:lineRule="exact"/>
        <w:rPr>
          <w:sz w:val="20"/>
          <w:szCs w:val="20"/>
          <w:color w:val="auto"/>
        </w:rPr>
      </w:pPr>
    </w:p>
    <w:p>
      <w:pPr>
        <w:jc w:val="both"/>
        <w:ind w:firstLine="12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Accrued Benefits</w:t>
      </w:r>
      <w:r>
        <w:rPr>
          <w:rFonts w:ascii="Arial" w:cs="Arial" w:eastAsia="Arial" w:hAnsi="Arial"/>
          <w:sz w:val="15"/>
          <w:szCs w:val="15"/>
          <w:color w:val="auto"/>
        </w:rPr>
        <w:t xml:space="preserve">” means (i) Base Salary through the Date of Termination; (ii) accrued and unused vacation pay; (iii) any earned but unpaid Annual Bonus; (iv) any amounts owing to the Executive for reimbursement of expenses properly incurred by the Executive prior to the Date of Termination and which are reimbursable in accordance with </w:t>
      </w:r>
      <w:r>
        <w:rPr>
          <w:rFonts w:ascii="Arial" w:cs="Arial" w:eastAsia="Arial" w:hAnsi="Arial"/>
          <w:sz w:val="15"/>
          <w:szCs w:val="15"/>
          <w:u w:val="single" w:color="auto"/>
          <w:color w:val="auto"/>
        </w:rPr>
        <w:t>Section 6</w:t>
      </w:r>
      <w:r>
        <w:rPr>
          <w:rFonts w:ascii="Arial" w:cs="Arial" w:eastAsia="Arial" w:hAnsi="Arial"/>
          <w:sz w:val="15"/>
          <w:szCs w:val="15"/>
          <w:color w:val="auto"/>
        </w:rPr>
        <w:t>; and (v) any other benefits or amounts due and owing to the Executive under the terms of any plan,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program</w:t>
      </w:r>
    </w:p>
    <w:p>
      <w:pPr>
        <w:sectPr>
          <w:pgSz w:w="11900" w:h="16838" w:orient="portrait"/>
          <w:cols w:equalWidth="0" w:num="1">
            <w:col w:w="11080"/>
          </w:cols>
          <w:pgMar w:left="460" w:top="1042" w:right="359" w:bottom="1440" w:gutter="0" w:footer="0" w:header="0"/>
        </w:sectPr>
      </w:pPr>
    </w:p>
    <w:bookmarkStart w:id="59" w:name="page60"/>
    <w:bookmarkEnd w:id="59"/>
    <w:p>
      <w:pPr>
        <w:jc w:val="both"/>
        <w:spacing w:after="0" w:line="236" w:lineRule="auto"/>
        <w:rPr>
          <w:sz w:val="20"/>
          <w:szCs w:val="20"/>
          <w:color w:val="auto"/>
        </w:rPr>
      </w:pPr>
      <w:r>
        <w:rPr>
          <w:rFonts w:ascii="Arial" w:cs="Arial" w:eastAsia="Arial" w:hAnsi="Arial"/>
          <w:sz w:val="17"/>
          <w:szCs w:val="17"/>
          <w:color w:val="auto"/>
        </w:rPr>
        <w:t>or arrangement of the Employer. Amounts payable pursuant to the clauses (i) – (iii) shall be paid promptly after the Date of Termination and all other amounts will be paid in accordance with the terms of the applicable plan, program or arrangement (as modified by this Agreement).</w:t>
      </w:r>
    </w:p>
    <w:p>
      <w:pPr>
        <w:spacing w:after="0" w:line="19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Employer.</w:t>
      </w:r>
    </w:p>
    <w:p>
      <w:pPr>
        <w:spacing w:after="0" w:line="204" w:lineRule="exact"/>
        <w:rPr>
          <w:sz w:val="20"/>
          <w:szCs w:val="20"/>
          <w:color w:val="auto"/>
        </w:rPr>
      </w:pPr>
    </w:p>
    <w:p>
      <w:pPr>
        <w:ind w:right="40" w:firstLine="1237"/>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w:t>
      </w:r>
      <w:r>
        <w:rPr>
          <w:rFonts w:ascii="Arial" w:cs="Arial" w:eastAsia="Arial" w:hAnsi="Arial"/>
          <w:sz w:val="15"/>
          <w:szCs w:val="15"/>
          <w:color w:val="auto"/>
        </w:rPr>
        <w:t>” means the provision of (i) specialty rental services providing innovative modular space and portable storage solutions across North America and the UK, and (ii) modular space for the construction, education, health care, government, retail, commercial, transportation, security, retail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energy sectors.</w:t>
      </w:r>
    </w:p>
    <w:p>
      <w:pPr>
        <w:spacing w:after="0" w:line="190" w:lineRule="exact"/>
        <w:rPr>
          <w:sz w:val="20"/>
          <w:szCs w:val="20"/>
          <w:color w:val="auto"/>
        </w:rPr>
      </w:pPr>
    </w:p>
    <w:p>
      <w:pPr>
        <w:jc w:val="both"/>
        <w:ind w:firstLine="1237"/>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 shall be limited to the following events (i) the Executive’s conviction of, or plea of nolo contendere to, a felony (other than in connection with a traffic violation) under any state or federal law; (ii) the Executive’s failure to substantially perform the Executive’s essential job functions</w:t>
      </w:r>
    </w:p>
    <w:p>
      <w:pPr>
        <w:jc w:val="both"/>
        <w:spacing w:after="0" w:line="239" w:lineRule="auto"/>
        <w:rPr>
          <w:sz w:val="20"/>
          <w:szCs w:val="20"/>
          <w:color w:val="auto"/>
        </w:rPr>
      </w:pPr>
      <w:r>
        <w:rPr>
          <w:rFonts w:ascii="Arial" w:cs="Arial" w:eastAsia="Arial" w:hAnsi="Arial"/>
          <w:sz w:val="15"/>
          <w:szCs w:val="15"/>
          <w:color w:val="auto"/>
        </w:rPr>
        <w:t>hereunder after receipt of written notice from the Employer requesting such performance; (iii) a material act of fraud or material misconduct with respect, in each case, to the Employer, by the Executive; (iv) any material misconduct by the Executive that could be reasonably expected to damage the reputation or business of the Employer or any Employer Affiliate; or (v) the Executive’s material violation of a material written policy of the Employer. Anything herein to the</w:t>
      </w:r>
    </w:p>
    <w:p>
      <w:pPr>
        <w:jc w:val="both"/>
        <w:spacing w:after="0" w:line="239" w:lineRule="auto"/>
        <w:rPr>
          <w:sz w:val="20"/>
          <w:szCs w:val="20"/>
          <w:color w:val="auto"/>
        </w:rPr>
      </w:pPr>
      <w:r>
        <w:rPr>
          <w:rFonts w:ascii="Arial" w:cs="Arial" w:eastAsia="Arial" w:hAnsi="Arial"/>
          <w:sz w:val="15"/>
          <w:szCs w:val="15"/>
          <w:color w:val="auto"/>
        </w:rPr>
        <w:t>contrary notwithstanding, the Executive shall not be terminated for Cause hereunder unless (A) written notice stating the basis for the termination is provided to the Executive, (B) as to clauses (ii), (iii), (iv) or (v) of this paragraph, the Executive is given 30 days to cure the neglect or conduct that is the basis of such claim (it being understood that any errors in expense reimbursement may be cured by repayment), and (C) if the Executive fails to cure such neglect or conduct, there</w:t>
      </w:r>
    </w:p>
    <w:p>
      <w:pPr>
        <w:spacing w:after="0"/>
        <w:rPr>
          <w:sz w:val="20"/>
          <w:szCs w:val="20"/>
          <w:color w:val="auto"/>
        </w:rPr>
      </w:pPr>
      <w:r>
        <w:rPr>
          <w:rFonts w:ascii="Arial" w:cs="Arial" w:eastAsia="Arial" w:hAnsi="Arial"/>
          <w:sz w:val="17"/>
          <w:szCs w:val="17"/>
          <w:color w:val="auto"/>
        </w:rPr>
        <w:t>is a vote of a majority of the members of the Board to terminate the Executive for Cause.</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For the purposes of this Agreement, “Change in Control” means the occurrence of any one of the following events:</w:t>
      </w:r>
    </w:p>
    <w:p>
      <w:pPr>
        <w:spacing w:after="0" w:line="1" w:lineRule="exact"/>
        <w:rPr>
          <w:sz w:val="20"/>
          <w:szCs w:val="20"/>
          <w:color w:val="auto"/>
        </w:rPr>
      </w:pPr>
    </w:p>
    <w:p>
      <w:pPr>
        <w:jc w:val="both"/>
        <w:ind w:left="420" w:firstLine="421"/>
        <w:spacing w:after="0" w:line="230"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6"/>
          <w:szCs w:val="16"/>
          <w:color w:val="auto"/>
        </w:rPr>
        <w:t>During any twenty-four (24) month period, individuals who, as of the beginning of such period, constitute the Board (the “</w:t>
      </w:r>
      <w:r>
        <w:rPr>
          <w:rFonts w:ascii="Arial" w:cs="Arial" w:eastAsia="Arial" w:hAnsi="Arial"/>
          <w:sz w:val="16"/>
          <w:szCs w:val="16"/>
          <w:u w:val="single" w:color="auto"/>
          <w:color w:val="auto"/>
        </w:rPr>
        <w:t>Incumbent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Employer in which such person is named as a nominee for director, without written objection to such nomination)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Employer as a result of an actual or threatened election contest with respect to directors or as a result of any other actual or threatened solicitation of proxies by or on behalf of any person other than the Board shall be deemed to be an Incumbent Director;</w:t>
      </w:r>
    </w:p>
    <w:p>
      <w:pPr>
        <w:spacing w:after="0" w:line="199" w:lineRule="exact"/>
        <w:rPr>
          <w:rFonts w:ascii="Arial" w:cs="Arial" w:eastAsia="Arial" w:hAnsi="Arial"/>
          <w:sz w:val="18"/>
          <w:szCs w:val="18"/>
          <w:color w:val="auto"/>
        </w:rPr>
      </w:pPr>
    </w:p>
    <w:p>
      <w:pPr>
        <w:ind w:left="1100" w:hanging="259"/>
        <w:spacing w:after="0"/>
        <w:tabs>
          <w:tab w:leader="none" w:pos="1100" w:val="left"/>
        </w:tabs>
        <w:numPr>
          <w:ilvl w:val="1"/>
          <w:numId w:val="28"/>
        </w:numPr>
        <w:rPr>
          <w:rFonts w:ascii="Arial" w:cs="Arial" w:eastAsia="Arial" w:hAnsi="Arial"/>
          <w:sz w:val="17"/>
          <w:szCs w:val="17"/>
          <w:color w:val="auto"/>
        </w:rPr>
      </w:pPr>
      <w:r>
        <w:rPr>
          <w:rFonts w:ascii="Arial" w:cs="Arial" w:eastAsia="Arial" w:hAnsi="Arial"/>
          <w:sz w:val="15"/>
          <w:szCs w:val="15"/>
          <w:color w:val="auto"/>
        </w:rPr>
        <w:t>Any “person” (as such term is defined in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as used in Sections 13(d)</w:t>
      </w:r>
    </w:p>
    <w:p>
      <w:pPr>
        <w:jc w:val="both"/>
        <w:ind w:left="420" w:firstLine="1"/>
        <w:spacing w:after="0" w:line="215" w:lineRule="auto"/>
        <w:tabs>
          <w:tab w:leader="none" w:pos="6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and 14(d)(2) of the Exchange Act) is or becomes a “beneficial owner” (as defined in Rule 13d-3 under the Exchange Act), directly or indirectly, of securities of the Employer representing 35% or more of the combined voting power of the Employer’s then outstanding securities eligible to vote for the election of the Board (the “</w:t>
      </w:r>
      <w:r>
        <w:rPr>
          <w:rFonts w:ascii="Arial" w:cs="Arial" w:eastAsia="Arial" w:hAnsi="Arial"/>
          <w:sz w:val="17"/>
          <w:szCs w:val="17"/>
          <w:u w:val="single" w:color="auto"/>
          <w:color w:val="auto"/>
        </w:rPr>
        <w:t>Employer Voting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event described in this paragraph (ii) shall not be deemed to be a Change in Control by virtue of any of the following acquisitions: (A) by the Employer or any Subsidiary; (B) by any employee benefit plan (or related trust) sponsored or maintained by the Employer or any subsidiary; (C) by any underwriter temporarily holding securities pursuant to an offering of such securities; (D) pursuant to a Non-Qualifying Transaction, as defined in paragraph (iii), or (E) by any person of Employer Voting Securities from the Employer, if a majority of the Incumbent Board approves in advance the acquisition of beneficial ownership of 35% or more of Employer Voting Securities by such person;</w:t>
      </w:r>
    </w:p>
    <w:p>
      <w:pPr>
        <w:spacing w:after="0" w:line="196" w:lineRule="exact"/>
        <w:rPr>
          <w:rFonts w:ascii="Arial" w:cs="Arial" w:eastAsia="Arial" w:hAnsi="Arial"/>
          <w:sz w:val="17"/>
          <w:szCs w:val="17"/>
          <w:color w:val="auto"/>
        </w:rPr>
      </w:pPr>
    </w:p>
    <w:p>
      <w:pPr>
        <w:jc w:val="both"/>
        <w:ind w:left="420" w:firstLine="421"/>
        <w:spacing w:after="0"/>
        <w:tabs>
          <w:tab w:leader="none" w:pos="1719" w:val="left"/>
        </w:tabs>
        <w:numPr>
          <w:ilvl w:val="1"/>
          <w:numId w:val="29"/>
        </w:numPr>
        <w:rPr>
          <w:rFonts w:ascii="Arial" w:cs="Arial" w:eastAsia="Arial" w:hAnsi="Arial"/>
          <w:sz w:val="17"/>
          <w:szCs w:val="17"/>
          <w:color w:val="auto"/>
        </w:rPr>
      </w:pPr>
      <w:r>
        <w:rPr>
          <w:rFonts w:ascii="Arial" w:cs="Arial" w:eastAsia="Arial" w:hAnsi="Arial"/>
          <w:sz w:val="15"/>
          <w:szCs w:val="15"/>
          <w:color w:val="auto"/>
        </w:rPr>
        <w:t>The consummation of a merger, consolidation, statutory share exchange or similar form of corporate transaction involving the Employer or any of its subsidiaries that requires the approval of the Employer’s stockholders, whether for such transaction or the issuance of securities in the transaction (a “</w:t>
      </w:r>
      <w:r>
        <w:rPr>
          <w:rFonts w:ascii="Arial" w:cs="Arial" w:eastAsia="Arial" w:hAnsi="Arial"/>
          <w:sz w:val="15"/>
          <w:szCs w:val="15"/>
          <w:u w:val="single" w:color="auto"/>
          <w:color w:val="auto"/>
        </w:rPr>
        <w:t>Business Combination</w:t>
      </w:r>
      <w:r>
        <w:rPr>
          <w:rFonts w:ascii="Arial" w:cs="Arial" w:eastAsia="Arial" w:hAnsi="Arial"/>
          <w:sz w:val="15"/>
          <w:szCs w:val="15"/>
          <w:color w:val="auto"/>
        </w:rPr>
        <w:t>”), unless immediately following such Business Combination: (A) more than 50% of the total voting power of</w:t>
      </w:r>
    </w:p>
    <w:p>
      <w:pPr>
        <w:spacing w:after="0" w:line="2" w:lineRule="exact"/>
        <w:rPr>
          <w:rFonts w:ascii="Arial" w:cs="Arial" w:eastAsia="Arial" w:hAnsi="Arial"/>
          <w:sz w:val="17"/>
          <w:szCs w:val="17"/>
          <w:color w:val="auto"/>
        </w:rPr>
      </w:pPr>
    </w:p>
    <w:p>
      <w:pPr>
        <w:jc w:val="both"/>
        <w:ind w:left="420" w:firstLine="1"/>
        <w:spacing w:after="0" w:line="226"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corporation resulting from such Business Combination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or (2) if applicable, the ultimate parent corporation that directly or indirectly has beneficial ownership of 100% of the voting securities eligible to elect directors of the Surviving Corporation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Corporation</w:t>
      </w:r>
      <w:r>
        <w:rPr>
          <w:rFonts w:ascii="Arial" w:cs="Arial" w:eastAsia="Arial" w:hAnsi="Arial"/>
          <w:sz w:val="16"/>
          <w:szCs w:val="16"/>
          <w:color w:val="auto"/>
        </w:rPr>
        <w:t>”), is represented by Employer Voting Securities that were outstanding immediately prior to such Business Combination (or, if applicable, is represented by shares into which such Employer Voting Securities were converted pursuant to such Business Combination), and such voting power among the holders thereof is in substantially the same proportion as the voting power of such Employer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35% or more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Incumbent Directors at the time of the</w:t>
      </w:r>
    </w:p>
    <w:p>
      <w:pPr>
        <w:sectPr>
          <w:pgSz w:w="11900" w:h="16838" w:orient="portrait"/>
          <w:cols w:equalWidth="0" w:num="1">
            <w:col w:w="11080"/>
          </w:cols>
          <w:pgMar w:left="460" w:top="1042" w:right="359" w:bottom="1440" w:gutter="0" w:footer="0" w:header="0"/>
        </w:sectPr>
      </w:pPr>
    </w:p>
    <w:bookmarkStart w:id="60" w:name="page61"/>
    <w:bookmarkEnd w:id="60"/>
    <w:p>
      <w:pPr>
        <w:ind w:left="420"/>
        <w:spacing w:after="0" w:line="236" w:lineRule="auto"/>
        <w:rPr>
          <w:sz w:val="20"/>
          <w:szCs w:val="20"/>
          <w:color w:val="auto"/>
        </w:rPr>
      </w:pPr>
      <w:r>
        <w:rPr>
          <w:rFonts w:ascii="Arial" w:cs="Arial" w:eastAsia="Arial" w:hAnsi="Arial"/>
          <w:sz w:val="17"/>
          <w:szCs w:val="17"/>
          <w:color w:val="auto"/>
        </w:rPr>
        <w:t>Board’s approval of the execution of the initial agreement providing for such Business Combination (any Business Combination which satisfies all of the criteria specified in (A), (B) and (C) above shall be deemed to be a “</w:t>
      </w:r>
      <w:r>
        <w:rPr>
          <w:rFonts w:ascii="Arial" w:cs="Arial" w:eastAsia="Arial" w:hAnsi="Arial"/>
          <w:sz w:val="17"/>
          <w:szCs w:val="17"/>
          <w:u w:val="single" w:color="auto"/>
          <w:color w:val="auto"/>
        </w:rPr>
        <w:t>Non</w:t>
      </w:r>
      <w:r>
        <w:rPr>
          <w:rFonts w:ascii="Arial" w:cs="Arial" w:eastAsia="Arial" w:hAnsi="Arial"/>
          <w:sz w:val="17"/>
          <w:szCs w:val="17"/>
          <w:b w:val="1"/>
          <w:bCs w:val="1"/>
          <w:u w:val="single" w:color="auto"/>
          <w:color w:val="auto"/>
        </w:rPr>
        <w:t>-</w:t>
      </w:r>
      <w:r>
        <w:rPr>
          <w:rFonts w:ascii="Arial" w:cs="Arial" w:eastAsia="Arial" w:hAnsi="Arial"/>
          <w:sz w:val="17"/>
          <w:szCs w:val="17"/>
          <w:u w:val="single" w:color="auto"/>
          <w:color w:val="auto"/>
        </w:rPr>
        <w:t>Qualifying Transaction</w:t>
      </w:r>
      <w:r>
        <w:rPr>
          <w:rFonts w:ascii="Arial" w:cs="Arial" w:eastAsia="Arial" w:hAnsi="Arial"/>
          <w:sz w:val="17"/>
          <w:szCs w:val="17"/>
          <w:color w:val="auto"/>
        </w:rPr>
        <w:t>”); or</w:t>
      </w:r>
    </w:p>
    <w:p>
      <w:pPr>
        <w:spacing w:after="0" w:line="209" w:lineRule="exact"/>
        <w:rPr>
          <w:sz w:val="20"/>
          <w:szCs w:val="20"/>
          <w:color w:val="auto"/>
        </w:rPr>
      </w:pPr>
    </w:p>
    <w:p>
      <w:pPr>
        <w:ind w:left="420" w:firstLine="421"/>
        <w:spacing w:after="0" w:line="223" w:lineRule="auto"/>
        <w:tabs>
          <w:tab w:leader="none" w:pos="1719" w:val="left"/>
        </w:tabs>
        <w:numPr>
          <w:ilvl w:val="0"/>
          <w:numId w:val="31"/>
        </w:numPr>
        <w:rPr>
          <w:rFonts w:ascii="Arial" w:cs="Arial" w:eastAsia="Arial" w:hAnsi="Arial"/>
          <w:sz w:val="19"/>
          <w:szCs w:val="19"/>
          <w:color w:val="auto"/>
        </w:rPr>
      </w:pPr>
      <w:r>
        <w:rPr>
          <w:rFonts w:ascii="Arial" w:cs="Arial" w:eastAsia="Arial" w:hAnsi="Arial"/>
          <w:sz w:val="17"/>
          <w:szCs w:val="17"/>
          <w:color w:val="auto"/>
        </w:rPr>
        <w:t>The consummation of a sale of all or substantially all of the Employer’s assets or the stockholders of the Employer approve a plan of complete liquidation or dissolution of the Employer.</w:t>
      </w:r>
    </w:p>
    <w:p>
      <w:pPr>
        <w:spacing w:after="0" w:line="195" w:lineRule="exact"/>
        <w:rPr>
          <w:sz w:val="20"/>
          <w:szCs w:val="20"/>
          <w:color w:val="auto"/>
        </w:rPr>
      </w:pPr>
    </w:p>
    <w:p>
      <w:pPr>
        <w:jc w:val="both"/>
        <w:ind w:left="420" w:firstLine="507"/>
        <w:spacing w:after="0" w:line="245" w:lineRule="auto"/>
        <w:rPr>
          <w:sz w:val="20"/>
          <w:szCs w:val="20"/>
          <w:color w:val="auto"/>
        </w:rPr>
      </w:pPr>
      <w:r>
        <w:rPr>
          <w:rFonts w:ascii="Arial" w:cs="Arial" w:eastAsia="Arial" w:hAnsi="Arial"/>
          <w:sz w:val="15"/>
          <w:szCs w:val="15"/>
          <w:color w:val="auto"/>
        </w:rPr>
        <w:t xml:space="preserve">Notwithstanding the foregoing, a Change in Control shall not be deemed to occur solely because any person acquires beneficial ownership of more than 35% of the Employer Voting Securities as a result of the acquisition of Employer Voting Securities by the Employer which reduces the number of Employer Voting Securities outstanding;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if after such acquisition by the Employer such person becomes the beneficial owner of additional</w:t>
      </w:r>
    </w:p>
    <w:p>
      <w:pPr>
        <w:spacing w:after="0" w:line="1" w:lineRule="exact"/>
        <w:rPr>
          <w:sz w:val="20"/>
          <w:szCs w:val="20"/>
          <w:color w:val="auto"/>
        </w:rPr>
      </w:pPr>
    </w:p>
    <w:p>
      <w:pPr>
        <w:jc w:val="both"/>
        <w:ind w:left="420"/>
        <w:spacing w:after="0" w:line="205" w:lineRule="auto"/>
        <w:rPr>
          <w:sz w:val="20"/>
          <w:szCs w:val="20"/>
          <w:color w:val="auto"/>
        </w:rPr>
      </w:pPr>
      <w:r>
        <w:rPr>
          <w:rFonts w:ascii="Arial" w:cs="Arial" w:eastAsia="Arial" w:hAnsi="Arial"/>
          <w:sz w:val="17"/>
          <w:szCs w:val="17"/>
          <w:color w:val="auto"/>
        </w:rPr>
        <w:t>Employer Voting Securities that increases the percentage of outstanding Employer Voting Securities beneficially owned by such person, a Change in Control of the Employer shall then occur.</w:t>
      </w:r>
    </w:p>
    <w:p>
      <w:pPr>
        <w:jc w:val="right"/>
        <w:spacing w:after="0" w:line="223" w:lineRule="auto"/>
        <w:rPr>
          <w:sz w:val="20"/>
          <w:szCs w:val="20"/>
          <w:color w:val="auto"/>
        </w:rPr>
      </w:pPr>
      <w:r>
        <w:rPr>
          <w:rFonts w:ascii="Arial" w:cs="Arial" w:eastAsia="Arial" w:hAnsi="Arial"/>
          <w:sz w:val="17"/>
          <w:szCs w:val="17"/>
          <w:color w:val="auto"/>
        </w:rPr>
        <w:t>Solely with respect to any award that constitutes "deferred compensation" subject to Section 409A of the Code and that is payable on</w:t>
      </w:r>
    </w:p>
    <w:p>
      <w:pPr>
        <w:jc w:val="both"/>
        <w:ind w:left="420"/>
        <w:spacing w:after="0" w:line="239" w:lineRule="auto"/>
        <w:rPr>
          <w:sz w:val="20"/>
          <w:szCs w:val="20"/>
          <w:color w:val="auto"/>
        </w:rPr>
      </w:pPr>
      <w:r>
        <w:rPr>
          <w:rFonts w:ascii="Arial" w:cs="Arial" w:eastAsia="Arial" w:hAnsi="Arial"/>
          <w:sz w:val="15"/>
          <w:szCs w:val="15"/>
          <w:color w:val="auto"/>
        </w:rPr>
        <w:t>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Employer as those terms are defined under Treasury Regulation §1.409A-3(i)(5), but only to the extent necessary to</w:t>
      </w:r>
    </w:p>
    <w:p>
      <w:pPr>
        <w:jc w:val="both"/>
        <w:ind w:left="420"/>
        <w:spacing w:after="0" w:line="227" w:lineRule="auto"/>
        <w:rPr>
          <w:sz w:val="20"/>
          <w:szCs w:val="20"/>
          <w:color w:val="auto"/>
        </w:rPr>
      </w:pPr>
      <w:r>
        <w:rPr>
          <w:rFonts w:ascii="Arial" w:cs="Arial" w:eastAsia="Arial" w:hAnsi="Arial"/>
          <w:sz w:val="17"/>
          <w:szCs w:val="17"/>
          <w:color w:val="auto"/>
        </w:rPr>
        <w:t>establish a time or form of payment that complies with Section 409A of the Code, without altering the definition of Change in Control for purposes of determining whether rights to such award have become vested or otherwise unconditional upon the Change in Control.</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and the regulations and guidance promulgated thereunder.</w:t>
      </w:r>
    </w:p>
    <w:p>
      <w:pPr>
        <w:spacing w:after="0" w:line="217" w:lineRule="exact"/>
        <w:rPr>
          <w:sz w:val="20"/>
          <w:szCs w:val="20"/>
          <w:color w:val="auto"/>
        </w:rPr>
      </w:pPr>
    </w:p>
    <w:p>
      <w:pPr>
        <w:jc w:val="both"/>
        <w:ind w:firstLine="12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Date of Termination</w:t>
      </w:r>
      <w:r>
        <w:rPr>
          <w:rFonts w:ascii="Arial" w:cs="Arial" w:eastAsia="Arial" w:hAnsi="Arial"/>
          <w:sz w:val="15"/>
          <w:szCs w:val="15"/>
          <w:color w:val="auto"/>
        </w:rPr>
        <w:t>” means (i) if the Executive’s employment is terminated by the Executive’s death, the date of the Executive’s death; (ii) if the Executive’s employment is terminated because of the Executive’s Disability, 30 days after Notice of Termination, provided that the Executive shall not have returned to the performance of the Executive’s duties on a full-time basis during such 30-day period; or (iii) if the Executive’s employment is terminated by the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 xml:space="preserve">Employer pursuant to </w:t>
      </w:r>
      <w:r>
        <w:rPr>
          <w:rFonts w:ascii="Arial" w:cs="Arial" w:eastAsia="Arial" w:hAnsi="Arial"/>
          <w:sz w:val="17"/>
          <w:szCs w:val="17"/>
          <w:u w:val="single" w:color="auto"/>
          <w:color w:val="auto"/>
        </w:rPr>
        <w:t>Section 8(a)(ii)(B)</w:t>
      </w:r>
      <w:r>
        <w:rPr>
          <w:rFonts w:ascii="Arial" w:cs="Arial" w:eastAsia="Arial" w:hAnsi="Arial"/>
          <w:sz w:val="17"/>
          <w:szCs w:val="17"/>
          <w:color w:val="auto"/>
        </w:rPr>
        <w:t xml:space="preserve"> or by the Executive pursuant to </w:t>
      </w:r>
      <w:r>
        <w:rPr>
          <w:rFonts w:ascii="Arial" w:cs="Arial" w:eastAsia="Arial" w:hAnsi="Arial"/>
          <w:sz w:val="17"/>
          <w:szCs w:val="17"/>
          <w:u w:val="single" w:color="auto"/>
          <w:color w:val="auto"/>
        </w:rPr>
        <w:t>Section 8(a)(iii)</w:t>
      </w:r>
      <w:r>
        <w:rPr>
          <w:rFonts w:ascii="Arial" w:cs="Arial" w:eastAsia="Arial" w:hAnsi="Arial"/>
          <w:sz w:val="17"/>
          <w:szCs w:val="17"/>
          <w:color w:val="auto"/>
        </w:rPr>
        <w:t xml:space="preserve">, the date specified in the Notice of Termination, which may not be less than </w:t>
      </w:r>
      <w:r>
        <w:rPr>
          <w:rFonts w:ascii="Arial" w:cs="Arial" w:eastAsia="Arial" w:hAnsi="Arial"/>
          <w:sz w:val="17"/>
          <w:szCs w:val="17"/>
          <w:color w:val="7030A0"/>
        </w:rPr>
        <w:t>60</w:t>
      </w:r>
      <w:r>
        <w:rPr>
          <w:rFonts w:ascii="Arial" w:cs="Arial" w:eastAsia="Arial" w:hAnsi="Arial"/>
          <w:sz w:val="17"/>
          <w:szCs w:val="17"/>
          <w:color w:val="auto"/>
        </w:rPr>
        <w:t xml:space="preserve"> days after the Notice of Termination in the event the Employer is terminating the Executive without Cause or the Executive is terminating employment without Good Reason.</w:t>
      </w:r>
    </w:p>
    <w:p>
      <w:pPr>
        <w:spacing w:after="0" w:line="19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Employer Affiliate</w:t>
      </w:r>
      <w:r>
        <w:rPr>
          <w:rFonts w:ascii="Arial" w:cs="Arial" w:eastAsia="Arial" w:hAnsi="Arial"/>
          <w:sz w:val="17"/>
          <w:szCs w:val="17"/>
          <w:color w:val="auto"/>
        </w:rPr>
        <w:t>” means any entity controlled by, in control of, or under common control with, the Employer.</w:t>
      </w:r>
    </w:p>
    <w:p>
      <w:pPr>
        <w:spacing w:after="0" w:line="204" w:lineRule="exact"/>
        <w:rPr>
          <w:sz w:val="20"/>
          <w:szCs w:val="20"/>
          <w:color w:val="auto"/>
        </w:rPr>
      </w:pPr>
    </w:p>
    <w:p>
      <w:pPr>
        <w:jc w:val="both"/>
        <w:ind w:firstLine="1237"/>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Employer Confidential Information</w:t>
      </w:r>
      <w:r>
        <w:rPr>
          <w:rFonts w:ascii="Arial" w:cs="Arial" w:eastAsia="Arial" w:hAnsi="Arial"/>
          <w:sz w:val="15"/>
          <w:szCs w:val="15"/>
          <w:color w:val="auto"/>
        </w:rPr>
        <w:t>” means information known to the Executive to constitute trade secrets or proprietary information belonging to the Employer or other confidential financial information, operating budgets, strategic plans research methods, personnel data, projects or plans, or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non-public information regarding the terms of any existing or pending lending transaction between Employer and an existing or pending client or customer (as the phrase “client or customer” is defined in </w:t>
      </w:r>
      <w:r>
        <w:rPr>
          <w:rFonts w:ascii="Arial" w:cs="Arial" w:eastAsia="Arial" w:hAnsi="Arial"/>
          <w:sz w:val="16"/>
          <w:szCs w:val="16"/>
          <w:u w:val="single" w:color="auto"/>
          <w:color w:val="auto"/>
        </w:rPr>
        <w:t>Section 7(d)(i)</w:t>
      </w:r>
      <w:r>
        <w:rPr>
          <w:rFonts w:ascii="Arial" w:cs="Arial" w:eastAsia="Arial" w:hAnsi="Arial"/>
          <w:sz w:val="16"/>
          <w:szCs w:val="16"/>
          <w:color w:val="auto"/>
        </w:rPr>
        <w:t xml:space="preserve"> hereof), in each case, received by the Executive in the course of the Executive’s employment by the Employer or in connection with the Executive’s duties with the Employer. Notwithstanding anything to the contrary contained herein, the general skills,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knowledge and experience gained during the Executive’s employment with the Employer, information publicly available or generally known within the industry or trade in which the Employer competes and information or knowledge possessed by the Executive prior to the Executive’s employment by the Employer, shall not be considered Employer Confidential Information.</w:t>
      </w:r>
    </w:p>
    <w:p>
      <w:pPr>
        <w:spacing w:after="0" w:line="196" w:lineRule="exact"/>
        <w:rPr>
          <w:sz w:val="20"/>
          <w:szCs w:val="20"/>
          <w:color w:val="auto"/>
        </w:rPr>
      </w:pPr>
    </w:p>
    <w:p>
      <w:pPr>
        <w:jc w:val="both"/>
        <w:ind w:firstLine="1237"/>
        <w:spacing w:after="0" w:line="242"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u w:val="single" w:color="auto"/>
          <w:color w:val="auto"/>
        </w:rPr>
        <w:t>Good Reason</w:t>
      </w:r>
      <w:r>
        <w:rPr>
          <w:rFonts w:ascii="Arial" w:cs="Arial" w:eastAsia="Arial" w:hAnsi="Arial"/>
          <w:sz w:val="15"/>
          <w:szCs w:val="15"/>
          <w:color w:val="auto"/>
        </w:rPr>
        <w:t>” means, unless otherwise agreed to in writing by the Executive, (i) any material diminution or adverse change in the Executive’s title(s) or reporting to other than the Chief Executive Officer; (ii) a reduction in the Executive’s Base Salary or Target Bonus; (iii) a failure to grant the Executive, in any consecutive 12 month period, long term incentive equity awards having a grant date fair value (as determined by the Committee in good faith) of at least $750,000; (iv) a material diminution in the Executive’s authority, responsibilities or duties or material interference with the Executive’s carrying</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out the Executive’s duties; (v) the assignment of duties inconsistent with the Executive’s position or status with the Employer as of the date hereof; (vi) a relocation of the Executive’s primary place of employment to a location more than 75 miles from the Employer’s executive headquarters; or (vii) any action or inaction by the Employer that constitutes a material breach of the terms of this Agreement. In order to invoke a termination for Good Reason, (A) the Executive</w:t>
      </w:r>
    </w:p>
    <w:p>
      <w:pPr>
        <w:jc w:val="both"/>
        <w:spacing w:after="0" w:line="227" w:lineRule="auto"/>
        <w:rPr>
          <w:sz w:val="20"/>
          <w:szCs w:val="20"/>
          <w:color w:val="auto"/>
        </w:rPr>
      </w:pPr>
      <w:r>
        <w:rPr>
          <w:rFonts w:ascii="Arial" w:cs="Arial" w:eastAsia="Arial" w:hAnsi="Arial"/>
          <w:sz w:val="17"/>
          <w:szCs w:val="17"/>
          <w:color w:val="auto"/>
        </w:rPr>
        <w:t>must give written notice of the occurrence of an event of Good Reason within 60 days of its occurrence, (B) the Employer must fail to cure such event within 30 days of such notice, and (C) the Executive must terminate employment within 10 days of the expiration of such cure period.</w:t>
      </w:r>
    </w:p>
    <w:p>
      <w:pPr>
        <w:spacing w:after="0" w:line="183" w:lineRule="exact"/>
        <w:rPr>
          <w:sz w:val="20"/>
          <w:szCs w:val="20"/>
          <w:color w:val="auto"/>
        </w:rPr>
      </w:pPr>
    </w:p>
    <w:p>
      <w:pPr>
        <w:jc w:val="both"/>
        <w:ind w:firstLine="1237"/>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Non-Compete Period</w:t>
      </w:r>
      <w:r>
        <w:rPr>
          <w:rFonts w:ascii="Arial" w:cs="Arial" w:eastAsia="Arial" w:hAnsi="Arial"/>
          <w:sz w:val="17"/>
          <w:szCs w:val="17"/>
          <w:color w:val="auto"/>
        </w:rPr>
        <w:t>” means the period commencing on the date hereof and ending twenty-four months after the earlier of the expiration of the Employment Period or the Executive’s Date of Termination.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[SIGNATURE PAGE FOLLOWS]</w:t>
      </w:r>
    </w:p>
    <w:p>
      <w:pPr>
        <w:sectPr>
          <w:pgSz w:w="11900" w:h="16838" w:orient="portrait"/>
          <w:cols w:equalWidth="0" w:num="1">
            <w:col w:w="11080"/>
          </w:cols>
          <w:pgMar w:left="460" w:top="1042" w:right="359" w:bottom="1440" w:gutter="0" w:footer="0" w:header="0"/>
        </w:sectPr>
      </w:pPr>
    </w:p>
    <w:bookmarkStart w:id="61" w:name="page62"/>
    <w:bookmarkEnd w:id="61"/>
    <w:p>
      <w:pPr>
        <w:spacing w:after="0" w:line="54" w:lineRule="exact"/>
        <w:rPr>
          <w:sz w:val="20"/>
          <w:szCs w:val="20"/>
          <w:color w:val="auto"/>
        </w:rPr>
      </w:pPr>
    </w:p>
    <w:p>
      <w:pPr>
        <w:ind w:right="220" w:firstLine="596"/>
        <w:spacing w:after="0" w:line="279" w:lineRule="auto"/>
        <w:rPr>
          <w:sz w:val="20"/>
          <w:szCs w:val="20"/>
          <w:color w:val="auto"/>
        </w:rPr>
      </w:pPr>
      <w:r>
        <w:rPr>
          <w:rFonts w:ascii="Arial" w:cs="Arial" w:eastAsia="Arial" w:hAnsi="Arial"/>
          <w:sz w:val="17"/>
          <w:szCs w:val="17"/>
          <w:color w:val="auto"/>
        </w:rPr>
        <w:t>IN WITNESS WHEREOF, the undersigned have duly executed and delivered this Agreement, or have caused this Agreement to be duly executed and delivered on their behalf.</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WILLSCOT MOBILE MINI HOLDINGS CORP.</w:t>
      </w:r>
    </w:p>
    <w:p>
      <w:pPr>
        <w:spacing w:after="0" w:line="294" w:lineRule="exact"/>
        <w:rPr>
          <w:sz w:val="20"/>
          <w:szCs w:val="20"/>
          <w:color w:val="auto"/>
        </w:rPr>
      </w:pPr>
    </w:p>
    <w:tbl>
      <w:tblPr>
        <w:tblLayout w:type="fixed"/>
        <w:tblInd w:w="4940" w:type="dxa"/>
        <w:tblCellMar>
          <w:top w:w="0" w:type="dxa"/>
          <w:left w:w="0" w:type="dxa"/>
          <w:bottom w:w="0" w:type="dxa"/>
          <w:right w:w="0" w:type="dxa"/>
        </w:tblCellMar>
      </w:tblPr>
      <w:tr>
        <w:trPr>
          <w:trHeight w:val="218"/>
        </w:trPr>
        <w:tc>
          <w:tcPr>
            <w:tcW w:w="1160" w:type="dxa"/>
            <w:vAlign w:val="bottom"/>
          </w:tcPr>
          <w:p>
            <w:pPr>
              <w:ind w:left="6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Brad Soultz</w:t>
            </w:r>
          </w:p>
        </w:tc>
      </w:tr>
      <w:tr>
        <w:trPr>
          <w:trHeight w:val="213"/>
        </w:trPr>
        <w:tc>
          <w:tcPr>
            <w:tcW w:w="1160" w:type="dxa"/>
            <w:vAlign w:val="bottom"/>
          </w:tcPr>
          <w:p>
            <w:pPr>
              <w:ind w:left="60"/>
              <w:spacing w:after="0"/>
              <w:rPr>
                <w:sz w:val="20"/>
                <w:szCs w:val="20"/>
                <w:color w:val="auto"/>
              </w:rPr>
            </w:pPr>
            <w:r>
              <w:rPr>
                <w:rFonts w:ascii="Arial" w:cs="Arial" w:eastAsia="Arial" w:hAnsi="Arial"/>
                <w:sz w:val="17"/>
                <w:szCs w:val="17"/>
                <w:color w:val="auto"/>
              </w:rPr>
              <w:t>Date:</w:t>
            </w:r>
          </w:p>
        </w:tc>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June 16, 2023</w:t>
            </w:r>
          </w:p>
        </w:tc>
      </w:tr>
      <w:tr>
        <w:trPr>
          <w:trHeight w:val="210"/>
        </w:trPr>
        <w:tc>
          <w:tcPr>
            <w:tcW w:w="1160" w:type="dxa"/>
            <w:vAlign w:val="bottom"/>
          </w:tcPr>
          <w:p>
            <w:pPr>
              <w:ind w:left="60"/>
              <w:spacing w:after="0"/>
              <w:rPr>
                <w:sz w:val="20"/>
                <w:szCs w:val="20"/>
                <w:color w:val="auto"/>
              </w:rPr>
            </w:pPr>
            <w:r>
              <w:rPr>
                <w:rFonts w:ascii="Arial" w:cs="Arial" w:eastAsia="Arial" w:hAnsi="Arial"/>
                <w:sz w:val="17"/>
                <w:szCs w:val="17"/>
                <w:color w:val="auto"/>
              </w:rPr>
              <w:t>Name:</w:t>
            </w:r>
          </w:p>
        </w:tc>
        <w:tc>
          <w:tcPr>
            <w:tcW w:w="5020" w:type="dxa"/>
            <w:vAlign w:val="bottom"/>
          </w:tcPr>
          <w:p>
            <w:pPr>
              <w:ind w:left="80"/>
              <w:spacing w:after="0"/>
              <w:rPr>
                <w:sz w:val="20"/>
                <w:szCs w:val="20"/>
                <w:color w:val="auto"/>
              </w:rPr>
            </w:pPr>
            <w:r>
              <w:rPr>
                <w:rFonts w:ascii="Arial" w:cs="Arial" w:eastAsia="Arial" w:hAnsi="Arial"/>
                <w:sz w:val="17"/>
                <w:szCs w:val="17"/>
                <w:color w:val="auto"/>
              </w:rPr>
              <w:t>Brad Soultz</w:t>
            </w:r>
          </w:p>
        </w:tc>
      </w:tr>
      <w:tr>
        <w:trPr>
          <w:trHeight w:val="232"/>
        </w:trPr>
        <w:tc>
          <w:tcPr>
            <w:tcW w:w="1160" w:type="dxa"/>
            <w:vAlign w:val="bottom"/>
          </w:tcPr>
          <w:p>
            <w:pPr>
              <w:ind w:left="60"/>
              <w:spacing w:after="0"/>
              <w:rPr>
                <w:sz w:val="20"/>
                <w:szCs w:val="20"/>
                <w:color w:val="auto"/>
              </w:rPr>
            </w:pPr>
            <w:r>
              <w:rPr>
                <w:rFonts w:ascii="Arial" w:cs="Arial" w:eastAsia="Arial" w:hAnsi="Arial"/>
                <w:sz w:val="17"/>
                <w:szCs w:val="17"/>
                <w:color w:val="auto"/>
              </w:rPr>
              <w:t>Title:</w:t>
            </w:r>
          </w:p>
        </w:tc>
        <w:tc>
          <w:tcPr>
            <w:tcW w:w="5020" w:type="dxa"/>
            <w:vAlign w:val="bottom"/>
          </w:tcPr>
          <w:p>
            <w:pPr>
              <w:ind w:left="80"/>
              <w:spacing w:after="0"/>
              <w:rPr>
                <w:sz w:val="20"/>
                <w:szCs w:val="20"/>
                <w:color w:val="auto"/>
              </w:rPr>
            </w:pPr>
            <w:r>
              <w:rPr>
                <w:rFonts w:ascii="Arial" w:cs="Arial" w:eastAsia="Arial" w:hAnsi="Arial"/>
                <w:sz w:val="17"/>
                <w:szCs w:val="17"/>
                <w:color w:val="auto"/>
              </w:rPr>
              <w:t>Chief Executive Officer</w:t>
            </w:r>
          </w:p>
        </w:tc>
      </w:tr>
      <w:tr>
        <w:trPr>
          <w:trHeight w:val="477"/>
        </w:trPr>
        <w:tc>
          <w:tcPr>
            <w:tcW w:w="1160" w:type="dxa"/>
            <w:vAlign w:val="bottom"/>
          </w:tcPr>
          <w:p>
            <w:pPr>
              <w:spacing w:after="0"/>
              <w:rPr>
                <w:sz w:val="20"/>
                <w:szCs w:val="20"/>
                <w:color w:val="auto"/>
              </w:rPr>
            </w:pPr>
            <w:r>
              <w:rPr>
                <w:rFonts w:ascii="Arial" w:cs="Arial" w:eastAsia="Arial" w:hAnsi="Arial"/>
                <w:sz w:val="17"/>
                <w:szCs w:val="17"/>
                <w:color w:val="auto"/>
              </w:rPr>
              <w:t>EXECUTIVE</w:t>
            </w:r>
          </w:p>
        </w:tc>
        <w:tc>
          <w:tcPr>
            <w:tcW w:w="5020" w:type="dxa"/>
            <w:vAlign w:val="bottom"/>
          </w:tcPr>
          <w:p>
            <w:pPr>
              <w:spacing w:after="0"/>
              <w:rPr>
                <w:sz w:val="24"/>
                <w:szCs w:val="24"/>
                <w:color w:val="auto"/>
              </w:rPr>
            </w:pPr>
          </w:p>
        </w:tc>
      </w:tr>
      <w:tr>
        <w:trPr>
          <w:trHeight w:val="490"/>
        </w:trPr>
        <w:tc>
          <w:tcPr>
            <w:tcW w:w="1160" w:type="dxa"/>
            <w:vAlign w:val="bottom"/>
          </w:tcPr>
          <w:p>
            <w:pPr>
              <w:ind w:left="60"/>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Felicia Gorcyca</w:t>
            </w:r>
          </w:p>
        </w:tc>
      </w:tr>
      <w:tr>
        <w:trPr>
          <w:trHeight w:val="212"/>
        </w:trPr>
        <w:tc>
          <w:tcPr>
            <w:tcW w:w="1160" w:type="dxa"/>
            <w:vAlign w:val="bottom"/>
          </w:tcPr>
          <w:p>
            <w:pPr>
              <w:ind w:left="60"/>
              <w:spacing w:after="0"/>
              <w:rPr>
                <w:sz w:val="20"/>
                <w:szCs w:val="20"/>
                <w:color w:val="auto"/>
              </w:rPr>
            </w:pPr>
            <w:r>
              <w:rPr>
                <w:rFonts w:ascii="Arial" w:cs="Arial" w:eastAsia="Arial" w:hAnsi="Arial"/>
                <w:sz w:val="17"/>
                <w:szCs w:val="17"/>
                <w:color w:val="auto"/>
              </w:rPr>
              <w:t>Date:</w:t>
            </w:r>
          </w:p>
        </w:tc>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June 16, 2023</w:t>
            </w:r>
          </w:p>
        </w:tc>
      </w:tr>
      <w:tr>
        <w:trPr>
          <w:trHeight w:val="212"/>
        </w:trPr>
        <w:tc>
          <w:tcPr>
            <w:tcW w:w="1160" w:type="dxa"/>
            <w:vAlign w:val="bottom"/>
          </w:tcPr>
          <w:p>
            <w:pPr>
              <w:ind w:left="60"/>
              <w:spacing w:after="0"/>
              <w:rPr>
                <w:sz w:val="20"/>
                <w:szCs w:val="20"/>
                <w:color w:val="auto"/>
              </w:rPr>
            </w:pPr>
            <w:r>
              <w:rPr>
                <w:rFonts w:ascii="Arial" w:cs="Arial" w:eastAsia="Arial" w:hAnsi="Arial"/>
                <w:sz w:val="17"/>
                <w:szCs w:val="17"/>
                <w:color w:val="auto"/>
              </w:rPr>
              <w:t>Name:</w:t>
            </w:r>
          </w:p>
        </w:tc>
        <w:tc>
          <w:tcPr>
            <w:tcW w:w="5020" w:type="dxa"/>
            <w:vAlign w:val="bottom"/>
          </w:tcPr>
          <w:p>
            <w:pPr>
              <w:ind w:left="80"/>
              <w:spacing w:after="0"/>
              <w:rPr>
                <w:sz w:val="20"/>
                <w:szCs w:val="20"/>
                <w:color w:val="auto"/>
              </w:rPr>
            </w:pPr>
            <w:r>
              <w:rPr>
                <w:rFonts w:ascii="Arial" w:cs="Arial" w:eastAsia="Arial" w:hAnsi="Arial"/>
                <w:sz w:val="17"/>
                <w:szCs w:val="17"/>
                <w:color w:val="auto"/>
              </w:rPr>
              <w:t>Felicia Gorcyca</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7"/>
          <w:szCs w:val="17"/>
          <w:i w:val="1"/>
          <w:iCs w:val="1"/>
          <w:color w:val="auto"/>
        </w:rPr>
        <w:t>Signature page to Felicia Gorcyca Employment Agreement</w:t>
      </w:r>
    </w:p>
    <w:p>
      <w:pPr>
        <w:sectPr>
          <w:pgSz w:w="11900" w:h="16838" w:orient="portrait"/>
          <w:cols w:equalWidth="0" w:num="1">
            <w:col w:w="11120"/>
          </w:cols>
          <w:pgMar w:left="440" w:top="1440" w:right="339" w:bottom="1440" w:gutter="0" w:footer="0" w:header="0"/>
        </w:sectPr>
      </w:pPr>
    </w:p>
    <w:bookmarkStart w:id="62" w:name="page63"/>
    <w:bookmarkEnd w:id="62"/>
    <w:p>
      <w:pPr>
        <w:ind w:left="5040"/>
        <w:spacing w:after="0"/>
        <w:rPr>
          <w:sz w:val="20"/>
          <w:szCs w:val="20"/>
          <w:color w:val="auto"/>
        </w:rPr>
      </w:pPr>
      <w:r>
        <w:rPr>
          <w:rFonts w:ascii="Arial" w:cs="Arial" w:eastAsia="Arial" w:hAnsi="Arial"/>
          <w:sz w:val="17"/>
          <w:szCs w:val="17"/>
          <w:b w:val="1"/>
          <w:bCs w:val="1"/>
          <w:color w:val="auto"/>
        </w:rPr>
        <w:t>EXHIBIT A</w:t>
      </w:r>
    </w:p>
    <w:p>
      <w:pPr>
        <w:spacing w:after="0" w:line="153"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FORM OF RELEASE</w:t>
      </w:r>
    </w:p>
    <w:p>
      <w:pPr>
        <w:spacing w:after="0" w:line="10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This Confidential Separation and Release Agreement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between Felicia Gorcyca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and WillScot Mobile Mini Holdings</w:t>
      </w:r>
    </w:p>
    <w:p>
      <w:pPr>
        <w:spacing w:after="0" w:line="1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(hereinafter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is entered into as of . This Agreement will not become effective until the expiration of seven (7) days from Employee’s execution of this Agreement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-128905</wp:posOffset>
            </wp:positionV>
            <wp:extent cx="1212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gridSpan w:val="4"/>
          </w:tcPr>
          <w:p>
            <w:pPr>
              <w:ind w:left="620"/>
              <w:spacing w:after="0"/>
              <w:rPr>
                <w:sz w:val="20"/>
                <w:szCs w:val="20"/>
                <w:color w:val="auto"/>
              </w:rPr>
            </w:pPr>
            <w:r>
              <w:rPr>
                <w:rFonts w:ascii="Arial" w:cs="Arial" w:eastAsia="Arial" w:hAnsi="Arial"/>
                <w:sz w:val="17"/>
                <w:szCs w:val="17"/>
                <w:color w:val="auto"/>
                <w:w w:val="98"/>
              </w:rPr>
              <w:t>WHEREAS, Employee has been employed by Company and is a party to that certain Employment Agreement dated</w:t>
            </w:r>
          </w:p>
        </w:tc>
        <w:tc>
          <w:tcPr>
            <w:tcW w:w="1820" w:type="dxa"/>
            <w:vAlign w:val="bottom"/>
            <w:gridSpan w:val="3"/>
          </w:tcPr>
          <w:p>
            <w:pPr>
              <w:spacing w:after="0"/>
              <w:rPr>
                <w:sz w:val="20"/>
                <w:szCs w:val="20"/>
                <w:color w:val="auto"/>
              </w:rPr>
            </w:pPr>
            <w:r>
              <w:rPr>
                <w:rFonts w:ascii="Arial" w:cs="Arial" w:eastAsia="Arial" w:hAnsi="Arial"/>
                <w:sz w:val="17"/>
                <w:szCs w:val="17"/>
                <w:color w:val="auto"/>
                <w:w w:val="95"/>
              </w:rPr>
              <w:t xml:space="preserve">, 20 _ (the </w:t>
            </w:r>
            <w:r>
              <w:rPr>
                <w:rFonts w:ascii="Arial" w:cs="Arial" w:eastAsia="Arial" w:hAnsi="Arial"/>
                <w:sz w:val="17"/>
                <w:szCs w:val="17"/>
                <w:i w:val="1"/>
                <w:iCs w:val="1"/>
                <w:color w:val="auto"/>
                <w:w w:val="95"/>
              </w:rPr>
              <w:t>“</w:t>
            </w:r>
            <w:r>
              <w:rPr>
                <w:rFonts w:ascii="Arial" w:cs="Arial" w:eastAsia="Arial" w:hAnsi="Arial"/>
                <w:sz w:val="17"/>
                <w:szCs w:val="17"/>
                <w:b w:val="1"/>
                <w:bCs w:val="1"/>
                <w:i w:val="1"/>
                <w:iCs w:val="1"/>
                <w:color w:val="auto"/>
                <w:w w:val="95"/>
              </w:rPr>
              <w:t>Employment</w:t>
            </w:r>
          </w:p>
        </w:tc>
      </w:tr>
      <w:tr>
        <w:trPr>
          <w:trHeight w:val="197"/>
        </w:trPr>
        <w:tc>
          <w:tcPr>
            <w:tcW w:w="900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Agreement</w:t>
            </w:r>
            <w:r>
              <w:rPr>
                <w:rFonts w:ascii="Arial" w:cs="Arial" w:eastAsia="Arial" w:hAnsi="Arial"/>
                <w:sz w:val="17"/>
                <w:szCs w:val="17"/>
                <w:i w:val="1"/>
                <w:iCs w:val="1"/>
                <w:color w:val="auto"/>
              </w:rPr>
              <w:t>”</w:t>
            </w:r>
            <w:r>
              <w:rPr>
                <w:rFonts w:ascii="Arial" w:cs="Arial" w:eastAsia="Arial" w:hAnsi="Arial"/>
                <w:sz w:val="17"/>
                <w:szCs w:val="17"/>
                <w:color w:val="auto"/>
              </w:rPr>
              <w:t>).</w:t>
            </w:r>
          </w:p>
        </w:tc>
        <w:tc>
          <w:tcPr>
            <w:tcW w:w="2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350"/>
        </w:trPr>
        <w:tc>
          <w:tcPr>
            <w:tcW w:w="9260" w:type="dxa"/>
            <w:vAlign w:val="bottom"/>
            <w:gridSpan w:val="4"/>
          </w:tcPr>
          <w:p>
            <w:pPr>
              <w:ind w:left="620"/>
              <w:spacing w:after="0"/>
              <w:rPr>
                <w:sz w:val="20"/>
                <w:szCs w:val="20"/>
                <w:color w:val="auto"/>
              </w:rPr>
            </w:pPr>
            <w:r>
              <w:rPr>
                <w:rFonts w:ascii="Arial" w:cs="Arial" w:eastAsia="Arial" w:hAnsi="Arial"/>
                <w:sz w:val="17"/>
                <w:szCs w:val="17"/>
                <w:color w:val="auto"/>
                <w:w w:val="94"/>
              </w:rPr>
              <w:t>WHEREAS, the Employee’s employment with Company was terminated effective as of   , 20__ (the “</w:t>
            </w:r>
            <w:r>
              <w:rPr>
                <w:rFonts w:ascii="Arial" w:cs="Arial" w:eastAsia="Arial" w:hAnsi="Arial"/>
                <w:sz w:val="17"/>
                <w:szCs w:val="17"/>
                <w:b w:val="1"/>
                <w:bCs w:val="1"/>
                <w:i w:val="1"/>
                <w:iCs w:val="1"/>
                <w:color w:val="auto"/>
                <w:w w:val="94"/>
              </w:rPr>
              <w:t>Termination Date</w:t>
            </w:r>
            <w:r>
              <w:rPr>
                <w:rFonts w:ascii="Arial" w:cs="Arial" w:eastAsia="Arial" w:hAnsi="Arial"/>
                <w:sz w:val="17"/>
                <w:szCs w:val="17"/>
                <w:color w:val="auto"/>
                <w:w w:val="94"/>
              </w:rPr>
              <w:t>”)</w:t>
            </w:r>
            <w:r>
              <w:rPr>
                <w:rFonts w:ascii="Arial" w:cs="Arial" w:eastAsia="Arial" w:hAnsi="Arial"/>
                <w:sz w:val="17"/>
                <w:szCs w:val="17"/>
                <w:i w:val="1"/>
                <w:iCs w:val="1"/>
                <w:color w:val="auto"/>
                <w:w w:val="94"/>
              </w:rPr>
              <w: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-7620</wp:posOffset>
            </wp:positionV>
            <wp:extent cx="273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13" w:lineRule="exact"/>
        <w:rPr>
          <w:sz w:val="20"/>
          <w:szCs w:val="20"/>
          <w:color w:val="auto"/>
        </w:rPr>
      </w:pPr>
    </w:p>
    <w:p>
      <w:pPr>
        <w:jc w:val="both"/>
        <w:ind w:firstLine="618"/>
        <w:spacing w:after="0" w:line="236" w:lineRule="auto"/>
        <w:rPr>
          <w:sz w:val="20"/>
          <w:szCs w:val="20"/>
          <w:color w:val="auto"/>
        </w:rPr>
      </w:pPr>
      <w:r>
        <w:rPr>
          <w:rFonts w:ascii="Arial" w:cs="Arial" w:eastAsia="Arial" w:hAnsi="Arial"/>
          <w:sz w:val="17"/>
          <w:szCs w:val="17"/>
          <w:color w:val="auto"/>
        </w:rPr>
        <w:t>WHEREAS, Company and Employee desire to avoid disputes and/or litigation regarding Employee’s termination from employment or any events or circumstances preceding or coincident with the termination from employment; and</w:t>
      </w:r>
    </w:p>
    <w:p>
      <w:pPr>
        <w:spacing w:after="0" w:line="183"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17"/>
          <w:szCs w:val="17"/>
          <w:color w:val="auto"/>
        </w:rPr>
        <w:t>WHEREAS, Company and Employee have agreed upon the terms on which Employee is willing, for sufficient and lawful consideration, to compromise any claims known and unknown which Employee may have against Company.</w:t>
      </w:r>
    </w:p>
    <w:p>
      <w:pPr>
        <w:spacing w:after="0" w:line="189" w:lineRule="exact"/>
        <w:rPr>
          <w:sz w:val="20"/>
          <w:szCs w:val="20"/>
          <w:color w:val="auto"/>
        </w:rPr>
      </w:pPr>
    </w:p>
    <w:p>
      <w:pPr>
        <w:jc w:val="both"/>
        <w:ind w:firstLine="618"/>
        <w:spacing w:after="0" w:line="226" w:lineRule="auto"/>
        <w:rPr>
          <w:sz w:val="20"/>
          <w:szCs w:val="20"/>
          <w:color w:val="auto"/>
        </w:rPr>
      </w:pPr>
      <w:r>
        <w:rPr>
          <w:rFonts w:ascii="Arial" w:cs="Arial" w:eastAsia="Arial" w:hAnsi="Arial"/>
          <w:sz w:val="17"/>
          <w:szCs w:val="17"/>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Employee and Company, and the termination thereof;</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NOW, THEREFORE, in consideration of these recitals and the promises and agreements set forth in this Agreement, Employee’s employment with</w:t>
      </w:r>
    </w:p>
    <w:p>
      <w:pPr>
        <w:spacing w:after="0"/>
        <w:rPr>
          <w:sz w:val="20"/>
          <w:szCs w:val="20"/>
          <w:color w:val="auto"/>
        </w:rPr>
      </w:pPr>
      <w:r>
        <w:rPr>
          <w:rFonts w:ascii="Arial" w:cs="Arial" w:eastAsia="Arial" w:hAnsi="Arial"/>
          <w:sz w:val="17"/>
          <w:szCs w:val="17"/>
          <w:color w:val="auto"/>
        </w:rPr>
        <w:t>Company will terminate upon the following terms:</w:t>
      </w:r>
    </w:p>
    <w:p>
      <w:pPr>
        <w:spacing w:after="0" w:line="190" w:lineRule="exact"/>
        <w:rPr>
          <w:sz w:val="20"/>
          <w:szCs w:val="20"/>
          <w:color w:val="auto"/>
        </w:rPr>
      </w:pPr>
    </w:p>
    <w:p>
      <w:pPr>
        <w:jc w:val="both"/>
        <w:ind w:left="480" w:firstLine="2"/>
        <w:spacing w:after="0" w:line="243" w:lineRule="auto"/>
        <w:tabs>
          <w:tab w:leader="none" w:pos="1099"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General Release of Employee</w:t>
      </w:r>
      <w:r>
        <w:rPr>
          <w:rFonts w:ascii="Arial" w:cs="Arial" w:eastAsia="Arial" w:hAnsi="Arial"/>
          <w:sz w:val="15"/>
          <w:szCs w:val="15"/>
          <w:color w:val="auto"/>
        </w:rPr>
        <w:t>: Employee for himself or herself and on behalf of Employee’s attorneys, heirs, assigns, successors, executors, and administrators, each in their capacity as such, IRREVOCABLY AND UNCONDITIONALLY RELEASES, ACQUITS AND FOREVER DISCHARGES Company and any current or former stockholders, directors, parent, subsidiary, affiliated, and related corporations, firms, associations, partnerships, and entities, and their successors and assigns, each in their capacity as such, from any and all claims and causes of action whatsoever, whether known or unknown or whether connected with Employee’s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or any other municipal, local, state, or federal law, common or statutory, but excluding any claims the Employee may have with respect to the Company’s obligations under the Employment Agreement, any claims relating to vested benefits under any Company employee benefit plan (including without limitation any such plan subject to the Employee Retirement Income Security Act of 1974, as amended) and any claims which Employee cannot release as a matter of applicable law. Furthermore, neither this Agreement nor the Employment Agreement shall apply to, modify or in any way supersede obligations arising from any of (i) the terms of directors and officers insurance or (ii) any indemnification agreement for the benefit of the Employee as a result of the Employee’s position as a director or officer of the Company or one of its affiliates. Notwithstanding anything to the contrary in this Agreement, this Agreement does not waive any claims or rights: (a) that may arise after the date on which you sign this Agreement, including the right to enforce this Agreement; (b) that cannot be released as a matter of law, including your rights to COBRA, workers compensation, and unemployment insurance (the application for which shall not be contested by the Company); and/or (c) to accrued, vested benefits under any employee benefit, stock, savings, insurance, or pension plan of the Company.</w:t>
      </w:r>
    </w:p>
    <w:p>
      <w:pPr>
        <w:spacing w:after="0" w:line="357" w:lineRule="exact"/>
        <w:rPr>
          <w:rFonts w:ascii="Arial" w:cs="Arial" w:eastAsia="Arial" w:hAnsi="Arial"/>
          <w:sz w:val="15"/>
          <w:szCs w:val="15"/>
          <w:color w:val="auto"/>
        </w:rPr>
      </w:pPr>
    </w:p>
    <w:p>
      <w:pPr>
        <w:jc w:val="both"/>
        <w:ind w:left="480" w:firstLine="641"/>
        <w:spacing w:after="0" w:line="232" w:lineRule="auto"/>
        <w:tabs>
          <w:tab w:leader="none" w:pos="1373" w:val="left"/>
        </w:tabs>
        <w:numPr>
          <w:ilvl w:val="2"/>
          <w:numId w:val="32"/>
        </w:numPr>
        <w:rPr>
          <w:rFonts w:ascii="Arial" w:cs="Arial" w:eastAsia="Arial" w:hAnsi="Arial"/>
          <w:sz w:val="16"/>
          <w:szCs w:val="16"/>
          <w:color w:val="auto"/>
        </w:rPr>
      </w:pPr>
      <w:r>
        <w:rPr>
          <w:rFonts w:ascii="Arial" w:cs="Arial" w:eastAsia="Arial" w:hAnsi="Arial"/>
          <w:sz w:val="16"/>
          <w:szCs w:val="16"/>
          <w:u w:val="single" w:color="auto"/>
          <w:color w:val="auto"/>
        </w:rPr>
        <w:t>General Release by the Company</w:t>
      </w:r>
      <w:r>
        <w:rPr>
          <w:rFonts w:ascii="Arial" w:cs="Arial" w:eastAsia="Arial" w:hAnsi="Arial"/>
          <w:sz w:val="16"/>
          <w:szCs w:val="16"/>
          <w:color w:val="auto"/>
        </w:rPr>
        <w:t>: Except for the obligations and restrictive covenants of the Executive under this Agreement or otherwise under other agreements entered into between the Company and Executive, the Company, for itself and (with respect to claims that relate to the Company’s business) its employees, executives, directors, executors, administrators, successors, attorneys, agents, representatives, and assigns, hereby fully and forever release and discharge Employee, her heirs, family members, executors, administrators, successors, attorneys, agents, representatives, and assigns, and any other person or entity associated with Employee, present, future, or former, known or unknown, from any and all claims, demands, causes of action, charges and grievances, which the Company now owns or holds or has at any time before this date owned or held against Employee related to her employment with the Company or her separation from employment with the Company.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480" w:firstLine="620"/>
        <w:spacing w:after="0" w:line="236" w:lineRule="auto"/>
        <w:tabs>
          <w:tab w:leader="none" w:pos="1717"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Covenant Not to Sue</w:t>
      </w:r>
      <w:r>
        <w:rPr>
          <w:rFonts w:ascii="Arial" w:cs="Arial" w:eastAsia="Arial" w:hAnsi="Arial"/>
          <w:sz w:val="17"/>
          <w:szCs w:val="17"/>
          <w:color w:val="auto"/>
        </w:rPr>
        <w:t>: Employee also COVENANTS NOT TO SUE, OR OTHERWISE PARTICIPATE IN ANY ACTION OR CLASS ACTION against Company or any of the released parties based upon any of the claims released in this Agreement.</w:t>
      </w:r>
    </w:p>
    <w:p>
      <w:pPr>
        <w:sectPr>
          <w:pgSz w:w="11900" w:h="16838" w:orient="portrait"/>
          <w:cols w:equalWidth="0" w:num="1">
            <w:col w:w="11080"/>
          </w:cols>
          <w:pgMar w:left="460" w:top="1114" w:right="359" w:bottom="1440" w:gutter="0" w:footer="0" w:header="0"/>
        </w:sectPr>
      </w:pPr>
    </w:p>
    <w:bookmarkStart w:id="63" w:name="page64"/>
    <w:bookmarkEnd w:id="63"/>
    <w:p>
      <w:pPr>
        <w:jc w:val="both"/>
        <w:ind w:left="-500" w:firstLine="620"/>
        <w:spacing w:after="0" w:line="224" w:lineRule="auto"/>
        <w:tabs>
          <w:tab w:leader="none" w:pos="7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Severance Terms</w:t>
      </w:r>
      <w:r>
        <w:rPr>
          <w:rFonts w:ascii="Arial" w:cs="Arial" w:eastAsia="Arial" w:hAnsi="Arial"/>
          <w:sz w:val="17"/>
          <w:szCs w:val="17"/>
          <w:color w:val="auto"/>
        </w:rPr>
        <w:t>: Upon the expiration of seven (7) days from Employee’s execution of this Agreement and provided that this Agreement has become effective in accordance with its terms, in consideration for the promises, covenants, agreements, and releases set forth herein and in the Employment Agreement, Company agrees to pay Employee the Severance Benefits as defined in and pursuant to the Employment Agreement (the “</w:t>
      </w:r>
      <w:r>
        <w:rPr>
          <w:rFonts w:ascii="Arial" w:cs="Arial" w:eastAsia="Arial" w:hAnsi="Arial"/>
          <w:sz w:val="17"/>
          <w:szCs w:val="17"/>
          <w:b w:val="1"/>
          <w:bCs w:val="1"/>
          <w:i w:val="1"/>
          <w:iCs w:val="1"/>
          <w:color w:val="auto"/>
        </w:rPr>
        <w:t>Severance Benefits</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jc w:val="both"/>
        <w:ind w:left="-500" w:firstLine="620"/>
        <w:spacing w:after="0" w:line="221" w:lineRule="auto"/>
        <w:tabs>
          <w:tab w:leader="none" w:pos="7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Right to Revoke</w:t>
      </w:r>
      <w:r>
        <w:rPr>
          <w:rFonts w:ascii="Arial" w:cs="Arial" w:eastAsia="Arial" w:hAnsi="Arial"/>
          <w:sz w:val="17"/>
          <w:szCs w:val="17"/>
          <w:color w:val="auto"/>
        </w:rPr>
        <w:t>: Employee may revoke this Agreement by notice to Company, in writing, received within seven (7) days of the date of its execution by Employee (the “</w:t>
      </w:r>
      <w:r>
        <w:rPr>
          <w:rFonts w:ascii="Arial" w:cs="Arial" w:eastAsia="Arial" w:hAnsi="Arial"/>
          <w:sz w:val="17"/>
          <w:szCs w:val="17"/>
          <w:b w:val="1"/>
          <w:bCs w:val="1"/>
          <w:i w:val="1"/>
          <w:iCs w:val="1"/>
          <w:color w:val="auto"/>
        </w:rPr>
        <w:t>Revocation Period</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Employee agrees that Employee will not receive the benefits provided by this Agreement if Employee revokes this Agreement. Employee also acknowledges and agrees that if Company has not received from Employee notice of Employee’s revocation of this Agreement prior to the expiration of the Revocation Period, Employee will have forever waived Employee’s right to revoke this Agreement, and this Agreement shall thereafter be enforceable and have full force and effect.</w:t>
      </w:r>
    </w:p>
    <w:p>
      <w:pPr>
        <w:spacing w:after="0" w:line="195" w:lineRule="exact"/>
        <w:rPr>
          <w:rFonts w:ascii="Arial" w:cs="Arial" w:eastAsia="Arial" w:hAnsi="Arial"/>
          <w:sz w:val="17"/>
          <w:szCs w:val="17"/>
          <w:color w:val="auto"/>
        </w:rPr>
      </w:pPr>
    </w:p>
    <w:p>
      <w:pPr>
        <w:jc w:val="both"/>
        <w:ind w:left="-500" w:firstLine="620"/>
        <w:spacing w:after="0" w:line="221" w:lineRule="auto"/>
        <w:tabs>
          <w:tab w:leader="none" w:pos="7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Acknowledgement</w:t>
      </w:r>
      <w:r>
        <w:rPr>
          <w:rFonts w:ascii="Arial" w:cs="Arial" w:eastAsia="Arial" w:hAnsi="Arial"/>
          <w:sz w:val="17"/>
          <w:szCs w:val="17"/>
          <w:color w:val="auto"/>
        </w:rPr>
        <w:t>: Employee acknowledges and agrees that: (A) except as to any Severance Benefits which remain unpaid as of the date of this Agreement, no additional consideration, including salary, wages, bonuses or Equity Awards as described in the Employment Agreement, is to be paid to him by Company in connection with this Agreement; (B) except as provided by this Agreement, Employee has no contractual right or claim to the Severance Benefits; and (C) payments pursuant to this Agreement shall terminate immediately if Employee materially breaches any of the material provisions of this Agreement.</w:t>
      </w:r>
    </w:p>
    <w:p>
      <w:pPr>
        <w:spacing w:after="0" w:line="195" w:lineRule="exact"/>
        <w:rPr>
          <w:rFonts w:ascii="Arial" w:cs="Arial" w:eastAsia="Arial" w:hAnsi="Arial"/>
          <w:sz w:val="17"/>
          <w:szCs w:val="17"/>
          <w:color w:val="auto"/>
        </w:rPr>
      </w:pPr>
    </w:p>
    <w:p>
      <w:pPr>
        <w:ind w:left="-500" w:firstLine="620"/>
        <w:spacing w:after="0" w:line="236" w:lineRule="auto"/>
        <w:tabs>
          <w:tab w:leader="none" w:pos="7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Non-Admissions</w:t>
      </w:r>
      <w:r>
        <w:rPr>
          <w:rFonts w:ascii="Arial" w:cs="Arial" w:eastAsia="Arial" w:hAnsi="Arial"/>
          <w:sz w:val="17"/>
          <w:szCs w:val="17"/>
          <w:color w:val="auto"/>
        </w:rPr>
        <w:t>: Employee acknowledges that by entering into this Agreement, Company does not admit, and does specifically deny, any violation of any local, state, or federal law.</w:t>
      </w:r>
    </w:p>
    <w:p>
      <w:pPr>
        <w:spacing w:after="0" w:line="182" w:lineRule="exact"/>
        <w:rPr>
          <w:rFonts w:ascii="Arial" w:cs="Arial" w:eastAsia="Arial" w:hAnsi="Arial"/>
          <w:sz w:val="17"/>
          <w:szCs w:val="17"/>
          <w:color w:val="auto"/>
        </w:rPr>
      </w:pPr>
    </w:p>
    <w:p>
      <w:pPr>
        <w:jc w:val="both"/>
        <w:ind w:left="-500" w:firstLine="620"/>
        <w:spacing w:after="0" w:line="231" w:lineRule="auto"/>
        <w:tabs>
          <w:tab w:leader="none" w:pos="7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Employee agrees that Employee shall not directly or indirectly disclose the terms, amount or fact of this Agreement to anyone other than Employee’s immediate family or counsel, bankers or financial advisors, except as such disclosure may be required for accounting or tax reporting purposes or as otherwise may be required by law.</w:t>
      </w:r>
    </w:p>
    <w:p>
      <w:pPr>
        <w:spacing w:after="0" w:line="183" w:lineRule="exact"/>
        <w:rPr>
          <w:rFonts w:ascii="Arial" w:cs="Arial" w:eastAsia="Arial" w:hAnsi="Arial"/>
          <w:sz w:val="17"/>
          <w:szCs w:val="17"/>
          <w:color w:val="auto"/>
        </w:rPr>
      </w:pPr>
    </w:p>
    <w:p>
      <w:pPr>
        <w:jc w:val="both"/>
        <w:ind w:left="-500" w:firstLine="620"/>
        <w:spacing w:after="0" w:line="231" w:lineRule="auto"/>
        <w:tabs>
          <w:tab w:leader="none" w:pos="7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Each party agrees that it will not make any statements, written or verbal, or cause or encourage others to make any statements, written or verbal, that defame, disparage or in any way criticize the personal or business reputation, practices or conduct of the other including, in the case of Company, its employees, directors and stockholders.</w:t>
      </w:r>
    </w:p>
    <w:p>
      <w:pPr>
        <w:spacing w:after="0" w:line="183" w:lineRule="exact"/>
        <w:rPr>
          <w:rFonts w:ascii="Arial" w:cs="Arial" w:eastAsia="Arial" w:hAnsi="Arial"/>
          <w:sz w:val="17"/>
          <w:szCs w:val="17"/>
          <w:color w:val="auto"/>
        </w:rPr>
      </w:pPr>
    </w:p>
    <w:p>
      <w:pPr>
        <w:jc w:val="both"/>
        <w:ind w:left="-500" w:firstLine="620"/>
        <w:spacing w:after="0" w:line="224" w:lineRule="auto"/>
        <w:tabs>
          <w:tab w:leader="none" w:pos="7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Acknowledgement of Restrictions; Confidential Information</w:t>
      </w:r>
      <w:r>
        <w:rPr>
          <w:rFonts w:ascii="Arial" w:cs="Arial" w:eastAsia="Arial" w:hAnsi="Arial"/>
          <w:sz w:val="17"/>
          <w:szCs w:val="17"/>
          <w:color w:val="auto"/>
        </w:rPr>
        <w:t>: Employee acknowledges and agrees that Employee has continuing non-competition, non-solicitation and non-disclosure obligations under the Employment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Employee acknowledges and reaffirms Employee’s obligation to continue abide fully and completely with all post-employment provisions of the Employment Agreement and agrees that nothing in this Agreement shall operate to excuse or otherwise relieve Employee of such obligations.</w:t>
      </w:r>
    </w:p>
    <w:p>
      <w:pPr>
        <w:spacing w:after="0" w:line="198" w:lineRule="exact"/>
        <w:rPr>
          <w:rFonts w:ascii="Arial" w:cs="Arial" w:eastAsia="Arial" w:hAnsi="Arial"/>
          <w:sz w:val="17"/>
          <w:szCs w:val="17"/>
          <w:color w:val="auto"/>
        </w:rPr>
      </w:pPr>
    </w:p>
    <w:p>
      <w:pPr>
        <w:ind w:left="-500" w:firstLine="620"/>
        <w:spacing w:after="0" w:line="261" w:lineRule="auto"/>
        <w:tabs>
          <w:tab w:leader="none" w:pos="73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167" w:lineRule="exact"/>
        <w:rPr>
          <w:rFonts w:ascii="Arial" w:cs="Arial" w:eastAsia="Arial" w:hAnsi="Arial"/>
          <w:sz w:val="16"/>
          <w:szCs w:val="16"/>
          <w:color w:val="auto"/>
        </w:rPr>
      </w:pPr>
    </w:p>
    <w:p>
      <w:pPr>
        <w:jc w:val="both"/>
        <w:ind w:left="-500" w:firstLine="620"/>
        <w:spacing w:after="0" w:line="231" w:lineRule="auto"/>
        <w:tabs>
          <w:tab w:leader="none" w:pos="73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along with the Employment Agreement, constitute the entire agreement between the Employee and Company, and supersede all prior and contemporaneous negotiations and agreements, oral or written. This Agreement cannot be changed or terminated except pursuant to a written agreement executed by the parties.</w:t>
      </w:r>
    </w:p>
    <w:p>
      <w:pPr>
        <w:spacing w:after="0" w:line="196" w:lineRule="exact"/>
        <w:rPr>
          <w:rFonts w:ascii="Arial" w:cs="Arial" w:eastAsia="Arial" w:hAnsi="Arial"/>
          <w:sz w:val="17"/>
          <w:szCs w:val="17"/>
          <w:color w:val="auto"/>
        </w:rPr>
      </w:pPr>
    </w:p>
    <w:p>
      <w:pPr>
        <w:ind w:left="-500" w:firstLine="620"/>
        <w:spacing w:after="0" w:line="236" w:lineRule="auto"/>
        <w:tabs>
          <w:tab w:leader="none" w:pos="7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Delaware, except where preempted by federal law.</w:t>
      </w:r>
    </w:p>
    <w:p>
      <w:pPr>
        <w:spacing w:after="0" w:line="195" w:lineRule="exact"/>
        <w:rPr>
          <w:rFonts w:ascii="Arial" w:cs="Arial" w:eastAsia="Arial" w:hAnsi="Arial"/>
          <w:sz w:val="17"/>
          <w:szCs w:val="17"/>
          <w:color w:val="auto"/>
        </w:rPr>
      </w:pPr>
    </w:p>
    <w:p>
      <w:pPr>
        <w:jc w:val="both"/>
        <w:ind w:left="-500" w:firstLine="620"/>
        <w:spacing w:after="0" w:line="230" w:lineRule="auto"/>
        <w:tabs>
          <w:tab w:leader="none" w:pos="73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Statement of Understanding</w:t>
      </w:r>
      <w:r>
        <w:rPr>
          <w:rFonts w:ascii="Arial" w:cs="Arial" w:eastAsia="Arial" w:hAnsi="Arial"/>
          <w:sz w:val="16"/>
          <w:szCs w:val="16"/>
          <w:color w:val="auto"/>
        </w:rPr>
        <w:t>: By executing this Agreement, Employee acknowledges that (a) Employee has had at least twenty-one (21) or forty-five (45) days, as applicable in accordance with the Age Discrimination in Employment Act, as amended, (the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xml:space="preserve">”) to consider the terms of this Agreement </w:t>
      </w:r>
      <w:r>
        <w:rPr>
          <w:rFonts w:ascii="Arial" w:cs="Arial" w:eastAsia="Arial" w:hAnsi="Arial"/>
          <w:sz w:val="16"/>
          <w:szCs w:val="16"/>
          <w:b w:val="1"/>
          <w:bCs w:val="1"/>
          <w:color w:val="auto"/>
        </w:rPr>
        <w:t>(and any attachment necessary or desirable in accordance with the ADEA)</w:t>
      </w:r>
      <w:r>
        <w:rPr>
          <w:rFonts w:ascii="Arial" w:cs="Arial" w:eastAsia="Arial" w:hAnsi="Arial"/>
          <w:sz w:val="16"/>
          <w:szCs w:val="16"/>
          <w:color w:val="auto"/>
        </w:rPr>
        <w:t xml:space="preserve"> and has considered its terms for such a period of time or has knowingly and voluntarily waived Employee’s right to do so by executing this Agreement and returning it to Company; (b) Employee has been advised by Company to consult with an attorney regarding the terms of this Agreement; (c) Employee has consulted with, or has had sufficient opportunity to consult with, an attorney of Employee’s own choosing regarding the terms of this Agreement; (d) any and all questions regarding the terms of this Agreement have been asked and answered to Employee’s complete satisfaction; (e) Employee has read this Agreement and fully understands its terms and their import; (f) except as provided by this Agreement, Employee has no contractual right or claim to the benefits and payments described herein; (g) the consideration provided for herein is good and valuable; and (h) Employee is entering into this Agreement voluntarily, of Employee’s own free will, and without any coercion, undue influence, threat, or intimidation of any kind or type whatsoever.</w:t>
      </w:r>
    </w:p>
    <w:p>
      <w:pPr>
        <w:sectPr>
          <w:pgSz w:w="11900" w:h="16838" w:orient="portrait"/>
          <w:cols w:equalWidth="0" w:num="1">
            <w:col w:w="10100"/>
          </w:cols>
          <w:pgMar w:left="1440" w:top="1274" w:right="359" w:bottom="1440" w:gutter="0" w:footer="0" w:header="0"/>
        </w:sectPr>
      </w:pPr>
    </w:p>
    <w:bookmarkStart w:id="64" w:name="page65"/>
    <w:bookmarkEnd w:id="64"/>
    <w:p>
      <w:pPr>
        <w:ind w:left="60"/>
        <w:spacing w:after="0" w:line="236" w:lineRule="auto"/>
        <w:rPr>
          <w:sz w:val="20"/>
          <w:szCs w:val="20"/>
          <w:color w:val="auto"/>
        </w:rPr>
      </w:pPr>
      <w:r>
        <w:rPr>
          <w:rFonts w:ascii="Arial" w:cs="Arial" w:eastAsia="Arial" w:hAnsi="Arial"/>
          <w:sz w:val="16"/>
          <w:szCs w:val="16"/>
          <w:color w:val="auto"/>
        </w:rPr>
        <w:t>HAVING READ AND UNDERSTOOD THIS AGREEMENT, CONSULTED COUNSEL OR VOLUNTARILY ELECTED NOT TO CONSULT COUNSEL, AND HAVING HAD SUFFICIENT TIME TO CONSIDER WHETHER TO ENTER INTO THIS AGREEMENT, THE UNDERSIGNED HEREBY EXECUTE</w:t>
      </w:r>
    </w:p>
    <w:p>
      <w:pPr>
        <w:ind w:left="60"/>
        <w:spacing w:after="0"/>
        <w:rPr>
          <w:sz w:val="20"/>
          <w:szCs w:val="20"/>
          <w:color w:val="auto"/>
        </w:rPr>
      </w:pPr>
      <w:r>
        <w:rPr>
          <w:rFonts w:ascii="Arial" w:cs="Arial" w:eastAsia="Arial" w:hAnsi="Arial"/>
          <w:sz w:val="17"/>
          <w:szCs w:val="17"/>
          <w:color w:val="auto"/>
        </w:rPr>
        <w:t>THIS AGREEMENT ON THE DATES SET FORTH BELOW.</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tcPr>
          <w:p>
            <w:pPr>
              <w:spacing w:after="0"/>
              <w:rPr>
                <w:sz w:val="20"/>
                <w:szCs w:val="20"/>
                <w:color w:val="auto"/>
              </w:rPr>
            </w:pPr>
            <w:r>
              <w:rPr>
                <w:rFonts w:ascii="Arial" w:cs="Arial" w:eastAsia="Arial" w:hAnsi="Arial"/>
                <w:sz w:val="17"/>
                <w:szCs w:val="17"/>
                <w:b w:val="1"/>
                <w:bCs w:val="1"/>
                <w:color w:val="auto"/>
              </w:rPr>
              <w:t>EMPLOYEE</w:t>
            </w:r>
          </w:p>
        </w:tc>
        <w:tc>
          <w:tcPr>
            <w:tcW w:w="5700" w:type="dxa"/>
            <w:vAlign w:val="bottom"/>
            <w:gridSpan w:val="2"/>
          </w:tcPr>
          <w:p>
            <w:pPr>
              <w:ind w:left="720"/>
              <w:spacing w:after="0"/>
              <w:rPr>
                <w:sz w:val="20"/>
                <w:szCs w:val="20"/>
                <w:color w:val="auto"/>
              </w:rPr>
            </w:pPr>
            <w:r>
              <w:rPr>
                <w:rFonts w:ascii="Arial" w:cs="Arial" w:eastAsia="Arial" w:hAnsi="Arial"/>
                <w:sz w:val="17"/>
                <w:szCs w:val="17"/>
                <w:b w:val="1"/>
                <w:bCs w:val="1"/>
                <w:color w:val="auto"/>
              </w:rPr>
              <w:t>WILLSCOT MOBILE MINI HOLDINGS CORP.</w:t>
            </w:r>
          </w:p>
        </w:tc>
      </w:tr>
      <w:tr>
        <w:trPr>
          <w:trHeight w:val="479"/>
        </w:trPr>
        <w:tc>
          <w:tcPr>
            <w:tcW w:w="4400" w:type="dxa"/>
            <w:vAlign w:val="bottom"/>
          </w:tcPr>
          <w:p>
            <w:pPr>
              <w:spacing w:after="0"/>
              <w:rPr>
                <w:sz w:val="24"/>
                <w:szCs w:val="24"/>
                <w:color w:val="auto"/>
              </w:rPr>
            </w:pPr>
          </w:p>
        </w:tc>
        <w:tc>
          <w:tcPr>
            <w:tcW w:w="5700" w:type="dxa"/>
            <w:vAlign w:val="bottom"/>
            <w:gridSpan w:val="2"/>
          </w:tcPr>
          <w:p>
            <w:pPr>
              <w:ind w:left="720"/>
              <w:spacing w:after="0"/>
              <w:rPr>
                <w:sz w:val="20"/>
                <w:szCs w:val="20"/>
                <w:color w:val="auto"/>
              </w:rPr>
            </w:pPr>
            <w:r>
              <w:rPr>
                <w:rFonts w:ascii="Arial" w:cs="Arial" w:eastAsia="Arial" w:hAnsi="Arial"/>
                <w:sz w:val="17"/>
                <w:szCs w:val="17"/>
                <w:color w:val="auto"/>
              </w:rPr>
              <w:t>By:</w:t>
            </w:r>
          </w:p>
        </w:tc>
      </w:tr>
      <w:tr>
        <w:trPr>
          <w:trHeight w:val="210"/>
        </w:trPr>
        <w:tc>
          <w:tcPr>
            <w:tcW w:w="4400" w:type="dxa"/>
            <w:vAlign w:val="bottom"/>
          </w:tcPr>
          <w:p>
            <w:pPr>
              <w:spacing w:after="0"/>
              <w:rPr>
                <w:sz w:val="20"/>
                <w:szCs w:val="20"/>
                <w:color w:val="auto"/>
              </w:rPr>
            </w:pPr>
            <w:r>
              <w:rPr>
                <w:rFonts w:ascii="Arial" w:cs="Arial" w:eastAsia="Arial" w:hAnsi="Arial"/>
                <w:sz w:val="17"/>
                <w:szCs w:val="17"/>
                <w:color w:val="auto"/>
              </w:rPr>
              <w:t>___________________________________________</w:t>
            </w:r>
          </w:p>
        </w:tc>
        <w:tc>
          <w:tcPr>
            <w:tcW w:w="160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r>
      <w:tr>
        <w:trPr>
          <w:trHeight w:val="220"/>
        </w:trPr>
        <w:tc>
          <w:tcPr>
            <w:tcW w:w="4400" w:type="dxa"/>
            <w:vAlign w:val="bottom"/>
          </w:tcPr>
          <w:p>
            <w:pPr>
              <w:spacing w:after="0"/>
              <w:rPr>
                <w:sz w:val="20"/>
                <w:szCs w:val="20"/>
                <w:color w:val="auto"/>
              </w:rPr>
            </w:pPr>
            <w:r>
              <w:rPr>
                <w:rFonts w:ascii="Arial" w:cs="Arial" w:eastAsia="Arial" w:hAnsi="Arial"/>
                <w:sz w:val="17"/>
                <w:szCs w:val="17"/>
                <w:color w:val="auto"/>
              </w:rPr>
              <w:t>Felicia Gorcyca</w:t>
            </w:r>
          </w:p>
        </w:tc>
        <w:tc>
          <w:tcPr>
            <w:tcW w:w="1600" w:type="dxa"/>
            <w:vAlign w:val="bottom"/>
          </w:tcPr>
          <w:p>
            <w:pPr>
              <w:ind w:left="720"/>
              <w:spacing w:after="0"/>
              <w:rPr>
                <w:sz w:val="20"/>
                <w:szCs w:val="20"/>
                <w:color w:val="auto"/>
              </w:rPr>
            </w:pPr>
            <w:r>
              <w:rPr>
                <w:rFonts w:ascii="Arial" w:cs="Arial" w:eastAsia="Arial" w:hAnsi="Arial"/>
                <w:sz w:val="17"/>
                <w:szCs w:val="17"/>
                <w:color w:val="auto"/>
              </w:rPr>
              <w:t>Name:</w:t>
            </w:r>
          </w:p>
        </w:tc>
        <w:tc>
          <w:tcPr>
            <w:tcW w:w="4100" w:type="dxa"/>
            <w:vAlign w:val="bottom"/>
            <w:tcBorders>
              <w:bottom w:val="single" w:sz="8" w:color="auto"/>
            </w:tcBorders>
          </w:tcPr>
          <w:p>
            <w:pPr>
              <w:spacing w:after="0"/>
              <w:rPr>
                <w:sz w:val="19"/>
                <w:szCs w:val="19"/>
                <w:color w:val="auto"/>
              </w:rPr>
            </w:pPr>
          </w:p>
        </w:tc>
      </w:tr>
      <w:tr>
        <w:trPr>
          <w:trHeight w:val="405"/>
        </w:trPr>
        <w:tc>
          <w:tcPr>
            <w:tcW w:w="4400" w:type="dxa"/>
            <w:vAlign w:val="bottom"/>
          </w:tcPr>
          <w:p>
            <w:pPr>
              <w:spacing w:after="0"/>
              <w:rPr>
                <w:sz w:val="20"/>
                <w:szCs w:val="20"/>
                <w:color w:val="auto"/>
              </w:rPr>
            </w:pPr>
            <w:r>
              <w:rPr>
                <w:rFonts w:ascii="Arial" w:cs="Arial" w:eastAsia="Arial" w:hAnsi="Arial"/>
                <w:sz w:val="17"/>
                <w:szCs w:val="17"/>
                <w:color w:val="auto"/>
              </w:rPr>
              <w:t>Date:_____________________________________</w:t>
            </w:r>
          </w:p>
        </w:tc>
        <w:tc>
          <w:tcPr>
            <w:tcW w:w="1600" w:type="dxa"/>
            <w:vAlign w:val="bottom"/>
          </w:tcPr>
          <w:p>
            <w:pPr>
              <w:ind w:left="720"/>
              <w:spacing w:after="0"/>
              <w:rPr>
                <w:sz w:val="20"/>
                <w:szCs w:val="20"/>
                <w:color w:val="auto"/>
              </w:rPr>
            </w:pPr>
            <w:r>
              <w:rPr>
                <w:rFonts w:ascii="Arial" w:cs="Arial" w:eastAsia="Arial" w:hAnsi="Arial"/>
                <w:sz w:val="17"/>
                <w:szCs w:val="17"/>
                <w:color w:val="auto"/>
              </w:rPr>
              <w:t>Title:</w:t>
            </w:r>
          </w:p>
        </w:tc>
        <w:tc>
          <w:tcPr>
            <w:tcW w:w="4100" w:type="dxa"/>
            <w:vAlign w:val="bottom"/>
            <w:tcBorders>
              <w:bottom w:val="single" w:sz="8" w:color="auto"/>
            </w:tcBorders>
          </w:tcPr>
          <w:p>
            <w:pPr>
              <w:spacing w:after="0"/>
              <w:rPr>
                <w:sz w:val="24"/>
                <w:szCs w:val="24"/>
                <w:color w:val="auto"/>
              </w:rPr>
            </w:pPr>
          </w:p>
        </w:tc>
      </w:tr>
      <w:tr>
        <w:trPr>
          <w:trHeight w:val="418"/>
        </w:trPr>
        <w:tc>
          <w:tcPr>
            <w:tcW w:w="4400" w:type="dxa"/>
            <w:vAlign w:val="bottom"/>
          </w:tcPr>
          <w:p>
            <w:pPr>
              <w:spacing w:after="0"/>
              <w:rPr>
                <w:sz w:val="24"/>
                <w:szCs w:val="24"/>
                <w:color w:val="auto"/>
              </w:rPr>
            </w:pPr>
          </w:p>
        </w:tc>
        <w:tc>
          <w:tcPr>
            <w:tcW w:w="1600" w:type="dxa"/>
            <w:vAlign w:val="bottom"/>
          </w:tcPr>
          <w:p>
            <w:pPr>
              <w:ind w:left="720"/>
              <w:spacing w:after="0"/>
              <w:rPr>
                <w:sz w:val="20"/>
                <w:szCs w:val="20"/>
                <w:color w:val="auto"/>
              </w:rPr>
            </w:pPr>
            <w:r>
              <w:rPr>
                <w:rFonts w:ascii="Arial" w:cs="Arial" w:eastAsia="Arial" w:hAnsi="Arial"/>
                <w:sz w:val="17"/>
                <w:szCs w:val="17"/>
                <w:color w:val="auto"/>
              </w:rPr>
              <w:t>Date:</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140"/>
          </w:cols>
          <w:pgMar w:left="400" w:top="1120"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2"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9"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6" w:val="left"/>
        </w:tabs>
        <w:numPr>
          <w:ilvl w:val="1"/>
          <w:numId w:val="3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3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3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6"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1" w:val="left"/>
        </w:tabs>
        <w:numPr>
          <w:ilvl w:val="1"/>
          <w:numId w:val="3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09" w:lineRule="auto"/>
        <w:tabs>
          <w:tab w:leader="none" w:pos="817" w:val="left"/>
        </w:tabs>
        <w:numPr>
          <w:ilvl w:val="1"/>
          <w:numId w:val="3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August 3, 2023</w:t>
      </w:r>
    </w:p>
    <w:p>
      <w:pPr>
        <w:spacing w:after="0" w:line="60"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18415</wp:posOffset>
            </wp:positionV>
            <wp:extent cx="28327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Bradley L. Soultz</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5"/>
          <w:szCs w:val="15"/>
          <w:i w:val="1"/>
          <w:iCs w:val="1"/>
          <w:color w:val="auto"/>
        </w:rPr>
        <w:t>Chief Executive Officer and Director</w:t>
      </w:r>
    </w:p>
    <w:p>
      <w:pPr>
        <w:ind w:left="676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3"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I, Timothy D. Boswell, certify that:</w:t>
      </w:r>
    </w:p>
    <w:p>
      <w:pPr>
        <w:spacing w:after="0" w:line="279" w:lineRule="exact"/>
        <w:rPr>
          <w:sz w:val="20"/>
          <w:szCs w:val="20"/>
          <w:color w:val="auto"/>
        </w:rPr>
      </w:pPr>
    </w:p>
    <w:p>
      <w:pPr>
        <w:ind w:left="180" w:hanging="177"/>
        <w:spacing w:after="0"/>
        <w:tabs>
          <w:tab w:leader="none" w:pos="1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2"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9"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6" w:val="left"/>
        </w:tabs>
        <w:numPr>
          <w:ilvl w:val="1"/>
          <w:numId w:val="3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3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3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3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6"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1" w:val="left"/>
        </w:tabs>
        <w:numPr>
          <w:ilvl w:val="1"/>
          <w:numId w:val="3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09" w:lineRule="auto"/>
        <w:tabs>
          <w:tab w:leader="none" w:pos="817" w:val="left"/>
        </w:tabs>
        <w:numPr>
          <w:ilvl w:val="1"/>
          <w:numId w:val="3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August 3, 2023</w:t>
      </w:r>
    </w:p>
    <w:p>
      <w:pPr>
        <w:spacing w:after="0" w:line="60"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18415</wp:posOffset>
            </wp:positionV>
            <wp:extent cx="28327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Timothy D. Boswell</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5"/>
          <w:szCs w:val="15"/>
          <w:i w:val="1"/>
          <w:iCs w:val="1"/>
          <w:color w:val="auto"/>
        </w:rPr>
        <w:t>President and Chief Financial Officer</w:t>
      </w:r>
    </w:p>
    <w:p>
      <w:pPr>
        <w:ind w:left="676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3"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90"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3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June 30, 2023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August 3, 2023</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18415</wp:posOffset>
            </wp:positionV>
            <wp:extent cx="25215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26"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58"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38"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June 30, 2023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August 3, 2023</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18415</wp:posOffset>
            </wp:positionV>
            <wp:extent cx="25215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Timothy D. Boswell</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President and Chief Financial Officer (Principal Financial</w:t>
      </w:r>
    </w:p>
    <w:p>
      <w:pPr>
        <w:ind w:left="7240"/>
        <w:spacing w:after="0"/>
        <w:rPr>
          <w:sz w:val="20"/>
          <w:szCs w:val="20"/>
          <w:color w:val="auto"/>
        </w:rPr>
      </w:pPr>
      <w:r>
        <w:rPr>
          <w:rFonts w:ascii="Arial" w:cs="Arial" w:eastAsia="Arial" w:hAnsi="Arial"/>
          <w:sz w:val="15"/>
          <w:szCs w:val="15"/>
          <w:i w:val="1"/>
          <w:iCs w:val="1"/>
          <w:color w:val="auto"/>
        </w:rPr>
        <w:t>Officer)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
      <w:numFmt w:val="bullet"/>
      <w:start w:val="1"/>
    </w:lvl>
    <w:lvl w:ilvl="1">
      <w:lvlJc w:val="left"/>
      <w:lvlText w:val="•"/>
      <w:numFmt w:val="bullet"/>
      <w:start w:val="1"/>
    </w:lvl>
  </w:abstractNum>
  <w:abstractNum w:abstractNumId="5">
    <w:nsid w:val="333AB105"/>
    <w:multiLevelType w:val="hybridMultilevel"/>
    <w:lvl w:ilvl="0">
      <w:lvlJc w:val="left"/>
      <w:lvlText w:val="•"/>
      <w:numFmt w:val="bullet"/>
      <w:start w:val="1"/>
    </w:lvl>
    <w:lvl w:ilvl="1">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2">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
    <w:nsid w:val="4353D0C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4">
    <w:nsid w:val="B03E0C6"/>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5">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Roman"/>
      <w:start w:val="1"/>
    </w:lvl>
    <w:lvl w:ilvl="4">
      <w:lvlJc w:val="left"/>
      <w:lvlText w:val="%5"/>
      <w:numFmt w:val="upperLetter"/>
      <w:start w:val="1"/>
    </w:lvl>
  </w:abstractNum>
  <w:abstractNum w:abstractNumId="16">
    <w:nsid w:val="54E49EB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7">
    <w:nsid w:val="71F3245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lvl w:ilvl="3">
      <w:lvlJc w:val="left"/>
      <w:lvlText w:val="%4"/>
      <w:numFmt w:val="lowerRoman"/>
      <w:start w:val="1"/>
    </w:lvl>
    <w:lvl w:ilvl="4">
      <w:lvlJc w:val="left"/>
      <w:lvlText w:val="%5"/>
      <w:numFmt w:val="upperLetter"/>
      <w:start w:val="1"/>
    </w:lvl>
  </w:abstractNum>
  <w:abstractNum w:abstractNumId="18">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Roman"/>
      <w:start w:val="2"/>
    </w:lvl>
    <w:lvl w:ilvl="4">
      <w:lvlJc w:val="left"/>
      <w:lvlText w:val="(%5)"/>
      <w:numFmt w:val="upperLetter"/>
      <w:start w:val="1"/>
    </w:lvl>
  </w:abstractNum>
  <w:abstractNum w:abstractNumId="19">
    <w:nsid w:val="836C40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0">
    <w:nsid w:val="2901D8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1">
    <w:nsid w:val="3A95F87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
    <w:nsid w:val="813864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3">
    <w:nsid w:val="1E7FF521"/>
    <w:multiLevelType w:val="hybridMultilevel"/>
    <w:lvl w:ilvl="0">
      <w:lvlJc w:val="left"/>
      <w:lvlText w:val="(%1)"/>
      <w:numFmt w:val="lowerRoman"/>
      <w:start w:val="2"/>
    </w:lvl>
  </w:abstractNum>
  <w:abstractNum w:abstractNumId="24">
    <w:nsid w:val="7C3DBD3D"/>
    <w:multiLevelType w:val="hybridMultilevel"/>
    <w:lvl w:ilvl="0">
      <w:lvlJc w:val="left"/>
      <w:lvlText w:val="%1."/>
      <w:numFmt w:val="decimal"/>
      <w:start w:val="11"/>
    </w:lvl>
  </w:abstractNum>
  <w:abstractNum w:abstractNumId="25">
    <w:nsid w:val="737B8DDC"/>
    <w:multiLevelType w:val="hybridMultilevel"/>
    <w:lvl w:ilvl="0">
      <w:lvlJc w:val="left"/>
      <w:lvlText w:val="%1."/>
      <w:numFmt w:val="decimal"/>
      <w:start w:val="15"/>
    </w:lvl>
  </w:abstractNum>
  <w:abstractNum w:abstractNumId="26">
    <w:nsid w:val="6CEAF087"/>
    <w:multiLevelType w:val="hybridMultilevel"/>
    <w:lvl w:ilvl="0">
      <w:lvlJc w:val="left"/>
      <w:lvlText w:val="%1."/>
      <w:numFmt w:val="decimal"/>
      <w:start w:val="23"/>
    </w:lvl>
    <w:lvl w:ilvl="1">
      <w:lvlJc w:val="left"/>
      <w:lvlText w:val="(%2)"/>
      <w:numFmt w:val="lowerLetter"/>
      <w:start w:val="1"/>
    </w:lvl>
  </w:abstractNum>
  <w:abstractNum w:abstractNumId="27">
    <w:nsid w:val="22221A70"/>
    <w:multiLevelType w:val="hybridMultilevel"/>
    <w:lvl w:ilvl="0">
      <w:lvlJc w:val="left"/>
      <w:lvlText w:val="%1"/>
      <w:numFmt w:val="decimal"/>
      <w:start w:val="1"/>
    </w:lvl>
    <w:lvl w:ilvl="1">
      <w:lvlJc w:val="left"/>
      <w:lvlText w:val="(%2)"/>
      <w:numFmt w:val="lowerRoman"/>
      <w:start w:val="1"/>
    </w:lvl>
  </w:abstractNum>
  <w:abstractNum w:abstractNumId="28">
    <w:nsid w:val="4516DDE9"/>
    <w:multiLevelType w:val="hybridMultilevel"/>
    <w:lvl w:ilvl="0">
      <w:lvlJc w:val="left"/>
      <w:lvlText w:val="(%1)"/>
      <w:numFmt w:val="decimal"/>
      <w:start w:val="3"/>
    </w:lvl>
    <w:lvl w:ilvl="1">
      <w:lvlJc w:val="left"/>
      <w:lvlText w:val="(%2)"/>
      <w:numFmt w:val="lowerRoman"/>
      <w:start w:val="3"/>
    </w:lvl>
  </w:abstractNum>
  <w:abstractNum w:abstractNumId="29">
    <w:nsid w:val="3006C83E"/>
    <w:multiLevelType w:val="hybridMultilevel"/>
    <w:lvl w:ilvl="0">
      <w:lvlJc w:val="left"/>
      <w:lvlText w:val="(%1)"/>
      <w:numFmt w:val="decimal"/>
      <w:start w:val="1"/>
    </w:lvl>
    <w:lvl w:ilvl="1">
      <w:lvlJc w:val="left"/>
      <w:lvlText w:val="%2"/>
      <w:numFmt w:val="lowerRoman"/>
      <w:start w:val="1"/>
    </w:lvl>
  </w:abstractNum>
  <w:abstractNum w:abstractNumId="30">
    <w:nsid w:val="614FD4A1"/>
    <w:multiLevelType w:val="hybridMultilevel"/>
    <w:lvl w:ilvl="0">
      <w:lvlJc w:val="left"/>
      <w:lvlText w:val="(%1)"/>
      <w:numFmt w:val="lowerRoman"/>
      <w:start w:val="4"/>
    </w:lvl>
  </w:abstractNum>
  <w:abstractNum w:abstractNumId="31">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2">
    <w:nsid w:val="5577F8E1"/>
    <w:multiLevelType w:val="hybridMultilevel"/>
    <w:lvl w:ilvl="0">
      <w:lvlJc w:val="left"/>
      <w:lvlText w:val="%1."/>
      <w:numFmt w:val="decimal"/>
      <w:start w:val="3"/>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2023-08-03T10:19:01Z</dcterms:created>
  <dcterms:modified xsi:type="dcterms:W3CDTF">2023-08-03T10:19:01Z</dcterms:modified>
</cp:coreProperties>
</file>