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13D/A</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WillScot Mobile Mini Holdings Corp.</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971375126</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Christopher J. Miner</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Senior Vice President, General Counsel &amp; Secretary</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Mobile Mini, Inc.</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4646 E. Van Buren Street, Suite 400</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Phoenix, Arizona 85008</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(480) 894-6311</w:t>
      </w:r>
    </w:p>
    <w:p>
      <w:pPr>
        <w:spacing w:after="0" w:line="21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i w:val="1"/>
          <w:iCs w:val="1"/>
          <w:color w:val="auto"/>
        </w:rPr>
        <w:t>With a Copy to:</w:t>
      </w: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Phillip R. Mills</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Davis Polk &amp; Wardwell LLP</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450 Lexington Avenue</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(212) 450-4000</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July 1, 2020</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240.13d-l(f) or 240.13d-l(g),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7" w:lineRule="exact"/>
        <w:rPr>
          <w:sz w:val="24"/>
          <w:szCs w:val="24"/>
          <w:color w:val="auto"/>
        </w:rPr>
      </w:pPr>
    </w:p>
    <w:p>
      <w:pPr>
        <w:ind w:left="4" w:right="280"/>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26" w:lineRule="exact"/>
        <w:rPr>
          <w:sz w:val="24"/>
          <w:szCs w:val="24"/>
          <w:color w:val="auto"/>
        </w:rPr>
      </w:pPr>
    </w:p>
    <w:p>
      <w:pPr>
        <w:ind w:left="424"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68"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971375126</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8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56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b w:val="1"/>
                <w:bCs w:val="1"/>
                <w:color w:val="auto"/>
                <w:w w:val="99"/>
              </w:rPr>
              <w:t>Mobile Mini, Inc.</w:t>
            </w: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1056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6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620" w:type="dxa"/>
            <w:vAlign w:val="bottom"/>
            <w:gridSpan w:val="3"/>
          </w:tcPr>
          <w:p>
            <w:pPr>
              <w:ind w:left="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580" w:type="dxa"/>
            <w:vAlign w:val="bottom"/>
            <w:gridSpan w:val="4"/>
          </w:tcPr>
          <w:p>
            <w:pPr>
              <w:ind w:left="180"/>
              <w:spacing w:after="0"/>
              <w:rPr>
                <w:sz w:val="20"/>
                <w:szCs w:val="20"/>
                <w:color w:val="auto"/>
              </w:rPr>
            </w:pPr>
            <w:r>
              <w:rPr>
                <w:rFonts w:ascii="Arial" w:cs="Arial" w:eastAsia="Arial" w:hAnsi="Arial"/>
                <w:sz w:val="18"/>
                <w:szCs w:val="18"/>
                <w:color w:val="auto"/>
              </w:rPr>
              <w:t>SEC Use Only</w:t>
            </w:r>
          </w:p>
        </w:tc>
        <w:tc>
          <w:tcPr>
            <w:tcW w:w="8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0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OO</w:t>
            </w: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96"/>
              </w:rPr>
              <w:t>Delaware</w:t>
            </w: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8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440" w:type="dxa"/>
            <w:vAlign w:val="bottom"/>
            <w:tcBorders>
              <w:left w:val="single" w:sz="8" w:color="auto"/>
            </w:tcBorders>
            <w:gridSpan w:val="2"/>
          </w:tcPr>
          <w:p>
            <w:pPr>
              <w:jc w:val="center"/>
              <w:ind w:left="130"/>
              <w:spacing w:after="0"/>
              <w:rPr>
                <w:sz w:val="20"/>
                <w:szCs w:val="20"/>
                <w:color w:val="auto"/>
              </w:rPr>
            </w:pPr>
            <w:r>
              <w:rPr>
                <w:rFonts w:ascii="Arial" w:cs="Arial" w:eastAsia="Arial" w:hAnsi="Arial"/>
                <w:sz w:val="18"/>
                <w:szCs w:val="18"/>
                <w:color w:val="auto"/>
                <w:w w:val="98"/>
              </w:rPr>
              <w:t>NUMBER OF</w:t>
            </w:r>
          </w:p>
        </w:tc>
        <w:tc>
          <w:tcPr>
            <w:tcW w:w="80" w:type="dxa"/>
            <w:vAlign w:val="bottom"/>
            <w:tcBorders>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960" w:type="dxa"/>
            <w:vAlign w:val="bottom"/>
          </w:tcPr>
          <w:p>
            <w:pPr>
              <w:jc w:val="center"/>
              <w:ind w:right="170"/>
              <w:spacing w:after="0"/>
              <w:rPr>
                <w:sz w:val="20"/>
                <w:szCs w:val="20"/>
                <w:color w:val="auto"/>
              </w:rPr>
            </w:pPr>
            <w:r>
              <w:rPr>
                <w:rFonts w:ascii="Arial" w:cs="Arial" w:eastAsia="Arial" w:hAnsi="Arial"/>
                <w:sz w:val="18"/>
                <w:szCs w:val="18"/>
                <w:color w:val="auto"/>
                <w:w w:val="94"/>
              </w:rPr>
              <w:t>SHARES</w:t>
            </w:r>
          </w:p>
        </w:tc>
        <w:tc>
          <w:tcPr>
            <w:tcW w:w="8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8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tcBorders>
            <w:gridSpan w:val="2"/>
          </w:tcPr>
          <w:p>
            <w:pPr>
              <w:ind w:left="160"/>
              <w:spacing w:after="0"/>
              <w:rPr>
                <w:sz w:val="20"/>
                <w:szCs w:val="20"/>
                <w:color w:val="auto"/>
              </w:rPr>
            </w:pPr>
            <w:r>
              <w:rPr>
                <w:rFonts w:ascii="Arial" w:cs="Arial" w:eastAsia="Arial" w:hAnsi="Arial"/>
                <w:sz w:val="18"/>
                <w:szCs w:val="18"/>
                <w:color w:val="auto"/>
                <w:w w:val="99"/>
              </w:rPr>
              <w:t>BENEFICIALLY</w:t>
            </w:r>
          </w:p>
        </w:tc>
        <w:tc>
          <w:tcPr>
            <w:tcW w:w="8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9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tcPr>
          <w:p>
            <w:pPr>
              <w:jc w:val="center"/>
              <w:ind w:left="130"/>
              <w:spacing w:after="0"/>
              <w:rPr>
                <w:sz w:val="20"/>
                <w:szCs w:val="20"/>
                <w:color w:val="auto"/>
              </w:rPr>
            </w:pPr>
            <w:r>
              <w:rPr>
                <w:rFonts w:ascii="Arial" w:cs="Arial" w:eastAsia="Arial" w:hAnsi="Arial"/>
                <w:sz w:val="18"/>
                <w:szCs w:val="18"/>
                <w:color w:val="auto"/>
                <w:w w:val="99"/>
              </w:rPr>
              <w:t>OWNED BY</w:t>
            </w:r>
          </w:p>
        </w:tc>
        <w:tc>
          <w:tcPr>
            <w:tcW w:w="80" w:type="dxa"/>
            <w:vAlign w:val="bottom"/>
            <w:tcBorders>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9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tcPr>
          <w:p>
            <w:pPr>
              <w:spacing w:after="0"/>
              <w:rPr>
                <w:sz w:val="15"/>
                <w:szCs w:val="15"/>
                <w:color w:val="auto"/>
              </w:rPr>
            </w:pPr>
          </w:p>
        </w:tc>
        <w:tc>
          <w:tcPr>
            <w:tcW w:w="960" w:type="dxa"/>
            <w:vAlign w:val="bottom"/>
          </w:tcPr>
          <w:p>
            <w:pPr>
              <w:jc w:val="center"/>
              <w:ind w:right="170"/>
              <w:spacing w:after="0" w:line="182" w:lineRule="exact"/>
              <w:rPr>
                <w:sz w:val="20"/>
                <w:szCs w:val="20"/>
                <w:color w:val="auto"/>
              </w:rPr>
            </w:pPr>
            <w:r>
              <w:rPr>
                <w:rFonts w:ascii="Arial" w:cs="Arial" w:eastAsia="Arial" w:hAnsi="Arial"/>
                <w:sz w:val="18"/>
                <w:szCs w:val="18"/>
                <w:color w:val="auto"/>
                <w:w w:val="99"/>
              </w:rPr>
              <w:t>EACH</w:t>
            </w:r>
          </w:p>
        </w:tc>
        <w:tc>
          <w:tcPr>
            <w:tcW w:w="80" w:type="dxa"/>
            <w:vAlign w:val="bottom"/>
            <w:tcBorders>
              <w:right w:val="single" w:sz="8" w:color="auto"/>
            </w:tcBorders>
          </w:tcPr>
          <w:p>
            <w:pPr>
              <w:spacing w:after="0"/>
              <w:rPr>
                <w:sz w:val="15"/>
                <w:szCs w:val="15"/>
                <w:color w:val="auto"/>
              </w:rPr>
            </w:pPr>
          </w:p>
        </w:tc>
        <w:tc>
          <w:tcPr>
            <w:tcW w:w="440" w:type="dxa"/>
            <w:vAlign w:val="bottom"/>
            <w:tcBorders>
              <w:right w:val="single" w:sz="8" w:color="auto"/>
            </w:tcBorders>
          </w:tcPr>
          <w:p>
            <w:pPr>
              <w:jc w:val="right"/>
              <w:ind w:right="32"/>
              <w:spacing w:after="0" w:line="182"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5"/>
                <w:szCs w:val="15"/>
                <w:color w:val="auto"/>
              </w:rPr>
            </w:pPr>
          </w:p>
        </w:tc>
        <w:tc>
          <w:tcPr>
            <w:tcW w:w="898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960" w:type="dxa"/>
            <w:vAlign w:val="bottom"/>
          </w:tcPr>
          <w:p>
            <w:pPr>
              <w:jc w:val="center"/>
              <w:ind w:right="170"/>
              <w:spacing w:after="0"/>
              <w:rPr>
                <w:sz w:val="20"/>
                <w:szCs w:val="20"/>
                <w:color w:val="auto"/>
              </w:rPr>
            </w:pPr>
            <w:r>
              <w:rPr>
                <w:rFonts w:ascii="Arial" w:cs="Arial" w:eastAsia="Arial" w:hAnsi="Arial"/>
                <w:sz w:val="18"/>
                <w:szCs w:val="18"/>
                <w:color w:val="auto"/>
                <w:w w:val="92"/>
              </w:rPr>
              <w:t>PERSON</w:t>
            </w:r>
          </w:p>
        </w:tc>
        <w:tc>
          <w:tcPr>
            <w:tcW w:w="8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98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60" w:type="dxa"/>
            <w:vAlign w:val="bottom"/>
            <w:vMerge w:val="restart"/>
          </w:tcPr>
          <w:p>
            <w:pPr>
              <w:jc w:val="center"/>
              <w:ind w:right="170"/>
              <w:spacing w:after="0"/>
              <w:rPr>
                <w:sz w:val="20"/>
                <w:szCs w:val="20"/>
                <w:color w:val="auto"/>
              </w:rPr>
            </w:pPr>
            <w:r>
              <w:rPr>
                <w:rFonts w:ascii="Arial" w:cs="Arial" w:eastAsia="Arial" w:hAnsi="Arial"/>
                <w:sz w:val="18"/>
                <w:szCs w:val="18"/>
                <w:color w:val="auto"/>
                <w:w w:val="99"/>
              </w:rPr>
              <w:t>WITH</w:t>
            </w:r>
          </w:p>
        </w:tc>
        <w:tc>
          <w:tcPr>
            <w:tcW w:w="80" w:type="dxa"/>
            <w:vAlign w:val="bottom"/>
            <w:tcBorders>
              <w:right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Borders>
              <w:left w:val="single" w:sz="8" w:color="auto"/>
            </w:tcBorders>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440" w:type="dxa"/>
            <w:vAlign w:val="bottom"/>
            <w:tcBorders>
              <w:right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2"/>
                <w:szCs w:val="12"/>
                <w:color w:val="auto"/>
              </w:rPr>
            </w:pPr>
          </w:p>
        </w:tc>
        <w:tc>
          <w:tcPr>
            <w:tcW w:w="89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44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89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440" w:type="dxa"/>
            <w:vAlign w:val="bottom"/>
          </w:tcPr>
          <w:p>
            <w:pPr>
              <w:jc w:val="right"/>
              <w:spacing w:after="0"/>
              <w:rPr>
                <w:sz w:val="20"/>
                <w:szCs w:val="20"/>
                <w:color w:val="auto"/>
              </w:rPr>
            </w:pPr>
            <w:r>
              <w:rPr>
                <w:rFonts w:ascii="Arial" w:cs="Arial" w:eastAsia="Arial" w:hAnsi="Arial"/>
                <w:sz w:val="16"/>
                <w:szCs w:val="16"/>
                <w:color w:val="auto"/>
                <w:w w:val="72"/>
              </w:rPr>
              <w:t>Amount</w:t>
            </w:r>
          </w:p>
        </w:tc>
        <w:tc>
          <w:tcPr>
            <w:tcW w:w="908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0</w:t>
            </w: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0%</w:t>
            </w: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105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CO</w:t>
            </w: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980" w:type="dxa"/>
            <w:vAlign w:val="bottom"/>
          </w:tcPr>
          <w:p>
            <w:pPr>
              <w:ind w:left="3020"/>
              <w:spacing w:after="0"/>
              <w:rPr>
                <w:sz w:val="20"/>
                <w:szCs w:val="20"/>
                <w:color w:val="auto"/>
              </w:rPr>
            </w:pPr>
            <w:r>
              <w:rPr>
                <w:rFonts w:ascii="Arial" w:cs="Arial" w:eastAsia="Arial" w:hAnsi="Arial"/>
                <w:sz w:val="18"/>
                <w:szCs w:val="18"/>
                <w:b w:val="1"/>
                <w:bCs w:val="1"/>
                <w:color w:val="auto"/>
              </w:rPr>
              <w:t>Page 2 of 6</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Introduction</w:t>
      </w:r>
    </w:p>
    <w:p>
      <w:pPr>
        <w:spacing w:after="0" w:line="117" w:lineRule="exact"/>
        <w:rPr>
          <w:sz w:val="20"/>
          <w:szCs w:val="20"/>
          <w:color w:val="auto"/>
        </w:rPr>
      </w:pPr>
    </w:p>
    <w:p>
      <w:pPr>
        <w:ind w:right="140" w:firstLine="440"/>
        <w:spacing w:after="0" w:line="254" w:lineRule="auto"/>
        <w:rPr>
          <w:sz w:val="20"/>
          <w:szCs w:val="20"/>
          <w:color w:val="auto"/>
        </w:rPr>
      </w:pPr>
      <w:r>
        <w:rPr>
          <w:rFonts w:ascii="Arial" w:cs="Arial" w:eastAsia="Arial" w:hAnsi="Arial"/>
          <w:sz w:val="18"/>
          <w:szCs w:val="18"/>
          <w:color w:val="auto"/>
        </w:rPr>
        <w:t>This Amendment No. 1 to Schedule 13D (this “</w:t>
      </w:r>
      <w:r>
        <w:rPr>
          <w:rFonts w:ascii="Arial" w:cs="Arial" w:eastAsia="Arial" w:hAnsi="Arial"/>
          <w:sz w:val="18"/>
          <w:szCs w:val="18"/>
          <w:u w:val="single" w:color="auto"/>
          <w:color w:val="auto"/>
        </w:rPr>
        <w:t>Amendment</w:t>
      </w:r>
      <w:r>
        <w:rPr>
          <w:rFonts w:ascii="Arial" w:cs="Arial" w:eastAsia="Arial" w:hAnsi="Arial"/>
          <w:sz w:val="18"/>
          <w:szCs w:val="18"/>
          <w:color w:val="auto"/>
        </w:rPr>
        <w:t>”) amends and supplements the statement on Schedule 13D filed with the Securities and Exchange Commission on March 11, 2020 (the “</w:t>
      </w:r>
      <w:r>
        <w:rPr>
          <w:rFonts w:ascii="Arial" w:cs="Arial" w:eastAsia="Arial" w:hAnsi="Arial"/>
          <w:sz w:val="18"/>
          <w:szCs w:val="18"/>
          <w:u w:val="single" w:color="auto"/>
          <w:color w:val="auto"/>
        </w:rPr>
        <w:t>Original Schedule 13D</w:t>
      </w:r>
      <w:r>
        <w:rPr>
          <w:rFonts w:ascii="Arial" w:cs="Arial" w:eastAsia="Arial" w:hAnsi="Arial"/>
          <w:sz w:val="18"/>
          <w:szCs w:val="18"/>
          <w:color w:val="auto"/>
        </w:rPr>
        <w:t>”) and is being filed by the undersigned, pursuant to §240.13d-1(a), with respect to the common stock, par value $0.0001 per share (“</w:t>
      </w:r>
      <w:r>
        <w:rPr>
          <w:rFonts w:ascii="Arial" w:cs="Arial" w:eastAsia="Arial" w:hAnsi="Arial"/>
          <w:sz w:val="18"/>
          <w:szCs w:val="18"/>
          <w:u w:val="single" w:color="auto"/>
          <w:color w:val="auto"/>
        </w:rPr>
        <w:t>Issuer Common Stock</w:t>
      </w:r>
      <w:r>
        <w:rPr>
          <w:rFonts w:ascii="Arial" w:cs="Arial" w:eastAsia="Arial" w:hAnsi="Arial"/>
          <w:sz w:val="18"/>
          <w:szCs w:val="18"/>
          <w:color w:val="auto"/>
        </w:rPr>
        <w:t>”) of WillScot Mobile Mini Holdings Corp., a Delaware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The principal executive offices of the Issuer are located at 4646 E. Van Buren Street, Suite 400, Phoenix, Arizona 85008. Capitalized terms used but not defined in this Amendment shall have the meanings ascribed to them in the Original Schedule 13D. This Amendment constitutes an exit filing of Mobile Mini, Inc. (“</w:t>
      </w:r>
      <w:r>
        <w:rPr>
          <w:rFonts w:ascii="Arial" w:cs="Arial" w:eastAsia="Arial" w:hAnsi="Arial"/>
          <w:sz w:val="18"/>
          <w:szCs w:val="18"/>
          <w:u w:val="single" w:color="auto"/>
          <w:color w:val="auto"/>
        </w:rPr>
        <w:t>Mobile Mini</w:t>
      </w:r>
      <w:r>
        <w:rPr>
          <w:rFonts w:ascii="Arial" w:cs="Arial" w:eastAsia="Arial" w:hAnsi="Arial"/>
          <w:sz w:val="18"/>
          <w:szCs w:val="18"/>
          <w:color w:val="auto"/>
        </w:rPr>
        <w:t>” or the “</w:t>
      </w:r>
      <w:r>
        <w:rPr>
          <w:rFonts w:ascii="Arial" w:cs="Arial" w:eastAsia="Arial" w:hAnsi="Arial"/>
          <w:sz w:val="18"/>
          <w:szCs w:val="18"/>
          <w:u w:val="single" w:color="auto"/>
          <w:color w:val="auto"/>
        </w:rPr>
        <w:t>Reporting Person</w:t>
      </w:r>
      <w:r>
        <w:rPr>
          <w:rFonts w:ascii="Arial" w:cs="Arial" w:eastAsia="Arial" w:hAnsi="Arial"/>
          <w:sz w:val="18"/>
          <w:szCs w:val="18"/>
          <w:color w:val="auto"/>
        </w:rPr>
        <w:t>”) in respect of the Issuer Common Stock previously reported as beneficially owned by the Reporting Person.</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Identity and Background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2 is hereby amended and supplemented by adding the following information:</w:t>
      </w:r>
    </w:p>
    <w:p>
      <w:pPr>
        <w:spacing w:after="0" w:line="225" w:lineRule="exact"/>
        <w:rPr>
          <w:sz w:val="20"/>
          <w:szCs w:val="20"/>
          <w:color w:val="auto"/>
        </w:rPr>
      </w:pPr>
    </w:p>
    <w:p>
      <w:pPr>
        <w:ind w:right="220" w:firstLine="440"/>
        <w:spacing w:after="0" w:line="293" w:lineRule="auto"/>
        <w:rPr>
          <w:sz w:val="20"/>
          <w:szCs w:val="20"/>
          <w:color w:val="auto"/>
        </w:rPr>
      </w:pPr>
      <w:r>
        <w:rPr>
          <w:rFonts w:ascii="Arial" w:cs="Arial" w:eastAsia="Arial" w:hAnsi="Arial"/>
          <w:sz w:val="16"/>
          <w:szCs w:val="16"/>
          <w:color w:val="auto"/>
        </w:rPr>
        <w:t>As a result of the Merger, Mobile Mini is a wholly owned subsidiary of the Issuer. Schedule A to the Original Schedule 13D is hereby amended and restated in its entirety in the form attached hereto, which is incorporated by reference herein. During the last five years, neither the Reporting Person, nor, to the Reporting Person’s knowledge, any of the persons listed on Schedule A to this Amendment, has (i) been convicted in any criminal proceeding (excluding traffic violations or similar misdemeanors) or (ii) been a party to a civil proceeding of a judicial or administrative body of competent jurisdiction such that, as a result of such proceeding, such person was or is subject to a judgment, decree or final order enjoining future violations of, or prohibiting or mandating activities subject to, federal or state securities laws or finding any violation with respect to such laws.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Purpose of Transaction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4 is hereby amended and supplemented by adding the following to the end thereof:</w:t>
      </w:r>
    </w:p>
    <w:p>
      <w:pPr>
        <w:spacing w:after="0" w:line="22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On July 1, 2020, the transactions contemplated by the Merger Agreement were consummated, including the Merger whereby Merger Sub merged with and into Mobile Mini, with Mobile Mini continuing as a wholly owned subsidiary of the Issuer. Pursuant to the terms of the Merger Agreement, each issued and outstanding share of Mobile Mini Common Stock was converted into the right to receive 2.4050 shares of Class A Common Stock, and cash in lieu of any fractional shares. Immediately following the Merger, WillScot Corporation changed its name to “WillScot Mobile Mini Holdings Corp.” and filed an amended and restated certificate of incorporation, which reclassified all outstanding shares of the Class A Common Stock and converted such shares into shares of Issuer Common Stock. Upon the Effective Time, the Voting Agreement and the associated proxy granted thereunder were terminated in accordance with the terms of the Voting Agreement.</w:t>
      </w:r>
    </w:p>
    <w:p>
      <w:pPr>
        <w:spacing w:after="0" w:line="177"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As a result of the foregoing and as of the Effective Time, to the extent the terms of the Voting Agreement may have resulted in the Reporting Person being deemed for purposes of Rule 13d-3 under the Exchange Act to beneficially own shares of Issuer Common Stock, the Reporting Person no longer be deemed for purposes of Rule 13d-3 under the Exchange Act to beneficially own such shares of Issuer Common Stock.</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 Interest in Securities of the Issuer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5 is hereby amended and restated in its entirety as follows:</w:t>
      </w:r>
    </w:p>
    <w:p>
      <w:pPr>
        <w:spacing w:after="0" w:line="113"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b w:val="1"/>
          <w:bCs w:val="1"/>
          <w:color w:val="auto"/>
        </w:rPr>
        <w:t xml:space="preserve">(a)-(b) </w:t>
      </w:r>
      <w:r>
        <w:rPr>
          <w:rFonts w:ascii="Arial" w:cs="Arial" w:eastAsia="Arial" w:hAnsi="Arial"/>
          <w:sz w:val="18"/>
          <w:szCs w:val="18"/>
          <w:color w:val="auto"/>
        </w:rPr>
        <w:t>To the extent the terms of the Voting Agreement may have resulted in the Reporting Person being deemed for purposes of Rule 13d-3</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Exchange Act to beneficially own shares of Issuer Common Stock, the Reporting Person will, as a result of the consummation of the Merger and the termination of the Voting Agreement, no longer be deemed for purposes of Rule 13d-3 under the Exchange Act to beneficially own such shares of Issuer Common Stock.</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3 of 6</w:t>
      </w:r>
    </w:p>
    <w:p>
      <w:pPr>
        <w:sectPr>
          <w:pgSz w:w="11900" w:h="16838" w:orient="portrait"/>
          <w:cols w:equalWidth="0" w:num="1">
            <w:col w:w="11000"/>
          </w:cols>
          <w:pgMar w:left="440" w:top="274" w:right="459" w:bottom="1440" w:gutter="0" w:footer="0" w:header="0"/>
        </w:sectPr>
      </w:pPr>
    </w:p>
    <w:bookmarkStart w:id="3" w:name="page4"/>
    <w:bookmarkEnd w:id="3"/>
    <w:p>
      <w:pPr>
        <w:ind w:firstLine="436"/>
        <w:spacing w:after="0" w:line="259" w:lineRule="auto"/>
        <w:tabs>
          <w:tab w:leader="none" w:pos="685"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Except as set forth in this Amendment with reference to the Merger Agreement and the Voting Agreement and the transactions contemplated by those agreements, and except as previously reported by the Issuer, the Reporting Person or any of the persons set forth on Schedule A hereto, neither the Reporting Person nor, to the Reporting Person’s knowledge, any of the persons listed in Schedule A hereto, has effected any transaction in the shares of Issuer Common Stock during the past 60 days.</w:t>
      </w:r>
    </w:p>
    <w:p>
      <w:pPr>
        <w:spacing w:after="0" w:line="78" w:lineRule="exact"/>
        <w:rPr>
          <w:rFonts w:ascii="Arial" w:cs="Arial" w:eastAsia="Arial" w:hAnsi="Arial"/>
          <w:sz w:val="18"/>
          <w:szCs w:val="18"/>
          <w:b w:val="1"/>
          <w:bCs w:val="1"/>
          <w:color w:val="auto"/>
        </w:rPr>
      </w:pPr>
    </w:p>
    <w:p>
      <w:pPr>
        <w:ind w:right="40" w:firstLine="436"/>
        <w:spacing w:after="0" w:line="259" w:lineRule="auto"/>
        <w:tabs>
          <w:tab w:leader="none" w:pos="705"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Except with reference to the Merger Agreement and the Voting Agreement and the transactions contemplated by those agreements, and except as set forth in this Amendment and the Original Schedule 13D, neither the Reporting Person nor, to the knowledge of the Reporting Person, any of the persons set forth on Schedule A hereto has the right to receive or the power to direct the receipt of dividends from, or the proceeds from the sale of, the securities of the Issuer previously reported on the Original Schedule 13D.</w:t>
      </w:r>
    </w:p>
    <w:p>
      <w:pPr>
        <w:spacing w:after="0" w:line="78" w:lineRule="exact"/>
        <w:rPr>
          <w:rFonts w:ascii="Arial" w:cs="Arial" w:eastAsia="Arial" w:hAnsi="Arial"/>
          <w:sz w:val="18"/>
          <w:szCs w:val="18"/>
          <w:b w:val="1"/>
          <w:bCs w:val="1"/>
          <w:color w:val="auto"/>
        </w:rPr>
      </w:pPr>
    </w:p>
    <w:p>
      <w:pPr>
        <w:jc w:val="both"/>
        <w:ind w:right="360" w:firstLine="436"/>
        <w:spacing w:after="0" w:line="259" w:lineRule="auto"/>
        <w:tabs>
          <w:tab w:leader="none" w:pos="685"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As of July 1, 2020 and as a result of the consummation of the Merger and the termination of the Voting Agreement (and associated proxy granted thereunder), to the extent the terms of the Voting Agreement may have resulted in the Reporting Person being deemed for purposes of Rule 13d-3 under the Exchange Act to beneficially own shares of Issuer Common Stock, the Reporting Person ceased to beneficially own more than five percent of Issuer Common Stock.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Contracts, Arrangements, Understandings or Relationships with Respect to Securities of the Issuer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6 is hereby amended by adding the following at the end thereof: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in Item 4 of this Amendment is incorporated by reference herein.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7. Material to be Filed as Exhibits</w:t>
      </w:r>
    </w:p>
    <w:p>
      <w:pPr>
        <w:spacing w:after="0" w:line="244" w:lineRule="exact"/>
        <w:rPr>
          <w:sz w:val="20"/>
          <w:szCs w:val="20"/>
          <w:color w:val="auto"/>
        </w:rPr>
      </w:pPr>
    </w:p>
    <w:p>
      <w:pPr>
        <w:spacing w:after="0"/>
        <w:tabs>
          <w:tab w:leader="none" w:pos="596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1043305</wp:posOffset>
            </wp:positionH>
            <wp:positionV relativeFrom="paragraph">
              <wp:posOffset>15240</wp:posOffset>
            </wp:positionV>
            <wp:extent cx="59493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49315" cy="8255"/>
                    </a:xfrm>
                    <a:prstGeom prst="rect">
                      <a:avLst/>
                    </a:prstGeom>
                    <a:noFill/>
                  </pic:spPr>
                </pic:pic>
              </a:graphicData>
            </a:graphic>
          </wp:anchor>
        </w:drawing>
      </w:r>
    </w:p>
    <w:p>
      <w:pPr>
        <w:spacing w:after="0" w:line="97" w:lineRule="exact"/>
        <w:rPr>
          <w:sz w:val="20"/>
          <w:szCs w:val="20"/>
          <w:color w:val="auto"/>
        </w:rPr>
      </w:pPr>
    </w:p>
    <w:p>
      <w:pPr>
        <w:jc w:val="both"/>
        <w:ind w:left="1640" w:right="200" w:hanging="1331"/>
        <w:spacing w:after="0" w:line="263" w:lineRule="auto"/>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Agreement and Plan of Merger, dated as of March 1, 2020, by and among WillScot Corporation, Picasso Merger Sub, Inc. and Mobile Mini, Inc. (filed as Exhibit 2.1 to Mobile Mini’s Current Report on Form 8-K filed with the SEC on March 5, 2020 and incorporated herein by reference).</w:t>
      </w:r>
    </w:p>
    <w:p>
      <w:pPr>
        <w:spacing w:after="0" w:line="76" w:lineRule="exact"/>
        <w:rPr>
          <w:sz w:val="20"/>
          <w:szCs w:val="20"/>
          <w:color w:val="auto"/>
        </w:rPr>
      </w:pPr>
    </w:p>
    <w:p>
      <w:pPr>
        <w:jc w:val="both"/>
        <w:ind w:left="1640" w:right="20" w:hanging="1331"/>
        <w:spacing w:after="0" w:line="263" w:lineRule="auto"/>
        <w:tabs>
          <w:tab w:leader="none" w:pos="1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Voting Agreement, dated as of March 1, 2020, by and among Mobile Mini, Inc., TDR Capital LLP, TDR Capital II Holdings L.P. and Sapphire Holding S.à.r.l. (filed as Exhibit 10.1 to Mobile Mini’s Current Report on Form 8-K filed with the SEC on March 5, 2020 and incorporated herein by reference).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Page 4 of 6</w:t>
      </w:r>
    </w:p>
    <w:p>
      <w:pPr>
        <w:sectPr>
          <w:pgSz w:w="11900" w:h="16838" w:orient="portrait"/>
          <w:cols w:equalWidth="0" w:num="1">
            <w:col w:w="10980"/>
          </w:cols>
          <w:pgMar w:left="440" w:top="274" w:right="47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w:t>
      </w:r>
    </w:p>
    <w:p>
      <w:pPr>
        <w:spacing w:after="0" w:line="229"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July 9,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MOBILE MINI,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J. Miner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Christopher J. Miner</w:t>
      </w:r>
    </w:p>
    <w:p>
      <w:pPr>
        <w:spacing w:after="0" w:line="23" w:lineRule="exact"/>
        <w:rPr>
          <w:sz w:val="20"/>
          <w:szCs w:val="20"/>
          <w:color w:val="auto"/>
        </w:rPr>
      </w:pPr>
    </w:p>
    <w:p>
      <w:pPr>
        <w:jc w:val="both"/>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General Counsel &amp; Secretary</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Page 5 of 6</w:t>
      </w:r>
    </w:p>
    <w:p>
      <w:pPr>
        <w:sectPr>
          <w:pgSz w:w="11900" w:h="16838" w:orient="portrait"/>
          <w:cols w:equalWidth="0" w:num="1">
            <w:col w:w="10960"/>
          </w:cols>
          <w:pgMar w:left="440" w:top="270" w:right="499" w:bottom="1440" w:gutter="0" w:footer="0" w:header="0"/>
        </w:sectPr>
      </w:pPr>
    </w:p>
    <w:bookmarkStart w:id="5" w:name="page6"/>
    <w:bookmarkEnd w:id="5"/>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A</w:t>
      </w:r>
    </w:p>
    <w:p>
      <w:pPr>
        <w:spacing w:after="0" w:line="225"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DIRECTORS AND EXECUTIVE OFFICERS OF THE REPORTING PERSON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certain information with respect to the directors and officers of Mobile Mini, Inc. The business address of each director and executive officer is c/o Mobile Mini, Inc., 4646 E. Van Buren Street, Suite 400, Phoenix, Arizona 85008.</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Directors</w:t>
            </w:r>
          </w:p>
        </w:tc>
        <w:tc>
          <w:tcPr>
            <w:tcW w:w="1100" w:type="dxa"/>
            <w:vAlign w:val="bottom"/>
          </w:tcPr>
          <w:p>
            <w:pPr>
              <w:spacing w:after="0"/>
              <w:rPr>
                <w:sz w:val="17"/>
                <w:szCs w:val="17"/>
                <w:color w:val="auto"/>
              </w:rPr>
            </w:pPr>
          </w:p>
        </w:tc>
      </w:tr>
      <w:tr>
        <w:trPr>
          <w:trHeight w:val="427"/>
        </w:trPr>
        <w:tc>
          <w:tcPr>
            <w:tcW w:w="18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340" w:type="dxa"/>
            <w:vAlign w:val="bottom"/>
          </w:tcPr>
          <w:p>
            <w:pPr>
              <w:ind w:left="300"/>
              <w:spacing w:after="0"/>
              <w:rPr>
                <w:sz w:val="20"/>
                <w:szCs w:val="20"/>
                <w:color w:val="auto"/>
              </w:rPr>
            </w:pPr>
            <w:r>
              <w:rPr>
                <w:rFonts w:ascii="Arial" w:cs="Arial" w:eastAsia="Arial" w:hAnsi="Arial"/>
                <w:sz w:val="14"/>
                <w:szCs w:val="14"/>
                <w:b w:val="1"/>
                <w:bCs w:val="1"/>
                <w:color w:val="auto"/>
              </w:rPr>
              <w:t>Present Principal Occupation or Employment</w:t>
            </w:r>
          </w:p>
        </w:tc>
        <w:tc>
          <w:tcPr>
            <w:tcW w:w="72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ind w:left="140"/>
              <w:spacing w:after="0"/>
              <w:rPr>
                <w:sz w:val="20"/>
                <w:szCs w:val="20"/>
                <w:color w:val="auto"/>
              </w:rPr>
            </w:pPr>
            <w:r>
              <w:rPr>
                <w:rFonts w:ascii="Arial" w:cs="Arial" w:eastAsia="Arial" w:hAnsi="Arial"/>
                <w:sz w:val="14"/>
                <w:szCs w:val="14"/>
                <w:b w:val="1"/>
                <w:bCs w:val="1"/>
                <w:color w:val="auto"/>
              </w:rPr>
              <w:t>Citizenship</w:t>
            </w:r>
          </w:p>
        </w:tc>
      </w:tr>
      <w:tr>
        <w:trPr>
          <w:trHeight w:val="295"/>
        </w:trPr>
        <w:tc>
          <w:tcPr>
            <w:tcW w:w="1800" w:type="dxa"/>
            <w:vAlign w:val="bottom"/>
          </w:tcPr>
          <w:p>
            <w:pPr>
              <w:spacing w:after="0"/>
              <w:rPr>
                <w:sz w:val="20"/>
                <w:szCs w:val="20"/>
                <w:color w:val="auto"/>
              </w:rPr>
            </w:pPr>
            <w:r>
              <w:rPr>
                <w:rFonts w:ascii="Arial" w:cs="Arial" w:eastAsia="Arial" w:hAnsi="Arial"/>
                <w:sz w:val="18"/>
                <w:szCs w:val="18"/>
                <w:color w:val="auto"/>
              </w:rPr>
              <w:t>Timothy D. Boswell</w:t>
            </w:r>
          </w:p>
        </w:tc>
        <w:tc>
          <w:tcPr>
            <w:tcW w:w="4680" w:type="dxa"/>
            <w:vAlign w:val="bottom"/>
            <w:gridSpan w:val="3"/>
          </w:tcPr>
          <w:p>
            <w:pPr>
              <w:ind w:left="300"/>
              <w:spacing w:after="0"/>
              <w:rPr>
                <w:sz w:val="20"/>
                <w:szCs w:val="20"/>
                <w:color w:val="auto"/>
              </w:rPr>
            </w:pPr>
            <w:r>
              <w:rPr>
                <w:rFonts w:ascii="Arial" w:cs="Arial" w:eastAsia="Arial" w:hAnsi="Arial"/>
                <w:sz w:val="18"/>
                <w:szCs w:val="18"/>
                <w:color w:val="auto"/>
                <w:w w:val="99"/>
              </w:rPr>
              <w:t>Chief Financial Officer of WillScot Mobile Mini Holdings</w:t>
            </w:r>
          </w:p>
        </w:tc>
        <w:tc>
          <w:tcPr>
            <w:tcW w:w="1100" w:type="dxa"/>
            <w:vAlign w:val="bottom"/>
          </w:tcPr>
          <w:p>
            <w:pPr>
              <w:ind w:left="140"/>
              <w:spacing w:after="0"/>
              <w:rPr>
                <w:sz w:val="20"/>
                <w:szCs w:val="20"/>
                <w:color w:val="auto"/>
              </w:rPr>
            </w:pPr>
            <w:r>
              <w:rPr>
                <w:rFonts w:ascii="Arial" w:cs="Arial" w:eastAsia="Arial" w:hAnsi="Arial"/>
                <w:sz w:val="18"/>
                <w:szCs w:val="18"/>
                <w:color w:val="auto"/>
                <w:w w:val="86"/>
              </w:rPr>
              <w:t>United States</w:t>
            </w:r>
          </w:p>
        </w:tc>
      </w:tr>
      <w:tr>
        <w:trPr>
          <w:trHeight w:val="230"/>
        </w:trPr>
        <w:tc>
          <w:tcPr>
            <w:tcW w:w="1800" w:type="dxa"/>
            <w:vAlign w:val="bottom"/>
          </w:tcPr>
          <w:p>
            <w:pPr>
              <w:spacing w:after="0"/>
              <w:rPr>
                <w:sz w:val="20"/>
                <w:szCs w:val="20"/>
                <w:color w:val="auto"/>
              </w:rPr>
            </w:pPr>
          </w:p>
        </w:tc>
        <w:tc>
          <w:tcPr>
            <w:tcW w:w="4680" w:type="dxa"/>
            <w:vAlign w:val="bottom"/>
            <w:gridSpan w:val="3"/>
          </w:tcPr>
          <w:p>
            <w:pPr>
              <w:ind w:left="300"/>
              <w:spacing w:after="0"/>
              <w:rPr>
                <w:sz w:val="20"/>
                <w:szCs w:val="20"/>
                <w:color w:val="auto"/>
              </w:rPr>
            </w:pPr>
            <w:r>
              <w:rPr>
                <w:rFonts w:ascii="Arial" w:cs="Arial" w:eastAsia="Arial" w:hAnsi="Arial"/>
                <w:sz w:val="18"/>
                <w:szCs w:val="18"/>
                <w:color w:val="auto"/>
              </w:rPr>
              <w:t>Corp.</w:t>
            </w:r>
          </w:p>
        </w:tc>
        <w:tc>
          <w:tcPr>
            <w:tcW w:w="1100" w:type="dxa"/>
            <w:vAlign w:val="bottom"/>
          </w:tcPr>
          <w:p>
            <w:pPr>
              <w:spacing w:after="0"/>
              <w:rPr>
                <w:sz w:val="20"/>
                <w:szCs w:val="20"/>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8"/>
                <w:szCs w:val="18"/>
                <w:color w:val="auto"/>
              </w:rPr>
              <w:t>Christopher J. Miner</w:t>
            </w:r>
          </w:p>
        </w:tc>
        <w:tc>
          <w:tcPr>
            <w:tcW w:w="4680" w:type="dxa"/>
            <w:vAlign w:val="bottom"/>
            <w:gridSpan w:val="3"/>
          </w:tcPr>
          <w:p>
            <w:pPr>
              <w:ind w:left="300"/>
              <w:spacing w:after="0"/>
              <w:rPr>
                <w:sz w:val="20"/>
                <w:szCs w:val="20"/>
                <w:color w:val="auto"/>
              </w:rPr>
            </w:pPr>
            <w:r>
              <w:rPr>
                <w:rFonts w:ascii="Arial" w:cs="Arial" w:eastAsia="Arial" w:hAnsi="Arial"/>
                <w:sz w:val="18"/>
                <w:szCs w:val="18"/>
                <w:color w:val="auto"/>
                <w:w w:val="99"/>
              </w:rPr>
              <w:t>Senior Vice President, General Counsel &amp; Secretary of</w:t>
            </w:r>
          </w:p>
        </w:tc>
        <w:tc>
          <w:tcPr>
            <w:tcW w:w="1100" w:type="dxa"/>
            <w:vAlign w:val="bottom"/>
          </w:tcPr>
          <w:p>
            <w:pPr>
              <w:ind w:left="140"/>
              <w:spacing w:after="0"/>
              <w:rPr>
                <w:sz w:val="20"/>
                <w:szCs w:val="20"/>
                <w:color w:val="auto"/>
              </w:rPr>
            </w:pPr>
            <w:r>
              <w:rPr>
                <w:rFonts w:ascii="Arial" w:cs="Arial" w:eastAsia="Arial" w:hAnsi="Arial"/>
                <w:sz w:val="18"/>
                <w:szCs w:val="18"/>
                <w:color w:val="auto"/>
                <w:w w:val="86"/>
              </w:rPr>
              <w:t>United States</w:t>
            </w:r>
          </w:p>
        </w:tc>
      </w:tr>
      <w:tr>
        <w:trPr>
          <w:trHeight w:val="230"/>
        </w:trPr>
        <w:tc>
          <w:tcPr>
            <w:tcW w:w="1800" w:type="dxa"/>
            <w:vAlign w:val="bottom"/>
          </w:tcPr>
          <w:p>
            <w:pPr>
              <w:spacing w:after="0"/>
              <w:rPr>
                <w:sz w:val="20"/>
                <w:szCs w:val="20"/>
                <w:color w:val="auto"/>
              </w:rPr>
            </w:pPr>
          </w:p>
        </w:tc>
        <w:tc>
          <w:tcPr>
            <w:tcW w:w="4680" w:type="dxa"/>
            <w:vAlign w:val="bottom"/>
            <w:gridSpan w:val="3"/>
          </w:tcPr>
          <w:p>
            <w:pPr>
              <w:ind w:left="300"/>
              <w:spacing w:after="0"/>
              <w:rPr>
                <w:sz w:val="20"/>
                <w:szCs w:val="20"/>
                <w:color w:val="auto"/>
              </w:rPr>
            </w:pPr>
            <w:r>
              <w:rPr>
                <w:rFonts w:ascii="Arial" w:cs="Arial" w:eastAsia="Arial" w:hAnsi="Arial"/>
                <w:sz w:val="18"/>
                <w:szCs w:val="18"/>
                <w:color w:val="auto"/>
              </w:rPr>
              <w:t>WillScot Mobile Mini Holdings Corp.</w:t>
            </w:r>
          </w:p>
        </w:tc>
        <w:tc>
          <w:tcPr>
            <w:tcW w:w="1100" w:type="dxa"/>
            <w:vAlign w:val="bottom"/>
          </w:tcPr>
          <w:p>
            <w:pPr>
              <w:spacing w:after="0"/>
              <w:rPr>
                <w:sz w:val="20"/>
                <w:szCs w:val="20"/>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8"/>
                <w:szCs w:val="18"/>
                <w:color w:val="auto"/>
              </w:rPr>
              <w:t>Bradley L. Soultz</w:t>
            </w:r>
          </w:p>
        </w:tc>
        <w:tc>
          <w:tcPr>
            <w:tcW w:w="4680" w:type="dxa"/>
            <w:vAlign w:val="bottom"/>
            <w:gridSpan w:val="3"/>
          </w:tcPr>
          <w:p>
            <w:pPr>
              <w:ind w:left="300"/>
              <w:spacing w:after="0"/>
              <w:rPr>
                <w:sz w:val="20"/>
                <w:szCs w:val="20"/>
                <w:color w:val="auto"/>
              </w:rPr>
            </w:pPr>
            <w:r>
              <w:rPr>
                <w:rFonts w:ascii="Arial" w:cs="Arial" w:eastAsia="Arial" w:hAnsi="Arial"/>
                <w:sz w:val="18"/>
                <w:szCs w:val="18"/>
                <w:color w:val="auto"/>
                <w:w w:val="98"/>
              </w:rPr>
              <w:t>Chief Executive Officer of WillScot Mobile Mini Holdings</w:t>
            </w:r>
          </w:p>
        </w:tc>
        <w:tc>
          <w:tcPr>
            <w:tcW w:w="1100" w:type="dxa"/>
            <w:vAlign w:val="bottom"/>
          </w:tcPr>
          <w:p>
            <w:pPr>
              <w:ind w:left="140"/>
              <w:spacing w:after="0"/>
              <w:rPr>
                <w:sz w:val="20"/>
                <w:szCs w:val="20"/>
                <w:color w:val="auto"/>
              </w:rPr>
            </w:pPr>
            <w:r>
              <w:rPr>
                <w:rFonts w:ascii="Arial" w:cs="Arial" w:eastAsia="Arial" w:hAnsi="Arial"/>
                <w:sz w:val="18"/>
                <w:szCs w:val="18"/>
                <w:color w:val="auto"/>
                <w:w w:val="86"/>
              </w:rPr>
              <w:t>United States</w:t>
            </w:r>
          </w:p>
        </w:tc>
      </w:tr>
      <w:tr>
        <w:trPr>
          <w:trHeight w:val="230"/>
        </w:trPr>
        <w:tc>
          <w:tcPr>
            <w:tcW w:w="1800" w:type="dxa"/>
            <w:vAlign w:val="bottom"/>
          </w:tcPr>
          <w:p>
            <w:pPr>
              <w:spacing w:after="0"/>
              <w:rPr>
                <w:sz w:val="20"/>
                <w:szCs w:val="20"/>
                <w:color w:val="auto"/>
              </w:rPr>
            </w:pPr>
          </w:p>
        </w:tc>
        <w:tc>
          <w:tcPr>
            <w:tcW w:w="4680" w:type="dxa"/>
            <w:vAlign w:val="bottom"/>
            <w:gridSpan w:val="3"/>
          </w:tcPr>
          <w:p>
            <w:pPr>
              <w:ind w:left="300"/>
              <w:spacing w:after="0"/>
              <w:rPr>
                <w:sz w:val="20"/>
                <w:szCs w:val="20"/>
                <w:color w:val="auto"/>
              </w:rPr>
            </w:pPr>
            <w:r>
              <w:rPr>
                <w:rFonts w:ascii="Arial" w:cs="Arial" w:eastAsia="Arial" w:hAnsi="Arial"/>
                <w:sz w:val="18"/>
                <w:szCs w:val="18"/>
                <w:color w:val="auto"/>
              </w:rPr>
              <w:t>Corp.</w:t>
            </w:r>
          </w:p>
        </w:tc>
        <w:tc>
          <w:tcPr>
            <w:tcW w:w="1100" w:type="dxa"/>
            <w:vAlign w:val="bottom"/>
          </w:tcPr>
          <w:p>
            <w:pPr>
              <w:spacing w:after="0"/>
              <w:rPr>
                <w:sz w:val="20"/>
                <w:szCs w:val="20"/>
                <w:color w:val="auto"/>
              </w:rPr>
            </w:pPr>
          </w:p>
        </w:tc>
      </w:tr>
    </w:tbl>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Executive Officers</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27"/>
        </w:trPr>
        <w:tc>
          <w:tcPr>
            <w:tcW w:w="18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620" w:type="dxa"/>
            <w:vAlign w:val="bottom"/>
            <w:gridSpan w:val="3"/>
          </w:tcPr>
          <w:p>
            <w:pPr>
              <w:ind w:left="300"/>
              <w:spacing w:after="0"/>
              <w:rPr>
                <w:sz w:val="20"/>
                <w:szCs w:val="20"/>
                <w:color w:val="auto"/>
              </w:rPr>
            </w:pPr>
            <w:r>
              <w:rPr>
                <w:rFonts w:ascii="Arial" w:cs="Arial" w:eastAsia="Arial" w:hAnsi="Arial"/>
                <w:sz w:val="14"/>
                <w:szCs w:val="14"/>
                <w:b w:val="1"/>
                <w:bCs w:val="1"/>
                <w:color w:val="auto"/>
              </w:rPr>
              <w:t>Present Principal Occupation or Employment</w:t>
            </w:r>
          </w:p>
        </w:tc>
        <w:tc>
          <w:tcPr>
            <w:tcW w:w="1160" w:type="dxa"/>
            <w:vAlign w:val="bottom"/>
          </w:tcPr>
          <w:p>
            <w:pPr>
              <w:ind w:left="200"/>
              <w:spacing w:after="0"/>
              <w:rPr>
                <w:sz w:val="20"/>
                <w:szCs w:val="20"/>
                <w:color w:val="auto"/>
              </w:rPr>
            </w:pPr>
            <w:r>
              <w:rPr>
                <w:rFonts w:ascii="Arial" w:cs="Arial" w:eastAsia="Arial" w:hAnsi="Arial"/>
                <w:sz w:val="14"/>
                <w:szCs w:val="14"/>
                <w:b w:val="1"/>
                <w:bCs w:val="1"/>
                <w:color w:val="auto"/>
              </w:rPr>
              <w:t>Citizenship</w:t>
            </w:r>
          </w:p>
        </w:tc>
      </w:tr>
      <w:tr>
        <w:trPr>
          <w:trHeight w:val="295"/>
        </w:trPr>
        <w:tc>
          <w:tcPr>
            <w:tcW w:w="1800" w:type="dxa"/>
            <w:vAlign w:val="bottom"/>
          </w:tcPr>
          <w:p>
            <w:pPr>
              <w:spacing w:after="0"/>
              <w:rPr>
                <w:sz w:val="20"/>
                <w:szCs w:val="20"/>
                <w:color w:val="auto"/>
              </w:rPr>
            </w:pPr>
            <w:r>
              <w:rPr>
                <w:rFonts w:ascii="Arial" w:cs="Arial" w:eastAsia="Arial" w:hAnsi="Arial"/>
                <w:sz w:val="18"/>
                <w:szCs w:val="18"/>
                <w:color w:val="auto"/>
              </w:rPr>
              <w:t>Christopher J. Miner</w:t>
            </w:r>
          </w:p>
        </w:tc>
        <w:tc>
          <w:tcPr>
            <w:tcW w:w="4620" w:type="dxa"/>
            <w:vAlign w:val="bottom"/>
            <w:gridSpan w:val="3"/>
          </w:tcPr>
          <w:p>
            <w:pPr>
              <w:ind w:left="300"/>
              <w:spacing w:after="0"/>
              <w:rPr>
                <w:sz w:val="20"/>
                <w:szCs w:val="20"/>
                <w:color w:val="auto"/>
              </w:rPr>
            </w:pPr>
            <w:r>
              <w:rPr>
                <w:rFonts w:ascii="Arial" w:cs="Arial" w:eastAsia="Arial" w:hAnsi="Arial"/>
                <w:sz w:val="18"/>
                <w:szCs w:val="18"/>
                <w:color w:val="auto"/>
                <w:w w:val="98"/>
              </w:rPr>
              <w:t>Senior Vice President, General Counsel &amp; Secretary of</w:t>
            </w:r>
          </w:p>
        </w:tc>
        <w:tc>
          <w:tcPr>
            <w:tcW w:w="1160" w:type="dxa"/>
            <w:vAlign w:val="bottom"/>
          </w:tcPr>
          <w:p>
            <w:pPr>
              <w:ind w:left="200"/>
              <w:spacing w:after="0"/>
              <w:rPr>
                <w:sz w:val="20"/>
                <w:szCs w:val="20"/>
                <w:color w:val="auto"/>
              </w:rPr>
            </w:pPr>
            <w:r>
              <w:rPr>
                <w:rFonts w:ascii="Arial" w:cs="Arial" w:eastAsia="Arial" w:hAnsi="Arial"/>
                <w:sz w:val="18"/>
                <w:szCs w:val="18"/>
                <w:color w:val="auto"/>
                <w:w w:val="86"/>
              </w:rPr>
              <w:t>United States</w:t>
            </w:r>
          </w:p>
        </w:tc>
      </w:tr>
      <w:tr>
        <w:trPr>
          <w:trHeight w:val="230"/>
        </w:trPr>
        <w:tc>
          <w:tcPr>
            <w:tcW w:w="1800" w:type="dxa"/>
            <w:vAlign w:val="bottom"/>
          </w:tcPr>
          <w:p>
            <w:pPr>
              <w:spacing w:after="0"/>
              <w:rPr>
                <w:sz w:val="20"/>
                <w:szCs w:val="20"/>
                <w:color w:val="auto"/>
              </w:rPr>
            </w:pPr>
          </w:p>
        </w:tc>
        <w:tc>
          <w:tcPr>
            <w:tcW w:w="4620" w:type="dxa"/>
            <w:vAlign w:val="bottom"/>
            <w:gridSpan w:val="3"/>
          </w:tcPr>
          <w:p>
            <w:pPr>
              <w:ind w:left="300"/>
              <w:spacing w:after="0"/>
              <w:rPr>
                <w:sz w:val="20"/>
                <w:szCs w:val="20"/>
                <w:color w:val="auto"/>
              </w:rPr>
            </w:pPr>
            <w:r>
              <w:rPr>
                <w:rFonts w:ascii="Arial" w:cs="Arial" w:eastAsia="Arial" w:hAnsi="Arial"/>
                <w:sz w:val="18"/>
                <w:szCs w:val="18"/>
                <w:color w:val="auto"/>
              </w:rPr>
              <w:t>WillScot Mobile Mini Holdings Corp.</w:t>
            </w:r>
          </w:p>
        </w:tc>
        <w:tc>
          <w:tcPr>
            <w:tcW w:w="1160" w:type="dxa"/>
            <w:vAlign w:val="bottom"/>
          </w:tcPr>
          <w:p>
            <w:pPr>
              <w:spacing w:after="0"/>
              <w:rPr>
                <w:sz w:val="20"/>
                <w:szCs w:val="20"/>
                <w:color w:val="auto"/>
              </w:rPr>
            </w:pPr>
          </w:p>
        </w:tc>
      </w:tr>
      <w:tr>
        <w:trPr>
          <w:trHeight w:val="310"/>
        </w:trPr>
        <w:tc>
          <w:tcPr>
            <w:tcW w:w="1800" w:type="dxa"/>
            <w:vAlign w:val="bottom"/>
          </w:tcPr>
          <w:p>
            <w:pPr>
              <w:spacing w:after="0"/>
              <w:rPr>
                <w:sz w:val="20"/>
                <w:szCs w:val="20"/>
                <w:color w:val="auto"/>
              </w:rPr>
            </w:pPr>
            <w:r>
              <w:rPr>
                <w:rFonts w:ascii="Arial" w:cs="Arial" w:eastAsia="Arial" w:hAnsi="Arial"/>
                <w:sz w:val="18"/>
                <w:szCs w:val="18"/>
                <w:color w:val="auto"/>
              </w:rPr>
              <w:t>Kelly Williams</w:t>
            </w:r>
          </w:p>
        </w:tc>
        <w:tc>
          <w:tcPr>
            <w:tcW w:w="4620" w:type="dxa"/>
            <w:vAlign w:val="bottom"/>
            <w:gridSpan w:val="3"/>
          </w:tcPr>
          <w:p>
            <w:pPr>
              <w:ind w:left="300"/>
              <w:spacing w:after="0"/>
              <w:rPr>
                <w:sz w:val="20"/>
                <w:szCs w:val="20"/>
                <w:color w:val="auto"/>
              </w:rPr>
            </w:pPr>
            <w:r>
              <w:rPr>
                <w:rFonts w:ascii="Arial" w:cs="Arial" w:eastAsia="Arial" w:hAnsi="Arial"/>
                <w:sz w:val="18"/>
                <w:szCs w:val="18"/>
                <w:color w:val="auto"/>
                <w:w w:val="99"/>
              </w:rPr>
              <w:t>President &amp; Chief Operating Officer of WillScot Mobile</w:t>
            </w:r>
          </w:p>
        </w:tc>
        <w:tc>
          <w:tcPr>
            <w:tcW w:w="1160" w:type="dxa"/>
            <w:vAlign w:val="bottom"/>
          </w:tcPr>
          <w:p>
            <w:pPr>
              <w:ind w:left="200"/>
              <w:spacing w:after="0"/>
              <w:rPr>
                <w:sz w:val="20"/>
                <w:szCs w:val="20"/>
                <w:color w:val="auto"/>
              </w:rPr>
            </w:pPr>
            <w:r>
              <w:rPr>
                <w:rFonts w:ascii="Arial" w:cs="Arial" w:eastAsia="Arial" w:hAnsi="Arial"/>
                <w:sz w:val="18"/>
                <w:szCs w:val="18"/>
                <w:color w:val="auto"/>
                <w:w w:val="86"/>
              </w:rPr>
              <w:t>United States</w:t>
            </w:r>
          </w:p>
        </w:tc>
      </w:tr>
      <w:tr>
        <w:trPr>
          <w:trHeight w:val="230"/>
        </w:trPr>
        <w:tc>
          <w:tcPr>
            <w:tcW w:w="1800" w:type="dxa"/>
            <w:vAlign w:val="bottom"/>
          </w:tcPr>
          <w:p>
            <w:pPr>
              <w:spacing w:after="0"/>
              <w:rPr>
                <w:sz w:val="20"/>
                <w:szCs w:val="20"/>
                <w:color w:val="auto"/>
              </w:rPr>
            </w:pPr>
          </w:p>
        </w:tc>
        <w:tc>
          <w:tcPr>
            <w:tcW w:w="4620" w:type="dxa"/>
            <w:vAlign w:val="bottom"/>
            <w:gridSpan w:val="3"/>
          </w:tcPr>
          <w:p>
            <w:pPr>
              <w:ind w:left="300"/>
              <w:spacing w:after="0"/>
              <w:rPr>
                <w:sz w:val="20"/>
                <w:szCs w:val="20"/>
                <w:color w:val="auto"/>
              </w:rPr>
            </w:pPr>
            <w:r>
              <w:rPr>
                <w:rFonts w:ascii="Arial" w:cs="Arial" w:eastAsia="Arial" w:hAnsi="Arial"/>
                <w:sz w:val="18"/>
                <w:szCs w:val="18"/>
                <w:color w:val="auto"/>
              </w:rPr>
              <w:t>Mini Holdings Corp.</w:t>
            </w:r>
          </w:p>
        </w:tc>
        <w:tc>
          <w:tcPr>
            <w:tcW w:w="1160" w:type="dxa"/>
            <w:vAlign w:val="bottom"/>
          </w:tcPr>
          <w:p>
            <w:pPr>
              <w:spacing w:after="0"/>
              <w:rPr>
                <w:sz w:val="20"/>
                <w:szCs w:val="20"/>
                <w:color w:val="auto"/>
              </w:rPr>
            </w:pPr>
          </w:p>
        </w:tc>
      </w:tr>
      <w:tr>
        <w:trPr>
          <w:trHeight w:val="365"/>
        </w:trPr>
        <w:tc>
          <w:tcPr>
            <w:tcW w:w="18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Page 6 of 6</w:t>
            </w:r>
          </w:p>
        </w:tc>
        <w:tc>
          <w:tcPr>
            <w:tcW w:w="11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760"/>
      </w:cols>
      <w:pgMar w:left="440" w:top="270"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3"/>
    </w:lvl>
  </w:abstractNum>
  <w:abstractNum w:abstractNumId="2">
    <w:nsid w:val="2AE8944A"/>
    <w:multiLevelType w:val="hybridMultilevel"/>
    <w:lvl w:ilvl="0">
      <w:lvlJc w:val="left"/>
      <w:lvlText w:val="1"/>
      <w:numFmt w:val="bullet"/>
      <w:start w:val="1"/>
    </w:lvl>
  </w:abstractNum>
  <w:abstractNum w:abstractNumId="3">
    <w:nsid w:val="625558EC"/>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2020-07-09T15:53:46Z</dcterms:created>
  <dcterms:modified xsi:type="dcterms:W3CDTF">2020-07-09T15:53:46Z</dcterms:modified>
</cp:coreProperties>
</file>