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234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23455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Soultz Bradley Lee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6400 E MCDOWELL RD.,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WillScot Holdings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SCOTTSDALE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85257</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jc w:val="center"/>
              <w:ind w:right="10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jc w:val="center"/>
              <w:ind w:left="1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3"/>
                <w:szCs w:val="13"/>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60" w:type="dxa"/>
            <w:vAlign w:val="bottom"/>
            <w:tcBorders>
              <w:top w:val="single" w:sz="8" w:color="2C2C2C"/>
            </w:tcBorders>
          </w:tcPr>
          <w:p>
            <w:pPr>
              <w:spacing w:after="0"/>
              <w:rPr>
                <w:sz w:val="7"/>
                <w:szCs w:val="7"/>
                <w:color w:val="auto"/>
              </w:rPr>
            </w:pPr>
          </w:p>
        </w:tc>
        <w:tc>
          <w:tcPr>
            <w:tcW w:w="6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86"/>
              <w:spacing w:after="0"/>
              <w:rPr>
                <w:sz w:val="20"/>
                <w:szCs w:val="20"/>
                <w:color w:val="auto"/>
              </w:rPr>
            </w:pPr>
            <w:r>
              <w:rPr>
                <w:rFonts w:ascii="Times New Roman" w:cs="Times New Roman" w:eastAsia="Times New Roman" w:hAnsi="Times New Roman"/>
                <w:sz w:val="17"/>
                <w:szCs w:val="17"/>
                <w:color w:val="0000FF"/>
              </w:rPr>
              <w:t>05/12/2026</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6"/>
                <w:szCs w:val="26"/>
                <w:color w:val="0000FF"/>
                <w:w w:val="86"/>
                <w:vertAlign w:val="subscript"/>
              </w:rPr>
              <w:t>G</w:t>
            </w:r>
            <w:r>
              <w:rPr>
                <w:rFonts w:ascii="Times New Roman" w:cs="Times New Roman" w:eastAsia="Times New Roman" w:hAnsi="Times New Roman"/>
                <w:sz w:val="11"/>
                <w:szCs w:val="11"/>
                <w:color w:val="008000"/>
                <w:w w:val="86"/>
              </w:rPr>
              <w:t>(1)</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39,791</w:t>
            </w:r>
          </w:p>
        </w:tc>
        <w:tc>
          <w:tcPr>
            <w:tcW w:w="340" w:type="dxa"/>
            <w:vAlign w:val="bottom"/>
            <w:tcBorders>
              <w:bottom w:val="single" w:sz="8" w:color="2C2C2C"/>
            </w:tcBorders>
          </w:tcPr>
          <w:p>
            <w:pPr>
              <w:jc w:val="center"/>
              <w:ind w:left="99"/>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jc w:val="center"/>
              <w:ind w:left="237"/>
              <w:spacing w:after="0"/>
              <w:rPr>
                <w:sz w:val="20"/>
                <w:szCs w:val="20"/>
                <w:color w:val="auto"/>
              </w:rPr>
            </w:pPr>
            <w:r>
              <w:rPr>
                <w:rFonts w:ascii="Times New Roman" w:cs="Times New Roman" w:eastAsia="Times New Roman" w:hAnsi="Times New Roman"/>
                <w:sz w:val="11"/>
                <w:szCs w:val="11"/>
                <w:color w:val="008000"/>
                <w:w w:val="93"/>
              </w:rPr>
              <w:t>(1)</w:t>
            </w:r>
          </w:p>
        </w:tc>
        <w:tc>
          <w:tcPr>
            <w:tcW w:w="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285,342</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Ellen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vMerge w:val="restart"/>
          </w:tcPr>
          <w:p>
            <w:pPr>
              <w:jc w:val="center"/>
              <w:ind w:left="186"/>
              <w:spacing w:after="0"/>
              <w:rPr>
                <w:sz w:val="20"/>
                <w:szCs w:val="20"/>
                <w:color w:val="auto"/>
              </w:rPr>
            </w:pPr>
            <w:r>
              <w:rPr>
                <w:rFonts w:ascii="Times New Roman" w:cs="Times New Roman" w:eastAsia="Times New Roman" w:hAnsi="Times New Roman"/>
                <w:sz w:val="17"/>
                <w:szCs w:val="17"/>
                <w:color w:val="0000FF"/>
              </w:rPr>
              <w:t>05/12/2026</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26"/>
                <w:szCs w:val="26"/>
                <w:color w:val="0000FF"/>
                <w:w w:val="86"/>
                <w:vertAlign w:val="subscript"/>
              </w:rPr>
              <w:t>G</w:t>
            </w:r>
            <w:r>
              <w:rPr>
                <w:rFonts w:ascii="Times New Roman" w:cs="Times New Roman" w:eastAsia="Times New Roman" w:hAnsi="Times New Roman"/>
                <w:sz w:val="11"/>
                <w:szCs w:val="11"/>
                <w:color w:val="008000"/>
                <w:w w:val="86"/>
              </w:rPr>
              <w:t>(1)</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39,791</w:t>
            </w:r>
          </w:p>
        </w:tc>
        <w:tc>
          <w:tcPr>
            <w:tcW w:w="340" w:type="dxa"/>
            <w:vAlign w:val="bottom"/>
            <w:vMerge w:val="restart"/>
          </w:tcPr>
          <w:p>
            <w:pPr>
              <w:jc w:val="center"/>
              <w:ind w:left="99"/>
              <w:spacing w:after="0"/>
              <w:rPr>
                <w:sz w:val="20"/>
                <w:szCs w:val="20"/>
                <w:color w:val="auto"/>
              </w:rPr>
            </w:pPr>
            <w:r>
              <w:rPr>
                <w:rFonts w:ascii="Times New Roman" w:cs="Times New Roman" w:eastAsia="Times New Roman" w:hAnsi="Times New Roman"/>
                <w:sz w:val="17"/>
                <w:szCs w:val="17"/>
                <w:color w:val="0000FF"/>
                <w:w w:val="97"/>
              </w:rPr>
              <w:t>A</w:t>
            </w:r>
          </w:p>
        </w:tc>
        <w:tc>
          <w:tcPr>
            <w:tcW w:w="940" w:type="dxa"/>
            <w:vAlign w:val="bottom"/>
            <w:vMerge w:val="restart"/>
          </w:tcPr>
          <w:p>
            <w:pPr>
              <w:jc w:val="center"/>
              <w:ind w:left="237"/>
              <w:spacing w:after="0"/>
              <w:rPr>
                <w:sz w:val="20"/>
                <w:szCs w:val="20"/>
                <w:color w:val="auto"/>
              </w:rPr>
            </w:pPr>
            <w:r>
              <w:rPr>
                <w:rFonts w:ascii="Times New Roman" w:cs="Times New Roman" w:eastAsia="Times New Roman" w:hAnsi="Times New Roman"/>
                <w:sz w:val="11"/>
                <w:szCs w:val="11"/>
                <w:color w:val="008000"/>
                <w:w w:val="93"/>
              </w:rPr>
              <w:t>(1)</w:t>
            </w:r>
          </w:p>
        </w:tc>
        <w:tc>
          <w:tcPr>
            <w:tcW w:w="8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284,016</w:t>
            </w:r>
          </w:p>
        </w:tc>
        <w:tc>
          <w:tcPr>
            <w:tcW w:w="320" w:type="dxa"/>
            <w:vAlign w:val="bottom"/>
          </w:tcPr>
          <w:p>
            <w:pPr>
              <w:spacing w:after="0"/>
              <w:rPr>
                <w:sz w:val="18"/>
                <w:szCs w:val="18"/>
                <w:color w:val="auto"/>
              </w:rPr>
            </w:pPr>
          </w:p>
        </w:tc>
        <w:tc>
          <w:tcPr>
            <w:tcW w:w="520" w:type="dxa"/>
            <w:vAlign w:val="bottom"/>
            <w:vMerge w:val="restart"/>
          </w:tcPr>
          <w:p>
            <w:pPr>
              <w:jc w:val="center"/>
              <w:ind w:right="306"/>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M. Soultz</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86"/>
              <w:spacing w:after="0"/>
              <w:rPr>
                <w:sz w:val="20"/>
                <w:szCs w:val="20"/>
                <w:color w:val="auto"/>
              </w:rPr>
            </w:pPr>
            <w:r>
              <w:rPr>
                <w:rFonts w:ascii="Times New Roman" w:cs="Times New Roman" w:eastAsia="Times New Roman" w:hAnsi="Times New Roman"/>
                <w:sz w:val="17"/>
                <w:szCs w:val="17"/>
                <w:color w:val="0000FF"/>
              </w:rPr>
              <w:t>05/12/2026</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(2)</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37,054</w:t>
            </w:r>
          </w:p>
        </w:tc>
        <w:tc>
          <w:tcPr>
            <w:tcW w:w="340" w:type="dxa"/>
            <w:vAlign w:val="bottom"/>
            <w:tcBorders>
              <w:bottom w:val="single" w:sz="8" w:color="2C2C2C"/>
            </w:tcBorders>
          </w:tcPr>
          <w:p>
            <w:pPr>
              <w:jc w:val="center"/>
              <w:ind w:left="99"/>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jc w:val="center"/>
              <w:ind w:left="237"/>
              <w:spacing w:after="0"/>
              <w:rPr>
                <w:sz w:val="20"/>
                <w:szCs w:val="20"/>
                <w:color w:val="auto"/>
              </w:rPr>
            </w:pPr>
            <w:r>
              <w:rPr>
                <w:rFonts w:ascii="Times New Roman" w:cs="Times New Roman" w:eastAsia="Times New Roman" w:hAnsi="Times New Roman"/>
                <w:sz w:val="11"/>
                <w:szCs w:val="11"/>
                <w:color w:val="008000"/>
                <w:w w:val="93"/>
              </w:rPr>
              <w:t>(2)</w:t>
            </w:r>
          </w:p>
        </w:tc>
        <w:tc>
          <w:tcPr>
            <w:tcW w:w="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248,288</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4"/>
                <w:szCs w:val="24"/>
                <w:color w:val="auto"/>
              </w:rPr>
            </w:pPr>
          </w:p>
        </w:tc>
        <w:tc>
          <w:tcPr>
            <w:tcW w:w="1120" w:type="dxa"/>
            <w:vAlign w:val="bottom"/>
          </w:tcPr>
          <w:p>
            <w:pPr>
              <w:jc w:val="center"/>
              <w:ind w:left="186"/>
              <w:spacing w:after="0"/>
              <w:rPr>
                <w:sz w:val="20"/>
                <w:szCs w:val="20"/>
                <w:color w:val="auto"/>
              </w:rPr>
            </w:pPr>
            <w:r>
              <w:rPr>
                <w:rFonts w:ascii="Times New Roman" w:cs="Times New Roman" w:eastAsia="Times New Roman" w:hAnsi="Times New Roman"/>
                <w:sz w:val="17"/>
                <w:szCs w:val="17"/>
                <w:color w:val="0000FF"/>
              </w:rPr>
              <w:t>05/12/2026</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(2)</w:t>
            </w:r>
          </w:p>
        </w:tc>
        <w:tc>
          <w:tcPr>
            <w:tcW w:w="4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37,054</w:t>
            </w:r>
          </w:p>
        </w:tc>
        <w:tc>
          <w:tcPr>
            <w:tcW w:w="340" w:type="dxa"/>
            <w:vAlign w:val="bottom"/>
          </w:tcPr>
          <w:p>
            <w:pPr>
              <w:jc w:val="center"/>
              <w:ind w:left="99"/>
              <w:spacing w:after="0"/>
              <w:rPr>
                <w:sz w:val="20"/>
                <w:szCs w:val="20"/>
                <w:color w:val="auto"/>
              </w:rPr>
            </w:pPr>
            <w:r>
              <w:rPr>
                <w:rFonts w:ascii="Times New Roman" w:cs="Times New Roman" w:eastAsia="Times New Roman" w:hAnsi="Times New Roman"/>
                <w:sz w:val="17"/>
                <w:szCs w:val="17"/>
                <w:color w:val="0000FF"/>
                <w:w w:val="97"/>
              </w:rPr>
              <w:t>A</w:t>
            </w:r>
          </w:p>
        </w:tc>
        <w:tc>
          <w:tcPr>
            <w:tcW w:w="940" w:type="dxa"/>
            <w:vAlign w:val="bottom"/>
          </w:tcPr>
          <w:p>
            <w:pPr>
              <w:jc w:val="center"/>
              <w:ind w:left="237"/>
              <w:spacing w:after="0"/>
              <w:rPr>
                <w:sz w:val="20"/>
                <w:szCs w:val="20"/>
                <w:color w:val="auto"/>
              </w:rPr>
            </w:pPr>
            <w:r>
              <w:rPr>
                <w:rFonts w:ascii="Times New Roman" w:cs="Times New Roman" w:eastAsia="Times New Roman" w:hAnsi="Times New Roman"/>
                <w:sz w:val="11"/>
                <w:szCs w:val="11"/>
                <w:color w:val="008000"/>
                <w:w w:val="93"/>
              </w:rPr>
              <w:t>(2)</w:t>
            </w:r>
          </w:p>
        </w:tc>
        <w:tc>
          <w:tcPr>
            <w:tcW w:w="80" w:type="dxa"/>
            <w:vAlign w:val="bottom"/>
          </w:tcPr>
          <w:p>
            <w:pPr>
              <w:spacing w:after="0"/>
              <w:rPr>
                <w:sz w:val="24"/>
                <w:szCs w:val="24"/>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37,054</w:t>
            </w:r>
          </w:p>
        </w:tc>
        <w:tc>
          <w:tcPr>
            <w:tcW w:w="320" w:type="dxa"/>
            <w:vAlign w:val="bottom"/>
          </w:tcPr>
          <w:p>
            <w:pPr>
              <w:spacing w:after="0"/>
              <w:rPr>
                <w:sz w:val="24"/>
                <w:szCs w:val="24"/>
                <w:color w:val="auto"/>
              </w:rPr>
            </w:pPr>
          </w:p>
        </w:tc>
        <w:tc>
          <w:tcPr>
            <w:tcW w:w="520" w:type="dxa"/>
            <w:vAlign w:val="bottom"/>
          </w:tcPr>
          <w:p>
            <w:pPr>
              <w:jc w:val="center"/>
              <w:ind w:right="306"/>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jc w:val="center"/>
              <w:ind w:left="186"/>
              <w:spacing w:after="0"/>
              <w:rPr>
                <w:sz w:val="20"/>
                <w:szCs w:val="20"/>
                <w:color w:val="auto"/>
              </w:rPr>
            </w:pPr>
            <w:r>
              <w:rPr>
                <w:rFonts w:ascii="Times New Roman" w:cs="Times New Roman" w:eastAsia="Times New Roman" w:hAnsi="Times New Roman"/>
                <w:sz w:val="17"/>
                <w:szCs w:val="17"/>
                <w:color w:val="0000FF"/>
              </w:rPr>
              <w:t>05/12/2026</w:t>
            </w:r>
          </w:p>
        </w:tc>
        <w:tc>
          <w:tcPr>
            <w:tcW w:w="6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jc w:val="center"/>
              <w:ind w:left="20"/>
              <w:spacing w:after="0"/>
              <w:rPr>
                <w:sz w:val="20"/>
                <w:szCs w:val="20"/>
                <w:color w:val="auto"/>
              </w:rPr>
            </w:pPr>
            <w:r>
              <w:rPr>
                <w:rFonts w:ascii="Times New Roman" w:cs="Times New Roman" w:eastAsia="Times New Roman" w:hAnsi="Times New Roman"/>
                <w:sz w:val="13"/>
                <w:szCs w:val="13"/>
                <w:color w:val="0000FF"/>
              </w:rPr>
              <w:t>S</w:t>
            </w:r>
          </w:p>
        </w:tc>
        <w:tc>
          <w:tcPr>
            <w:tcW w:w="44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65,043</w:t>
            </w:r>
          </w:p>
        </w:tc>
        <w:tc>
          <w:tcPr>
            <w:tcW w:w="340" w:type="dxa"/>
            <w:vAlign w:val="bottom"/>
            <w:tcBorders>
              <w:top w:val="single" w:sz="8" w:color="2C2C2C"/>
              <w:bottom w:val="single" w:sz="8" w:color="2C2C2C"/>
            </w:tcBorders>
          </w:tcPr>
          <w:p>
            <w:pPr>
              <w:jc w:val="center"/>
              <w:ind w:left="99"/>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tcBorders>
              <w:top w:val="single" w:sz="8" w:color="2C2C2C"/>
              <w:bottom w:val="single" w:sz="8" w:color="2C2C2C"/>
            </w:tcBorders>
            <w:gridSpan w:val="2"/>
          </w:tcPr>
          <w:p>
            <w:pPr>
              <w:jc w:val="center"/>
              <w:ind w:left="137"/>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27.0707</w:t>
            </w:r>
            <w:r>
              <w:rPr>
                <w:rFonts w:ascii="Times New Roman" w:cs="Times New Roman" w:eastAsia="Times New Roman" w:hAnsi="Times New Roman"/>
                <w:sz w:val="22"/>
                <w:szCs w:val="22"/>
                <w:color w:val="008000"/>
                <w:w w:val="95"/>
                <w:vertAlign w:val="superscript"/>
              </w:rPr>
              <w:t>(3)</w:t>
            </w:r>
          </w:p>
        </w:tc>
        <w:tc>
          <w:tcPr>
            <w:tcW w:w="1240" w:type="dxa"/>
            <w:vAlign w:val="bottom"/>
            <w:tcBorders>
              <w:top w:val="single" w:sz="8" w:color="2C2C2C"/>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183,245</w:t>
            </w:r>
          </w:p>
        </w:tc>
        <w:tc>
          <w:tcPr>
            <w:tcW w:w="32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Ellen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vMerge w:val="restart"/>
          </w:tcPr>
          <w:p>
            <w:pPr>
              <w:jc w:val="center"/>
              <w:ind w:left="186"/>
              <w:spacing w:after="0"/>
              <w:rPr>
                <w:sz w:val="20"/>
                <w:szCs w:val="20"/>
                <w:color w:val="auto"/>
              </w:rPr>
            </w:pPr>
            <w:r>
              <w:rPr>
                <w:rFonts w:ascii="Times New Roman" w:cs="Times New Roman" w:eastAsia="Times New Roman" w:hAnsi="Times New Roman"/>
                <w:sz w:val="17"/>
                <w:szCs w:val="17"/>
                <w:color w:val="0000FF"/>
              </w:rPr>
              <w:t>05/12/2026</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jc w:val="center"/>
              <w:ind w:left="20"/>
              <w:spacing w:after="0"/>
              <w:rPr>
                <w:sz w:val="20"/>
                <w:szCs w:val="20"/>
                <w:color w:val="auto"/>
              </w:rPr>
            </w:pPr>
            <w:r>
              <w:rPr>
                <w:rFonts w:ascii="Times New Roman" w:cs="Times New Roman" w:eastAsia="Times New Roman" w:hAnsi="Times New Roman"/>
                <w:sz w:val="13"/>
                <w:szCs w:val="13"/>
                <w:color w:val="0000FF"/>
              </w:rPr>
              <w:t>S</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86,421</w:t>
            </w:r>
          </w:p>
        </w:tc>
        <w:tc>
          <w:tcPr>
            <w:tcW w:w="340" w:type="dxa"/>
            <w:vAlign w:val="bottom"/>
            <w:vMerge w:val="restart"/>
          </w:tcPr>
          <w:p>
            <w:pPr>
              <w:jc w:val="center"/>
              <w:ind w:left="99"/>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gridSpan w:val="2"/>
            <w:vMerge w:val="restart"/>
          </w:tcPr>
          <w:p>
            <w:pPr>
              <w:jc w:val="center"/>
              <w:ind w:left="137"/>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26.9949</w:t>
            </w:r>
            <w:r>
              <w:rPr>
                <w:rFonts w:ascii="Times New Roman" w:cs="Times New Roman" w:eastAsia="Times New Roman" w:hAnsi="Times New Roman"/>
                <w:sz w:val="22"/>
                <w:szCs w:val="22"/>
                <w:color w:val="008000"/>
                <w:w w:val="95"/>
                <w:vertAlign w:val="superscript"/>
              </w:rPr>
              <w:t>(4)</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197,595</w:t>
            </w:r>
          </w:p>
        </w:tc>
        <w:tc>
          <w:tcPr>
            <w:tcW w:w="320" w:type="dxa"/>
            <w:vAlign w:val="bottom"/>
          </w:tcPr>
          <w:p>
            <w:pPr>
              <w:spacing w:after="0"/>
              <w:rPr>
                <w:sz w:val="18"/>
                <w:szCs w:val="18"/>
                <w:color w:val="auto"/>
              </w:rPr>
            </w:pPr>
          </w:p>
        </w:tc>
        <w:tc>
          <w:tcPr>
            <w:tcW w:w="520" w:type="dxa"/>
            <w:vAlign w:val="bottom"/>
            <w:vMerge w:val="restart"/>
          </w:tcPr>
          <w:p>
            <w:pPr>
              <w:jc w:val="center"/>
              <w:ind w:right="306"/>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M. Soultz</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Bradley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vMerge w:val="restart"/>
          </w:tcPr>
          <w:p>
            <w:pPr>
              <w:jc w:val="center"/>
              <w:ind w:left="186"/>
              <w:spacing w:after="0"/>
              <w:rPr>
                <w:sz w:val="20"/>
                <w:szCs w:val="20"/>
                <w:color w:val="auto"/>
              </w:rPr>
            </w:pPr>
            <w:r>
              <w:rPr>
                <w:rFonts w:ascii="Times New Roman" w:cs="Times New Roman" w:eastAsia="Times New Roman" w:hAnsi="Times New Roman"/>
                <w:sz w:val="17"/>
                <w:szCs w:val="17"/>
                <w:color w:val="0000FF"/>
              </w:rPr>
              <w:t>05/13/2026</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jc w:val="center"/>
              <w:ind w:left="20"/>
              <w:spacing w:after="0"/>
              <w:rPr>
                <w:sz w:val="20"/>
                <w:szCs w:val="20"/>
                <w:color w:val="auto"/>
              </w:rPr>
            </w:pPr>
            <w:r>
              <w:rPr>
                <w:rFonts w:ascii="Times New Roman" w:cs="Times New Roman" w:eastAsia="Times New Roman" w:hAnsi="Times New Roman"/>
                <w:sz w:val="13"/>
                <w:szCs w:val="13"/>
                <w:color w:val="0000FF"/>
              </w:rPr>
              <w:t>S</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4,317</w:t>
            </w:r>
          </w:p>
        </w:tc>
        <w:tc>
          <w:tcPr>
            <w:tcW w:w="340" w:type="dxa"/>
            <w:vAlign w:val="bottom"/>
            <w:vMerge w:val="restart"/>
          </w:tcPr>
          <w:p>
            <w:pPr>
              <w:jc w:val="center"/>
              <w:ind w:left="99"/>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gridSpan w:val="2"/>
            <w:vMerge w:val="restart"/>
          </w:tcPr>
          <w:p>
            <w:pPr>
              <w:jc w:val="center"/>
              <w:ind w:left="137"/>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25.9161</w:t>
            </w:r>
            <w:r>
              <w:rPr>
                <w:rFonts w:ascii="Times New Roman" w:cs="Times New Roman" w:eastAsia="Times New Roman" w:hAnsi="Times New Roman"/>
                <w:sz w:val="22"/>
                <w:szCs w:val="22"/>
                <w:color w:val="008000"/>
                <w:w w:val="95"/>
                <w:vertAlign w:val="superscript"/>
              </w:rPr>
              <w:t>(5)</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414,059</w:t>
            </w:r>
          </w:p>
        </w:tc>
        <w:tc>
          <w:tcPr>
            <w:tcW w:w="320" w:type="dxa"/>
            <w:vAlign w:val="bottom"/>
          </w:tcPr>
          <w:p>
            <w:pPr>
              <w:spacing w:after="0"/>
              <w:rPr>
                <w:sz w:val="18"/>
                <w:szCs w:val="18"/>
                <w:color w:val="auto"/>
              </w:rPr>
            </w:pPr>
          </w:p>
        </w:tc>
        <w:tc>
          <w:tcPr>
            <w:tcW w:w="520" w:type="dxa"/>
            <w:vAlign w:val="bottom"/>
            <w:vMerge w:val="restart"/>
          </w:tcPr>
          <w:p>
            <w:pPr>
              <w:jc w:val="center"/>
              <w:ind w:right="306"/>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L. Soultz</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3"/>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5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a gift of 39,791 shares by the reporting person to Ellen M. Soultz Irrevocable Trust. This gift reflects only a change in the form of beneficial ownership of the reporting person without changing the reporting person's pecuniary interest in such shares, and the transfer is exempt from reporting under Rule 16a-13 under the Securities and Exchange Act of 1934, as amended.</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transferred 37,054 shares of common stock to the Reporting Person's spouse, for no consideration. This transfer reflects only a change in the form of beneficial ownership of the reporting person without changing the reporting person's pecuniary interest in such shares, and the transfer is exempt from reporting under Rule 16a-13 under the Securities and Exchange Act of 1934, as amended.</w:t>
      </w:r>
    </w:p>
    <w:p>
      <w:pPr>
        <w:spacing w:after="0" w:line="20" w:lineRule="exact"/>
        <w:rPr>
          <w:rFonts w:ascii="Times New Roman" w:cs="Times New Roman" w:eastAsia="Times New Roman" w:hAnsi="Times New Roman"/>
          <w:sz w:val="13"/>
          <w:szCs w:val="13"/>
          <w:color w:val="008000"/>
        </w:rPr>
      </w:pPr>
    </w:p>
    <w:p>
      <w:pPr>
        <w:ind w:left="40" w:right="4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$27.06 to $27.16, inclusive. The Reporting Person undertakes to provide to WillScot Holdings Corporation, any security holder of WillScot Holdings Corporation, or the staff of the Securities and Exchange Commission, upon request, full information regarding the number of shares sold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left="40" w:right="4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$26.94 to $27.07, inclusive. The Reporting Person undertakes to provide to WillScot Holdings Corporation, any security holder of WillScot Holdings Corporation, or the staff of the Securities and Exchange Commission, upon request, full information regarding the number of shares sold at each separate price within the range set forth in this footnote (1) to this Form 4.</w:t>
      </w:r>
    </w:p>
    <w:p>
      <w:pPr>
        <w:sectPr>
          <w:pgSz w:w="11900" w:h="16838" w:orient="portrait"/>
          <w:cols w:equalWidth="0" w:num="1">
            <w:col w:w="11080"/>
          </w:cols>
          <w:pgMar w:left="460" w:top="219" w:right="359" w:bottom="0" w:gutter="0" w:footer="0" w:header="0"/>
          <w:type w:val="continuous"/>
        </w:sectPr>
      </w:pPr>
    </w:p>
    <w:bookmarkStart w:id="1" w:name="page2"/>
    <w:bookmarkEnd w:id="1"/>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$25.91 to $25.93, inclusive. The Reporting Person undertakes to provide to WillScot Holdings Corporation, any security holder of WillScot Holdings Corporation, or the staff of the Securities and Exchange Commission, upon request, full information regarding the number of shares sold at each separate price within the range set forth in this footnote (1) to this Form 4.</w:t>
      </w:r>
    </w:p>
    <w:p>
      <w:pPr>
        <w:spacing w:after="0" w:line="37"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Peter D. Fetzer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05/14/2026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60" w:type="dxa"/>
            <w:vAlign w:val="bottom"/>
            <w:tcBorders>
              <w:top w:val="single" w:sz="8" w:color="auto"/>
            </w:tcBorders>
            <w:vMerge w:val="restart"/>
          </w:tcPr>
          <w:p>
            <w:pPr>
              <w:spacing w:after="0"/>
              <w:rPr>
                <w:sz w:val="7"/>
                <w:szCs w:val="7"/>
                <w:color w:val="auto"/>
              </w:rPr>
            </w:pPr>
          </w:p>
        </w:tc>
        <w:tc>
          <w:tcPr>
            <w:tcW w:w="6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60" w:type="dxa"/>
            <w:vAlign w:val="bottom"/>
            <w:tcBorders>
              <w:top w:val="single" w:sz="8" w:color="auto"/>
            </w:tcBorders>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92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20"/>
      </w:cols>
      <w:pgMar w:left="500" w:top="127"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23486" TargetMode="External"/><Relationship Id="rId14" Type="http://schemas.openxmlformats.org/officeDocument/2006/relationships/hyperlink" Target="http://www.sec.gov/cgi-bin/browse-edgar?action=getcompany&amp;CIK=0001647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2026-05-14T19:36:15Z</dcterms:created>
  <dcterms:modified xsi:type="dcterms:W3CDTF">2026-05-14T19:36:15Z</dcterms:modified>
</cp:coreProperties>
</file>