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184"/>
        </w:trPr>
        <w:tc>
          <w:tcPr>
            <w:tcW w:w="1620" w:type="dxa"/>
            <w:vAlign w:val="bottom"/>
          </w:tcPr>
          <w:p>
            <w:pPr>
              <w:spacing w:after="0"/>
              <w:rPr>
                <w:sz w:val="16"/>
                <w:szCs w:val="16"/>
                <w:color w:val="auto"/>
              </w:rPr>
            </w:pPr>
          </w:p>
        </w:tc>
        <w:tc>
          <w:tcPr>
            <w:tcW w:w="9280" w:type="dxa"/>
            <w:vAlign w:val="bottom"/>
          </w:tcPr>
          <w:p>
            <w:pPr>
              <w:jc w:val="center"/>
              <w:ind w:right="1530"/>
              <w:spacing w:after="0"/>
              <w:rPr>
                <w:sz w:val="20"/>
                <w:szCs w:val="20"/>
                <w:color w:val="auto"/>
              </w:rPr>
            </w:pPr>
            <w:r>
              <w:rPr>
                <w:rFonts w:ascii="Arial" w:cs="Arial" w:eastAsia="Arial" w:hAnsi="Arial"/>
                <w:sz w:val="16"/>
                <w:szCs w:val="16"/>
                <w:b w:val="1"/>
                <w:bCs w:val="1"/>
                <w:color w:val="auto"/>
                <w:w w:val="99"/>
              </w:rPr>
              <w:t>UNITED STATES</w:t>
            </w:r>
          </w:p>
        </w:tc>
      </w:tr>
      <w:tr>
        <w:trPr>
          <w:trHeight w:val="203"/>
        </w:trPr>
        <w:tc>
          <w:tcPr>
            <w:tcW w:w="1620" w:type="dxa"/>
            <w:vAlign w:val="bottom"/>
          </w:tcPr>
          <w:p>
            <w:pPr>
              <w:spacing w:after="0"/>
              <w:rPr>
                <w:sz w:val="17"/>
                <w:szCs w:val="17"/>
                <w:color w:val="auto"/>
              </w:rPr>
            </w:pPr>
          </w:p>
        </w:tc>
        <w:tc>
          <w:tcPr>
            <w:tcW w:w="9280" w:type="dxa"/>
            <w:vAlign w:val="bottom"/>
          </w:tcPr>
          <w:p>
            <w:pPr>
              <w:jc w:val="center"/>
              <w:ind w:right="1530"/>
              <w:spacing w:after="0"/>
              <w:rPr>
                <w:sz w:val="20"/>
                <w:szCs w:val="20"/>
                <w:color w:val="auto"/>
              </w:rPr>
            </w:pPr>
            <w:r>
              <w:rPr>
                <w:rFonts w:ascii="Arial" w:cs="Arial" w:eastAsia="Arial" w:hAnsi="Arial"/>
                <w:sz w:val="16"/>
                <w:szCs w:val="16"/>
                <w:b w:val="1"/>
                <w:bCs w:val="1"/>
                <w:color w:val="auto"/>
              </w:rPr>
              <w:t>SECURITIES AND EXCHANGE COMMISSION</w:t>
            </w:r>
          </w:p>
        </w:tc>
      </w:tr>
      <w:tr>
        <w:trPr>
          <w:trHeight w:val="229"/>
        </w:trPr>
        <w:tc>
          <w:tcPr>
            <w:tcW w:w="1620" w:type="dxa"/>
            <w:vAlign w:val="bottom"/>
          </w:tcPr>
          <w:p>
            <w:pPr>
              <w:spacing w:after="0"/>
              <w:rPr>
                <w:sz w:val="19"/>
                <w:szCs w:val="19"/>
                <w:color w:val="auto"/>
              </w:rPr>
            </w:pPr>
          </w:p>
        </w:tc>
        <w:tc>
          <w:tcPr>
            <w:tcW w:w="9280" w:type="dxa"/>
            <w:vAlign w:val="bottom"/>
          </w:tcPr>
          <w:p>
            <w:pPr>
              <w:jc w:val="center"/>
              <w:ind w:right="1530"/>
              <w:spacing w:after="0"/>
              <w:rPr>
                <w:sz w:val="20"/>
                <w:szCs w:val="20"/>
                <w:color w:val="auto"/>
              </w:rPr>
            </w:pPr>
            <w:r>
              <w:rPr>
                <w:rFonts w:ascii="Arial" w:cs="Arial" w:eastAsia="Arial" w:hAnsi="Arial"/>
                <w:sz w:val="16"/>
                <w:szCs w:val="16"/>
                <w:b w:val="1"/>
                <w:bCs w:val="1"/>
                <w:color w:val="auto"/>
              </w:rPr>
              <w:t>Washington, D.C. 20549</w:t>
            </w:r>
          </w:p>
        </w:tc>
      </w:tr>
      <w:tr>
        <w:trPr>
          <w:trHeight w:val="170"/>
        </w:trPr>
        <w:tc>
          <w:tcPr>
            <w:tcW w:w="1620" w:type="dxa"/>
            <w:vAlign w:val="bottom"/>
            <w:tcBorders>
              <w:bottom w:val="single" w:sz="8" w:color="auto"/>
            </w:tcBorders>
          </w:tcPr>
          <w:p>
            <w:pPr>
              <w:spacing w:after="0"/>
              <w:rPr>
                <w:sz w:val="14"/>
                <w:szCs w:val="14"/>
                <w:color w:val="auto"/>
              </w:rPr>
            </w:pPr>
          </w:p>
        </w:tc>
        <w:tc>
          <w:tcPr>
            <w:tcW w:w="9280" w:type="dxa"/>
            <w:vAlign w:val="bottom"/>
            <w:tcBorders>
              <w:bottom w:val="single" w:sz="8" w:color="auto"/>
            </w:tcBorders>
          </w:tcPr>
          <w:p>
            <w:pPr>
              <w:spacing w:after="0"/>
              <w:rPr>
                <w:sz w:val="14"/>
                <w:szCs w:val="14"/>
                <w:color w:val="auto"/>
              </w:rPr>
            </w:pPr>
          </w:p>
        </w:tc>
      </w:tr>
      <w:tr>
        <w:trPr>
          <w:trHeight w:val="599"/>
        </w:trPr>
        <w:tc>
          <w:tcPr>
            <w:tcW w:w="1620" w:type="dxa"/>
            <w:vAlign w:val="bottom"/>
          </w:tcPr>
          <w:p>
            <w:pPr>
              <w:spacing w:after="0"/>
              <w:rPr>
                <w:sz w:val="24"/>
                <w:szCs w:val="24"/>
                <w:color w:val="auto"/>
              </w:rPr>
            </w:pPr>
          </w:p>
        </w:tc>
        <w:tc>
          <w:tcPr>
            <w:tcW w:w="9280" w:type="dxa"/>
            <w:vAlign w:val="bottom"/>
          </w:tcPr>
          <w:p>
            <w:pPr>
              <w:jc w:val="center"/>
              <w:ind w:right="1530"/>
              <w:spacing w:after="0"/>
              <w:rPr>
                <w:sz w:val="20"/>
                <w:szCs w:val="20"/>
                <w:color w:val="auto"/>
              </w:rPr>
            </w:pPr>
            <w:r>
              <w:rPr>
                <w:rFonts w:ascii="Arial" w:cs="Arial" w:eastAsia="Arial" w:hAnsi="Arial"/>
                <w:sz w:val="29"/>
                <w:szCs w:val="29"/>
                <w:b w:val="1"/>
                <w:bCs w:val="1"/>
                <w:color w:val="auto"/>
                <w:w w:val="98"/>
              </w:rPr>
              <w:t>FORM 11-K</w:t>
            </w:r>
          </w:p>
        </w:tc>
      </w:tr>
      <w:tr>
        <w:trPr>
          <w:trHeight w:val="191"/>
        </w:trPr>
        <w:tc>
          <w:tcPr>
            <w:tcW w:w="1620" w:type="dxa"/>
            <w:vAlign w:val="bottom"/>
            <w:tcBorders>
              <w:bottom w:val="single" w:sz="8" w:color="auto"/>
            </w:tcBorders>
          </w:tcPr>
          <w:p>
            <w:pPr>
              <w:spacing w:after="0"/>
              <w:rPr>
                <w:sz w:val="16"/>
                <w:szCs w:val="16"/>
                <w:color w:val="auto"/>
              </w:rPr>
            </w:pPr>
          </w:p>
        </w:tc>
        <w:tc>
          <w:tcPr>
            <w:tcW w:w="9280" w:type="dxa"/>
            <w:vAlign w:val="bottom"/>
            <w:tcBorders>
              <w:bottom w:val="single" w:sz="8" w:color="auto"/>
            </w:tcBorders>
          </w:tcPr>
          <w:p>
            <w:pPr>
              <w:spacing w:after="0"/>
              <w:rPr>
                <w:sz w:val="16"/>
                <w:szCs w:val="16"/>
                <w:color w:val="auto"/>
              </w:rPr>
            </w:pPr>
          </w:p>
        </w:tc>
      </w:tr>
      <w:tr>
        <w:trPr>
          <w:trHeight w:val="335"/>
        </w:trPr>
        <w:tc>
          <w:tcPr>
            <w:tcW w:w="1620" w:type="dxa"/>
            <w:vAlign w:val="bottom"/>
          </w:tcPr>
          <w:p>
            <w:pPr>
              <w:ind w:left="280"/>
              <w:spacing w:after="0"/>
              <w:rPr>
                <w:sz w:val="20"/>
                <w:szCs w:val="20"/>
                <w:color w:val="auto"/>
              </w:rPr>
            </w:pPr>
            <w:r>
              <w:rPr>
                <w:rFonts w:ascii="Arial" w:cs="Arial" w:eastAsia="Arial" w:hAnsi="Arial"/>
                <w:sz w:val="16"/>
                <w:szCs w:val="16"/>
                <w:color w:val="auto"/>
              </w:rPr>
              <w:t>(Mark One)</w:t>
            </w:r>
          </w:p>
        </w:tc>
        <w:tc>
          <w:tcPr>
            <w:tcW w:w="9280" w:type="dxa"/>
            <w:vAlign w:val="bottom"/>
          </w:tcPr>
          <w:p>
            <w:pPr>
              <w:spacing w:after="0"/>
              <w:rPr>
                <w:sz w:val="24"/>
                <w:szCs w:val="24"/>
                <w:color w:val="auto"/>
              </w:rPr>
            </w:pPr>
          </w:p>
        </w:tc>
      </w:tr>
      <w:tr>
        <w:trPr>
          <w:trHeight w:val="272"/>
        </w:trPr>
        <w:tc>
          <w:tcPr>
            <w:tcW w:w="1620" w:type="dxa"/>
            <w:vAlign w:val="bottom"/>
          </w:tcPr>
          <w:p>
            <w:pPr>
              <w:ind w:left="520"/>
              <w:spacing w:after="0" w:line="161" w:lineRule="exact"/>
              <w:rPr>
                <w:sz w:val="20"/>
                <w:szCs w:val="20"/>
                <w:color w:val="auto"/>
              </w:rPr>
            </w:pPr>
            <w:r>
              <w:rPr>
                <w:rFonts w:ascii="MS PGothic" w:cs="MS PGothic" w:eastAsia="MS PGothic" w:hAnsi="MS PGothic"/>
                <w:sz w:val="16"/>
                <w:szCs w:val="16"/>
                <w:color w:val="auto"/>
              </w:rPr>
              <w:t>☒</w:t>
            </w:r>
          </w:p>
        </w:tc>
        <w:tc>
          <w:tcPr>
            <w:tcW w:w="9280" w:type="dxa"/>
            <w:vAlign w:val="bottom"/>
          </w:tcPr>
          <w:p>
            <w:pPr>
              <w:jc w:val="center"/>
              <w:ind w:right="670"/>
              <w:spacing w:after="0"/>
              <w:rPr>
                <w:sz w:val="20"/>
                <w:szCs w:val="20"/>
                <w:color w:val="auto"/>
              </w:rPr>
            </w:pPr>
            <w:r>
              <w:rPr>
                <w:rFonts w:ascii="Arial" w:cs="Arial" w:eastAsia="Arial" w:hAnsi="Arial"/>
                <w:sz w:val="16"/>
                <w:szCs w:val="16"/>
                <w:b w:val="1"/>
                <w:bCs w:val="1"/>
                <w:color w:val="auto"/>
              </w:rPr>
              <w:t>ANNUAL REPORT PURSUANT TO SECTION 15(d) OF THE SECURITIES EXCHANGE ACT OF 1934</w:t>
            </w:r>
          </w:p>
        </w:tc>
      </w:tr>
      <w:tr>
        <w:trPr>
          <w:trHeight w:val="350"/>
        </w:trPr>
        <w:tc>
          <w:tcPr>
            <w:tcW w:w="1620" w:type="dxa"/>
            <w:vAlign w:val="bottom"/>
          </w:tcPr>
          <w:p>
            <w:pPr>
              <w:spacing w:after="0"/>
              <w:rPr>
                <w:sz w:val="24"/>
                <w:szCs w:val="24"/>
                <w:color w:val="auto"/>
              </w:rPr>
            </w:pPr>
          </w:p>
        </w:tc>
        <w:tc>
          <w:tcPr>
            <w:tcW w:w="9280" w:type="dxa"/>
            <w:vAlign w:val="bottom"/>
          </w:tcPr>
          <w:p>
            <w:pPr>
              <w:jc w:val="center"/>
              <w:ind w:right="650"/>
              <w:spacing w:after="0"/>
              <w:rPr>
                <w:sz w:val="20"/>
                <w:szCs w:val="20"/>
                <w:color w:val="auto"/>
              </w:rPr>
            </w:pPr>
            <w:r>
              <w:rPr>
                <w:rFonts w:ascii="Arial" w:cs="Arial" w:eastAsia="Arial" w:hAnsi="Arial"/>
                <w:sz w:val="16"/>
                <w:szCs w:val="16"/>
                <w:b w:val="1"/>
                <w:bCs w:val="1"/>
                <w:color w:val="auto"/>
              </w:rPr>
              <w:t>For the fiscal year ended December 31, 2025</w:t>
            </w:r>
          </w:p>
        </w:tc>
      </w:tr>
      <w:tr>
        <w:trPr>
          <w:trHeight w:val="243"/>
        </w:trPr>
        <w:tc>
          <w:tcPr>
            <w:tcW w:w="1620" w:type="dxa"/>
            <w:vAlign w:val="bottom"/>
          </w:tcPr>
          <w:p>
            <w:pPr>
              <w:spacing w:after="0"/>
              <w:rPr>
                <w:sz w:val="21"/>
                <w:szCs w:val="21"/>
                <w:color w:val="auto"/>
              </w:rPr>
            </w:pPr>
          </w:p>
        </w:tc>
        <w:tc>
          <w:tcPr>
            <w:tcW w:w="9280" w:type="dxa"/>
            <w:vAlign w:val="bottom"/>
          </w:tcPr>
          <w:p>
            <w:pPr>
              <w:jc w:val="center"/>
              <w:ind w:right="670"/>
              <w:spacing w:after="0"/>
              <w:rPr>
                <w:sz w:val="20"/>
                <w:szCs w:val="20"/>
                <w:color w:val="auto"/>
              </w:rPr>
            </w:pPr>
            <w:r>
              <w:rPr>
                <w:rFonts w:ascii="Arial" w:cs="Arial" w:eastAsia="Arial" w:hAnsi="Arial"/>
                <w:sz w:val="16"/>
                <w:szCs w:val="16"/>
                <w:b w:val="1"/>
                <w:bCs w:val="1"/>
                <w:color w:val="auto"/>
                <w:w w:val="99"/>
              </w:rPr>
              <w:t>OR</w:t>
            </w:r>
          </w:p>
        </w:tc>
      </w:tr>
    </w:tbl>
    <w:p>
      <w:pPr>
        <w:spacing w:after="0" w:line="28" w:lineRule="exact"/>
        <w:rPr>
          <w:sz w:val="24"/>
          <w:szCs w:val="24"/>
          <w:color w:val="auto"/>
        </w:rPr>
      </w:pPr>
    </w:p>
    <w:p>
      <w:pPr>
        <w:jc w:val="center"/>
        <w:ind w:left="4040" w:right="1180" w:hanging="3521"/>
        <w:spacing w:after="0" w:line="516" w:lineRule="auto"/>
        <w:tabs>
          <w:tab w:leader="none" w:pos="1929"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15(d) OF THE SECURITIES EXCHANGE ACT OF 1934 For the transition period from_______to_______</w:t>
      </w:r>
    </w:p>
    <w:p>
      <w:pPr>
        <w:spacing w:after="0" w:line="20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Commission File Number: 001-37552</w:t>
      </w:r>
    </w:p>
    <w:p>
      <w:pPr>
        <w:spacing w:after="0" w:line="200" w:lineRule="exact"/>
        <w:rPr>
          <w:sz w:val="24"/>
          <w:szCs w:val="24"/>
          <w:color w:val="auto"/>
        </w:rPr>
      </w:pPr>
    </w:p>
    <w:p>
      <w:pPr>
        <w:spacing w:after="0" w:line="26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WillScot 401(k) Plan</w:t>
      </w:r>
    </w:p>
    <w:p>
      <w:pPr>
        <w:spacing w:after="0" w:line="8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(Full title of plan)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2546985</wp:posOffset>
            </wp:positionH>
            <wp:positionV relativeFrom="paragraph">
              <wp:posOffset>156210</wp:posOffset>
            </wp:positionV>
            <wp:extent cx="1834515" cy="6172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34515" cy="6172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9"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WillScot Holdings Corporation</w:t>
      </w:r>
    </w:p>
    <w:p>
      <w:pPr>
        <w:spacing w:after="0" w:line="7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(Name of the issuer of the securities held pursuant to the plan)</w:t>
      </w:r>
    </w:p>
    <w:p>
      <w:pPr>
        <w:spacing w:after="0" w:line="230" w:lineRule="exact"/>
        <w:rPr>
          <w:sz w:val="24"/>
          <w:szCs w:val="24"/>
          <w:color w:val="auto"/>
        </w:rPr>
      </w:pPr>
    </w:p>
    <w:p>
      <w:pPr>
        <w:ind w:left="4060"/>
        <w:spacing w:after="0"/>
        <w:rPr>
          <w:sz w:val="20"/>
          <w:szCs w:val="20"/>
          <w:color w:val="auto"/>
        </w:rPr>
      </w:pPr>
      <w:r>
        <w:rPr>
          <w:rFonts w:ascii="Arial" w:cs="Arial" w:eastAsia="Arial" w:hAnsi="Arial"/>
          <w:sz w:val="16"/>
          <w:szCs w:val="16"/>
          <w:b w:val="1"/>
          <w:bCs w:val="1"/>
          <w:color w:val="auto"/>
        </w:rPr>
        <w:t>6400 East McDowell Road, Suite 300</w:t>
      </w:r>
    </w:p>
    <w:p>
      <w:pPr>
        <w:spacing w:after="0" w:line="27" w:lineRule="exact"/>
        <w:rPr>
          <w:sz w:val="24"/>
          <w:szCs w:val="24"/>
          <w:color w:val="auto"/>
        </w:rPr>
      </w:pPr>
    </w:p>
    <w:p>
      <w:pPr>
        <w:ind w:left="4460"/>
        <w:spacing w:after="0"/>
        <w:rPr>
          <w:sz w:val="20"/>
          <w:szCs w:val="20"/>
          <w:color w:val="auto"/>
        </w:rPr>
      </w:pPr>
      <w:r>
        <w:rPr>
          <w:rFonts w:ascii="Arial" w:cs="Arial" w:eastAsia="Arial" w:hAnsi="Arial"/>
          <w:sz w:val="16"/>
          <w:szCs w:val="16"/>
          <w:b w:val="1"/>
          <w:bCs w:val="1"/>
          <w:color w:val="auto"/>
        </w:rPr>
        <w:t>Scottsdale, Arizona 85257</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(Address of principal executive office of the issuer)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-130810</wp:posOffset>
            </wp:positionH>
            <wp:positionV relativeFrom="paragraph">
              <wp:posOffset>3375660</wp:posOffset>
            </wp:positionV>
            <wp:extent cx="71831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83120" cy="4254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190500</wp:posOffset>
            </wp:positionV>
            <wp:extent cx="69176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17690" cy="88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250825</wp:posOffset>
            </wp:positionV>
            <wp:extent cx="69176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17690" cy="8255"/>
                    </a:xfrm>
                    <a:prstGeom prst="rect">
                      <a:avLst/>
                    </a:prstGeom>
                    <a:noFill/>
                  </pic:spPr>
                </pic:pic>
              </a:graphicData>
            </a:graphic>
          </wp:anchor>
        </w:drawing>
      </w:r>
    </w:p>
    <w:p>
      <w:pPr>
        <w:sectPr>
          <w:pgSz w:w="11920" w:h="16838" w:orient="portrait"/>
          <w:cols w:equalWidth="0" w:num="1">
            <w:col w:w="10900"/>
          </w:cols>
          <w:pgMar w:left="520" w:top="1429" w:right="498" w:bottom="1440" w:gutter="0" w:footer="0" w:header="0"/>
        </w:sectPr>
      </w:pPr>
    </w:p>
    <w:bookmarkStart w:id="1" w:name="page2"/>
    <w:bookmarkEnd w:id="1"/>
    <w:p>
      <w:pPr>
        <w:jc w:val="center"/>
        <w:spacing w:after="0"/>
        <w:rPr>
          <w:sz w:val="20"/>
          <w:szCs w:val="20"/>
          <w:color w:val="auto"/>
        </w:rPr>
      </w:pPr>
      <w:r>
        <w:rPr>
          <w:rFonts w:ascii="Arial" w:cs="Arial" w:eastAsia="Arial" w:hAnsi="Arial"/>
          <w:sz w:val="22"/>
          <w:szCs w:val="22"/>
          <w:b w:val="1"/>
          <w:bCs w:val="1"/>
          <w:color w:val="1D2758"/>
        </w:rPr>
        <w:t>WILLSCOT 401(k) PLAN</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1D2758"/>
        </w:rPr>
        <w:t>Financial Statements and Supplemental Schedule</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1D2758"/>
        </w:rPr>
        <w:t>As of December 31, 2025 and 2024</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2"/>
          <w:szCs w:val="22"/>
          <w:color w:val="1D2758"/>
        </w:rPr>
        <w:t>Table of Contents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343"/>
        </w:trPr>
        <w:tc>
          <w:tcPr>
            <w:tcW w:w="8080" w:type="dxa"/>
            <w:vAlign w:val="bottom"/>
            <w:shd w:val="clear" w:color="auto" w:fill="DBDBDB"/>
          </w:tcPr>
          <w:p>
            <w:pPr>
              <w:ind w:left="20"/>
              <w:spacing w:after="0"/>
              <w:rPr>
                <w:sz w:val="20"/>
                <w:szCs w:val="20"/>
                <w:color w:val="auto"/>
              </w:rPr>
            </w:pPr>
            <w:r>
              <w:rPr>
                <w:rFonts w:ascii="Arial" w:cs="Arial" w:eastAsia="Arial" w:hAnsi="Arial"/>
                <w:sz w:val="16"/>
                <w:szCs w:val="16"/>
                <w:b w:val="1"/>
                <w:bCs w:val="1"/>
                <w:color w:val="auto"/>
              </w:rPr>
              <w:t>REPORT OF INDEPENDENT REGISTERED PUBLIC ACCOUNTING FIRM</w:t>
            </w:r>
          </w:p>
        </w:tc>
        <w:tc>
          <w:tcPr>
            <w:tcW w:w="3180" w:type="dxa"/>
            <w:vAlign w:val="bottom"/>
            <w:shd w:val="clear" w:color="auto" w:fill="DBDBDB"/>
          </w:tcPr>
          <w:p>
            <w:pPr>
              <w:jc w:val="center"/>
              <w:ind w:left="2139"/>
              <w:spacing w:after="0"/>
              <w:rPr>
                <w:sz w:val="20"/>
                <w:szCs w:val="20"/>
                <w:color w:val="auto"/>
              </w:rPr>
            </w:pPr>
            <w:r>
              <w:rPr>
                <w:rFonts w:ascii="Arial" w:cs="Arial" w:eastAsia="Arial" w:hAnsi="Arial"/>
                <w:sz w:val="16"/>
                <w:szCs w:val="16"/>
                <w:color w:val="auto"/>
                <w:w w:val="89"/>
              </w:rPr>
              <w:t>1</w:t>
            </w:r>
          </w:p>
        </w:tc>
      </w:tr>
      <w:tr>
        <w:trPr>
          <w:trHeight w:val="116"/>
        </w:trPr>
        <w:tc>
          <w:tcPr>
            <w:tcW w:w="8080" w:type="dxa"/>
            <w:vAlign w:val="bottom"/>
            <w:shd w:val="clear" w:color="auto" w:fill="DBDBDB"/>
          </w:tcPr>
          <w:p>
            <w:pPr>
              <w:spacing w:after="0"/>
              <w:rPr>
                <w:sz w:val="10"/>
                <w:szCs w:val="10"/>
                <w:color w:val="auto"/>
              </w:rPr>
            </w:pPr>
          </w:p>
        </w:tc>
        <w:tc>
          <w:tcPr>
            <w:tcW w:w="3180" w:type="dxa"/>
            <w:vAlign w:val="bottom"/>
            <w:shd w:val="clear" w:color="auto" w:fill="DBDBDB"/>
          </w:tcPr>
          <w:p>
            <w:pPr>
              <w:spacing w:after="0"/>
              <w:rPr>
                <w:sz w:val="10"/>
                <w:szCs w:val="10"/>
                <w:color w:val="auto"/>
              </w:rPr>
            </w:pPr>
          </w:p>
        </w:tc>
      </w:tr>
      <w:tr>
        <w:trPr>
          <w:trHeight w:val="216"/>
        </w:trPr>
        <w:tc>
          <w:tcPr>
            <w:tcW w:w="8080" w:type="dxa"/>
            <w:vAlign w:val="bottom"/>
          </w:tcPr>
          <w:p>
            <w:pPr>
              <w:spacing w:after="0"/>
              <w:rPr>
                <w:sz w:val="18"/>
                <w:szCs w:val="18"/>
                <w:color w:val="auto"/>
              </w:rPr>
            </w:pPr>
          </w:p>
        </w:tc>
        <w:tc>
          <w:tcPr>
            <w:tcW w:w="3180" w:type="dxa"/>
            <w:vAlign w:val="bottom"/>
          </w:tcPr>
          <w:p>
            <w:pPr>
              <w:spacing w:after="0"/>
              <w:rPr>
                <w:sz w:val="18"/>
                <w:szCs w:val="18"/>
                <w:color w:val="auto"/>
              </w:rPr>
            </w:pPr>
          </w:p>
        </w:tc>
      </w:tr>
      <w:tr>
        <w:trPr>
          <w:trHeight w:val="237"/>
        </w:trPr>
        <w:tc>
          <w:tcPr>
            <w:tcW w:w="80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b w:val="1"/>
                <w:bCs w:val="1"/>
                <w:color w:val="auto"/>
              </w:rPr>
              <w:t>FINANCIAL STATEMENTS</w:t>
            </w:r>
          </w:p>
        </w:tc>
        <w:tc>
          <w:tcPr>
            <w:tcW w:w="3180" w:type="dxa"/>
            <w:vAlign w:val="bottom"/>
            <w:tcBorders>
              <w:bottom w:val="single" w:sz="8" w:color="DBDBDB"/>
            </w:tcBorders>
            <w:shd w:val="clear" w:color="auto" w:fill="DBDBDB"/>
          </w:tcPr>
          <w:p>
            <w:pPr>
              <w:spacing w:after="0"/>
              <w:rPr>
                <w:sz w:val="20"/>
                <w:szCs w:val="20"/>
                <w:color w:val="auto"/>
              </w:rPr>
            </w:pPr>
          </w:p>
        </w:tc>
      </w:tr>
      <w:tr>
        <w:trPr>
          <w:trHeight w:val="235"/>
        </w:trPr>
        <w:tc>
          <w:tcPr>
            <w:tcW w:w="8080" w:type="dxa"/>
            <w:vAlign w:val="bottom"/>
          </w:tcPr>
          <w:p>
            <w:pPr>
              <w:ind w:left="220"/>
              <w:spacing w:after="0"/>
              <w:rPr>
                <w:sz w:val="20"/>
                <w:szCs w:val="20"/>
                <w:color w:val="auto"/>
              </w:rPr>
            </w:pPr>
            <w:r>
              <w:rPr>
                <w:rFonts w:ascii="Arial" w:cs="Arial" w:eastAsia="Arial" w:hAnsi="Arial"/>
                <w:sz w:val="16"/>
                <w:szCs w:val="16"/>
                <w:color w:val="auto"/>
              </w:rPr>
              <w:t>Statements of Net Assets Available for Benefits</w:t>
            </w:r>
          </w:p>
        </w:tc>
        <w:tc>
          <w:tcPr>
            <w:tcW w:w="3180" w:type="dxa"/>
            <w:vAlign w:val="bottom"/>
          </w:tcPr>
          <w:p>
            <w:pPr>
              <w:jc w:val="center"/>
              <w:ind w:left="2139"/>
              <w:spacing w:after="0"/>
              <w:rPr>
                <w:sz w:val="20"/>
                <w:szCs w:val="20"/>
                <w:color w:val="auto"/>
              </w:rPr>
            </w:pPr>
            <w:r>
              <w:rPr>
                <w:rFonts w:ascii="Arial" w:cs="Arial" w:eastAsia="Arial" w:hAnsi="Arial"/>
                <w:sz w:val="16"/>
                <w:szCs w:val="16"/>
                <w:color w:val="auto"/>
                <w:w w:val="89"/>
              </w:rPr>
              <w:t>2</w:t>
            </w:r>
          </w:p>
        </w:tc>
      </w:tr>
      <w:tr>
        <w:trPr>
          <w:trHeight w:val="251"/>
        </w:trPr>
        <w:tc>
          <w:tcPr>
            <w:tcW w:w="8080" w:type="dxa"/>
            <w:vAlign w:val="bottom"/>
            <w:shd w:val="clear" w:color="auto" w:fill="DBDBDB"/>
          </w:tcPr>
          <w:p>
            <w:pPr>
              <w:ind w:left="220"/>
              <w:spacing w:after="0"/>
              <w:rPr>
                <w:sz w:val="20"/>
                <w:szCs w:val="20"/>
                <w:color w:val="auto"/>
              </w:rPr>
            </w:pPr>
            <w:r>
              <w:rPr>
                <w:rFonts w:ascii="Arial" w:cs="Arial" w:eastAsia="Arial" w:hAnsi="Arial"/>
                <w:sz w:val="16"/>
                <w:szCs w:val="16"/>
                <w:color w:val="auto"/>
              </w:rPr>
              <w:t>Statement of Changes in Net Assets Available for Benefits</w:t>
            </w:r>
          </w:p>
        </w:tc>
        <w:tc>
          <w:tcPr>
            <w:tcW w:w="3180" w:type="dxa"/>
            <w:vAlign w:val="bottom"/>
            <w:shd w:val="clear" w:color="auto" w:fill="DBDBDB"/>
          </w:tcPr>
          <w:p>
            <w:pPr>
              <w:jc w:val="center"/>
              <w:ind w:left="2139"/>
              <w:spacing w:after="0"/>
              <w:rPr>
                <w:sz w:val="20"/>
                <w:szCs w:val="20"/>
                <w:color w:val="auto"/>
              </w:rPr>
            </w:pPr>
            <w:r>
              <w:rPr>
                <w:rFonts w:ascii="Arial" w:cs="Arial" w:eastAsia="Arial" w:hAnsi="Arial"/>
                <w:sz w:val="16"/>
                <w:szCs w:val="16"/>
                <w:color w:val="auto"/>
                <w:w w:val="89"/>
              </w:rPr>
              <w:t>3</w:t>
            </w:r>
          </w:p>
        </w:tc>
      </w:tr>
      <w:tr>
        <w:trPr>
          <w:trHeight w:val="228"/>
        </w:trPr>
        <w:tc>
          <w:tcPr>
            <w:tcW w:w="8080" w:type="dxa"/>
            <w:vAlign w:val="bottom"/>
          </w:tcPr>
          <w:p>
            <w:pPr>
              <w:ind w:left="220"/>
              <w:spacing w:after="0"/>
              <w:rPr>
                <w:sz w:val="20"/>
                <w:szCs w:val="20"/>
                <w:color w:val="auto"/>
              </w:rPr>
            </w:pPr>
            <w:r>
              <w:rPr>
                <w:rFonts w:ascii="Arial" w:cs="Arial" w:eastAsia="Arial" w:hAnsi="Arial"/>
                <w:sz w:val="16"/>
                <w:szCs w:val="16"/>
                <w:color w:val="auto"/>
              </w:rPr>
              <w:t>Notes to the Financial Statements</w:t>
            </w:r>
          </w:p>
        </w:tc>
        <w:tc>
          <w:tcPr>
            <w:tcW w:w="3180" w:type="dxa"/>
            <w:vAlign w:val="bottom"/>
          </w:tcPr>
          <w:p>
            <w:pPr>
              <w:jc w:val="center"/>
              <w:ind w:left="2139"/>
              <w:spacing w:after="0"/>
              <w:rPr>
                <w:sz w:val="20"/>
                <w:szCs w:val="20"/>
                <w:color w:val="auto"/>
              </w:rPr>
            </w:pPr>
            <w:r>
              <w:rPr>
                <w:rFonts w:ascii="Arial" w:cs="Arial" w:eastAsia="Arial" w:hAnsi="Arial"/>
                <w:sz w:val="16"/>
                <w:szCs w:val="16"/>
                <w:color w:val="auto"/>
                <w:w w:val="89"/>
              </w:rPr>
              <w:t>4</w:t>
            </w:r>
          </w:p>
        </w:tc>
      </w:tr>
      <w:tr>
        <w:trPr>
          <w:trHeight w:val="29"/>
        </w:trPr>
        <w:tc>
          <w:tcPr>
            <w:tcW w:w="8080" w:type="dxa"/>
            <w:vAlign w:val="bottom"/>
          </w:tcPr>
          <w:p>
            <w:pPr>
              <w:spacing w:after="0"/>
              <w:rPr>
                <w:sz w:val="2"/>
                <w:szCs w:val="2"/>
                <w:color w:val="auto"/>
              </w:rPr>
            </w:pPr>
          </w:p>
        </w:tc>
        <w:tc>
          <w:tcPr>
            <w:tcW w:w="3180" w:type="dxa"/>
            <w:vAlign w:val="bottom"/>
          </w:tcPr>
          <w:p>
            <w:pPr>
              <w:spacing w:after="0"/>
              <w:rPr>
                <w:sz w:val="2"/>
                <w:szCs w:val="2"/>
                <w:color w:val="auto"/>
              </w:rPr>
            </w:pPr>
          </w:p>
        </w:tc>
      </w:tr>
      <w:tr>
        <w:trPr>
          <w:trHeight w:val="216"/>
        </w:trPr>
        <w:tc>
          <w:tcPr>
            <w:tcW w:w="8080" w:type="dxa"/>
            <w:vAlign w:val="bottom"/>
            <w:shd w:val="clear" w:color="auto" w:fill="DBDBDB"/>
          </w:tcPr>
          <w:p>
            <w:pPr>
              <w:spacing w:after="0"/>
              <w:rPr>
                <w:sz w:val="18"/>
                <w:szCs w:val="18"/>
                <w:color w:val="auto"/>
              </w:rPr>
            </w:pPr>
          </w:p>
        </w:tc>
        <w:tc>
          <w:tcPr>
            <w:tcW w:w="3180" w:type="dxa"/>
            <w:vAlign w:val="bottom"/>
            <w:shd w:val="clear" w:color="auto" w:fill="DBDBDB"/>
          </w:tcPr>
          <w:p>
            <w:pPr>
              <w:spacing w:after="0"/>
              <w:rPr>
                <w:sz w:val="18"/>
                <w:szCs w:val="18"/>
                <w:color w:val="auto"/>
              </w:rPr>
            </w:pPr>
          </w:p>
        </w:tc>
      </w:tr>
      <w:tr>
        <w:trPr>
          <w:trHeight w:val="239"/>
        </w:trPr>
        <w:tc>
          <w:tcPr>
            <w:tcW w:w="8080" w:type="dxa"/>
            <w:vAlign w:val="bottom"/>
          </w:tcPr>
          <w:p>
            <w:pPr>
              <w:ind w:left="20"/>
              <w:spacing w:after="0"/>
              <w:rPr>
                <w:sz w:val="20"/>
                <w:szCs w:val="20"/>
                <w:color w:val="auto"/>
              </w:rPr>
            </w:pPr>
            <w:r>
              <w:rPr>
                <w:rFonts w:ascii="Arial" w:cs="Arial" w:eastAsia="Arial" w:hAnsi="Arial"/>
                <w:sz w:val="16"/>
                <w:szCs w:val="16"/>
                <w:b w:val="1"/>
                <w:bCs w:val="1"/>
                <w:color w:val="auto"/>
              </w:rPr>
              <w:t>SUPPLEMENTAL SCHEDULE</w:t>
            </w:r>
          </w:p>
        </w:tc>
        <w:tc>
          <w:tcPr>
            <w:tcW w:w="3180" w:type="dxa"/>
            <w:vAlign w:val="bottom"/>
          </w:tcPr>
          <w:p>
            <w:pPr>
              <w:spacing w:after="0"/>
              <w:rPr>
                <w:sz w:val="20"/>
                <w:szCs w:val="20"/>
                <w:color w:val="auto"/>
              </w:rPr>
            </w:pPr>
          </w:p>
        </w:tc>
      </w:tr>
      <w:tr>
        <w:trPr>
          <w:trHeight w:val="240"/>
        </w:trPr>
        <w:tc>
          <w:tcPr>
            <w:tcW w:w="8080" w:type="dxa"/>
            <w:vAlign w:val="bottom"/>
            <w:tcBorders>
              <w:bottom w:val="single" w:sz="8" w:color="DBDBDB"/>
            </w:tcBorders>
            <w:shd w:val="clear" w:color="auto" w:fill="DBDBDB"/>
          </w:tcPr>
          <w:p>
            <w:pPr>
              <w:ind w:left="220"/>
              <w:spacing w:after="0"/>
              <w:rPr>
                <w:sz w:val="20"/>
                <w:szCs w:val="20"/>
                <w:color w:val="auto"/>
              </w:rPr>
            </w:pPr>
            <w:r>
              <w:rPr>
                <w:rFonts w:ascii="Arial" w:cs="Arial" w:eastAsia="Arial" w:hAnsi="Arial"/>
                <w:sz w:val="16"/>
                <w:szCs w:val="16"/>
                <w:color w:val="auto"/>
              </w:rPr>
              <w:t>Schedule H, Line 4i- Schedule of Assets (Held at End of Year)</w:t>
            </w:r>
          </w:p>
        </w:tc>
        <w:tc>
          <w:tcPr>
            <w:tcW w:w="3180" w:type="dxa"/>
            <w:vAlign w:val="bottom"/>
            <w:tcBorders>
              <w:bottom w:val="single" w:sz="8" w:color="DBDBDB"/>
            </w:tcBorders>
            <w:shd w:val="clear" w:color="auto" w:fill="DBDBDB"/>
          </w:tcPr>
          <w:p>
            <w:pPr>
              <w:jc w:val="center"/>
              <w:ind w:left="2139"/>
              <w:spacing w:after="0"/>
              <w:rPr>
                <w:sz w:val="20"/>
                <w:szCs w:val="20"/>
                <w:color w:val="auto"/>
              </w:rPr>
            </w:pPr>
            <w:r>
              <w:rPr>
                <w:rFonts w:ascii="Arial" w:cs="Arial" w:eastAsia="Arial" w:hAnsi="Arial"/>
                <w:sz w:val="16"/>
                <w:szCs w:val="16"/>
                <w:color w:val="auto"/>
                <w:w w:val="89"/>
              </w:rPr>
              <w:t>9</w:t>
            </w:r>
          </w:p>
        </w:tc>
      </w:tr>
      <w:tr>
        <w:trPr>
          <w:trHeight w:val="239"/>
        </w:trPr>
        <w:tc>
          <w:tcPr>
            <w:tcW w:w="8080" w:type="dxa"/>
            <w:vAlign w:val="bottom"/>
          </w:tcPr>
          <w:p>
            <w:pPr>
              <w:ind w:left="20"/>
              <w:spacing w:after="0"/>
              <w:rPr>
                <w:sz w:val="20"/>
                <w:szCs w:val="20"/>
                <w:color w:val="auto"/>
              </w:rPr>
            </w:pPr>
            <w:r>
              <w:rPr>
                <w:rFonts w:ascii="Arial" w:cs="Arial" w:eastAsia="Arial" w:hAnsi="Arial"/>
                <w:sz w:val="16"/>
                <w:szCs w:val="16"/>
                <w:b w:val="1"/>
                <w:bCs w:val="1"/>
                <w:color w:val="auto"/>
              </w:rPr>
              <w:t>EXHIBIT INDEX</w:t>
            </w:r>
          </w:p>
        </w:tc>
        <w:tc>
          <w:tcPr>
            <w:tcW w:w="3180" w:type="dxa"/>
            <w:vAlign w:val="bottom"/>
          </w:tcPr>
          <w:p>
            <w:pPr>
              <w:jc w:val="center"/>
              <w:ind w:left="2119"/>
              <w:spacing w:after="0"/>
              <w:rPr>
                <w:sz w:val="20"/>
                <w:szCs w:val="20"/>
                <w:color w:val="auto"/>
              </w:rPr>
            </w:pPr>
            <w:r>
              <w:rPr>
                <w:rFonts w:ascii="Arial" w:cs="Arial" w:eastAsia="Arial" w:hAnsi="Arial"/>
                <w:sz w:val="16"/>
                <w:szCs w:val="16"/>
                <w:color w:val="auto"/>
              </w:rPr>
              <w:t>10</w:t>
            </w:r>
          </w:p>
        </w:tc>
      </w:tr>
      <w:tr>
        <w:trPr>
          <w:trHeight w:val="247"/>
        </w:trPr>
        <w:tc>
          <w:tcPr>
            <w:tcW w:w="8080" w:type="dxa"/>
            <w:vAlign w:val="bottom"/>
            <w:shd w:val="clear" w:color="auto" w:fill="DBDBDB"/>
          </w:tcPr>
          <w:p>
            <w:pPr>
              <w:ind w:left="20"/>
              <w:spacing w:after="0"/>
              <w:rPr>
                <w:sz w:val="20"/>
                <w:szCs w:val="20"/>
                <w:color w:val="auto"/>
              </w:rPr>
            </w:pPr>
            <w:r>
              <w:rPr>
                <w:rFonts w:ascii="Arial" w:cs="Arial" w:eastAsia="Arial" w:hAnsi="Arial"/>
                <w:sz w:val="16"/>
                <w:szCs w:val="16"/>
                <w:b w:val="1"/>
                <w:bCs w:val="1"/>
                <w:color w:val="auto"/>
              </w:rPr>
              <w:t>SIGNATURE</w:t>
            </w:r>
          </w:p>
        </w:tc>
        <w:tc>
          <w:tcPr>
            <w:tcW w:w="3180" w:type="dxa"/>
            <w:vAlign w:val="bottom"/>
            <w:shd w:val="clear" w:color="auto" w:fill="DBDBDB"/>
          </w:tcPr>
          <w:p>
            <w:pPr>
              <w:jc w:val="center"/>
              <w:ind w:left="2139"/>
              <w:spacing w:after="0"/>
              <w:rPr>
                <w:sz w:val="20"/>
                <w:szCs w:val="20"/>
                <w:color w:val="auto"/>
              </w:rPr>
            </w:pPr>
            <w:r>
              <w:rPr>
                <w:rFonts w:ascii="Arial" w:cs="Arial" w:eastAsia="Arial" w:hAnsi="Arial"/>
                <w:sz w:val="16"/>
                <w:szCs w:val="16"/>
                <w:color w:val="auto"/>
                <w:w w:val="89"/>
              </w:rPr>
              <w:t>11</w:t>
            </w:r>
          </w:p>
        </w:tc>
      </w:tr>
      <w:tr>
        <w:trPr>
          <w:trHeight w:val="1424"/>
        </w:trPr>
        <w:tc>
          <w:tcPr>
            <w:tcW w:w="8080" w:type="dxa"/>
            <w:vAlign w:val="bottom"/>
            <w:tcBorders>
              <w:bottom w:val="single" w:sz="8" w:color="9A9A9A"/>
            </w:tcBorders>
          </w:tcPr>
          <w:p>
            <w:pPr>
              <w:spacing w:after="0"/>
              <w:rPr>
                <w:sz w:val="24"/>
                <w:szCs w:val="24"/>
                <w:color w:val="auto"/>
              </w:rPr>
            </w:pPr>
          </w:p>
        </w:tc>
        <w:tc>
          <w:tcPr>
            <w:tcW w:w="3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7132320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20" w:h="16838" w:orient="portrait"/>
          <w:cols w:equalWidth="0" w:num="1">
            <w:col w:w="11260"/>
          </w:cols>
          <w:pgMar w:left="340" w:top="1084" w:right="318"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211455</wp:posOffset>
            </wp:positionH>
            <wp:positionV relativeFrom="page">
              <wp:posOffset>702945</wp:posOffset>
            </wp:positionV>
            <wp:extent cx="1834515" cy="6515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834515"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2900"/>
        <w:spacing w:after="0"/>
        <w:rPr>
          <w:sz w:val="20"/>
          <w:szCs w:val="20"/>
          <w:color w:val="auto"/>
        </w:rPr>
      </w:pPr>
      <w:r>
        <w:rPr>
          <w:rFonts w:ascii="Arial" w:cs="Arial" w:eastAsia="Arial" w:hAnsi="Arial"/>
          <w:sz w:val="16"/>
          <w:szCs w:val="16"/>
          <w:b w:val="1"/>
          <w:bCs w:val="1"/>
          <w:color w:val="auto"/>
        </w:rPr>
        <w:t>REPORT OF INDEPENDENT REGISTERED PUBLIC ACCOUNTING FIRM</w:t>
      </w:r>
    </w:p>
    <w:p>
      <w:pPr>
        <w:spacing w:after="0" w:line="250" w:lineRule="exact"/>
        <w:rPr>
          <w:sz w:val="20"/>
          <w:szCs w:val="20"/>
          <w:color w:val="auto"/>
        </w:rPr>
      </w:pPr>
    </w:p>
    <w:p>
      <w:pPr>
        <w:ind w:right="5500"/>
        <w:spacing w:after="0" w:line="291" w:lineRule="auto"/>
        <w:rPr>
          <w:sz w:val="20"/>
          <w:szCs w:val="20"/>
          <w:color w:val="auto"/>
        </w:rPr>
      </w:pPr>
      <w:r>
        <w:rPr>
          <w:rFonts w:ascii="Arial" w:cs="Arial" w:eastAsia="Arial" w:hAnsi="Arial"/>
          <w:sz w:val="16"/>
          <w:szCs w:val="16"/>
          <w:color w:val="auto"/>
        </w:rPr>
        <w:t>WillScot Holdings Corporation Retirement Plan Committee and Plan Participants WillScot 401(k) Plan</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Opinion on the Financial Statements</w:t>
      </w:r>
    </w:p>
    <w:p>
      <w:pPr>
        <w:spacing w:after="0" w:line="235"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We have audited the accompanying statements of net assets available for benefits of the WillScot 401(k) Plan (the Plan) as of December 31, 2025 and 2024, the related statement of changes in net assets available for benefits for the year ended December 31, 2025, and the related notes and schedule (collectively referred to as the financial statements). In our opinion, the financial statements present fairly, in all material respects, the net assets available for benefits of the Plan as of December 31, 2025 and 2024, and the changes in net assets available for benefits for the year ended December 31, 2025, in conformity with accounting principles generally accepted in the United States of America.</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Basis for Opinion</w:t>
      </w:r>
    </w:p>
    <w:p>
      <w:pPr>
        <w:spacing w:after="0" w:line="248"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These financial statements are the responsibility of the Plan’s management. Our responsibility is to express an opinion on these financial statements based on our audits. We are a public accounting firm registered with the Public Company Accounting Oversight Board (United States) ("PCAOB") and are required to be independent with respect to the Plan in accordance with the U.S. Federal securities laws and the applicable rules and regulations of the Securities and Exchange Commission and the PCAOB.</w:t>
      </w:r>
    </w:p>
    <w:p>
      <w:pPr>
        <w:spacing w:after="0" w:line="208"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w:t>
      </w:r>
    </w:p>
    <w:p>
      <w:pPr>
        <w:spacing w:after="0" w:line="187"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Supplemental Information</w:t>
      </w:r>
    </w:p>
    <w:p>
      <w:pPr>
        <w:spacing w:after="0" w:line="250" w:lineRule="exact"/>
        <w:rPr>
          <w:sz w:val="20"/>
          <w:szCs w:val="20"/>
          <w:color w:val="auto"/>
        </w:rPr>
      </w:pPr>
    </w:p>
    <w:p>
      <w:pPr>
        <w:jc w:val="both"/>
        <w:spacing w:after="0" w:line="242" w:lineRule="auto"/>
        <w:rPr>
          <w:sz w:val="20"/>
          <w:szCs w:val="20"/>
          <w:color w:val="auto"/>
        </w:rPr>
      </w:pPr>
      <w:r>
        <w:rPr>
          <w:rFonts w:ascii="Arial" w:cs="Arial" w:eastAsia="Arial" w:hAnsi="Arial"/>
          <w:sz w:val="16"/>
          <w:szCs w:val="16"/>
          <w:color w:val="auto"/>
        </w:rPr>
        <w:t>The supplemental information in the accompanying Schedule H, Line 4i – Schedule of Assets (Held at End of Year) as of December 31, 2025, has been subjected to audit procedures performed in conjunction with the audits of the Plan’s financial statements. The supplemental information is the responsibility of the Plan’s management. Our audit procedures included determining whether the supplemental information reconciles to the financial statements or the underlying accounting and other records, as applicable, and performing procedures to test the completeness and accuracy of the information presented in the supplemental information. In forming our opinion on the supplemental information, we evaluated whether the supplemental information, including its form and content, is presented in conformity with the Department of Labor’s Rules and Regulations for Reporting and Disclosure under the Employee Retirement Income Security Act of 1974. In our opinion, the supplemental information is fairly stated, in all material respects, in relation to the financial statements as a whole.</w:t>
      </w:r>
    </w:p>
    <w:p>
      <w:pPr>
        <w:spacing w:after="0" w:line="389" w:lineRule="exact"/>
        <w:rPr>
          <w:sz w:val="20"/>
          <w:szCs w:val="20"/>
          <w:color w:val="auto"/>
        </w:rPr>
      </w:pPr>
    </w:p>
    <w:p>
      <w:pPr>
        <w:spacing w:after="0"/>
        <w:rPr>
          <w:sz w:val="20"/>
          <w:szCs w:val="20"/>
          <w:color w:val="auto"/>
        </w:rPr>
      </w:pPr>
      <w:r>
        <w:rPr>
          <w:rFonts w:ascii="Arial" w:cs="Arial" w:eastAsia="Arial" w:hAnsi="Arial"/>
          <w:sz w:val="16"/>
          <w:szCs w:val="16"/>
          <w:color w:val="auto"/>
        </w:rPr>
        <w:t>We have served as the Plan's auditor since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5499100</wp:posOffset>
            </wp:positionH>
            <wp:positionV relativeFrom="paragraph">
              <wp:posOffset>212090</wp:posOffset>
            </wp:positionV>
            <wp:extent cx="1645920" cy="3683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45920" cy="368300"/>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p>
      <w:pPr>
        <w:ind w:left="20"/>
        <w:spacing w:after="0"/>
        <w:rPr>
          <w:sz w:val="20"/>
          <w:szCs w:val="20"/>
          <w:color w:val="auto"/>
        </w:rPr>
      </w:pPr>
      <w:r>
        <w:rPr>
          <w:rFonts w:ascii="Arial" w:cs="Arial" w:eastAsia="Arial" w:hAnsi="Arial"/>
          <w:sz w:val="16"/>
          <w:szCs w:val="16"/>
          <w:color w:val="auto"/>
        </w:rPr>
        <w:t>Owings Mills, Maryland</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color w:val="auto"/>
        </w:rPr>
        <w:t>June 25,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6"/>
          <w:szCs w:val="16"/>
          <w:color w:val="1F487C"/>
        </w:rPr>
        <w:t xml:space="preserve">10200 Grand Central Avenue </w:t>
      </w:r>
      <w:r>
        <w:rPr>
          <w:rFonts w:ascii="Arial" w:cs="Arial" w:eastAsia="Arial" w:hAnsi="Arial"/>
          <w:sz w:val="16"/>
          <w:szCs w:val="16"/>
          <w:color w:val="C0C0C0"/>
        </w:rPr>
        <w:t>·</w:t>
      </w:r>
      <w:r>
        <w:rPr>
          <w:rFonts w:ascii="Arial" w:cs="Arial" w:eastAsia="Arial" w:hAnsi="Arial"/>
          <w:sz w:val="16"/>
          <w:szCs w:val="16"/>
          <w:color w:val="1F487C"/>
        </w:rPr>
        <w:t xml:space="preserve"> Suite 250 </w:t>
      </w:r>
      <w:r>
        <w:rPr>
          <w:rFonts w:ascii="Arial" w:cs="Arial" w:eastAsia="Arial" w:hAnsi="Arial"/>
          <w:sz w:val="16"/>
          <w:szCs w:val="16"/>
          <w:color w:val="C0C0C0"/>
        </w:rPr>
        <w:t>·</w:t>
      </w:r>
      <w:r>
        <w:rPr>
          <w:rFonts w:ascii="Arial" w:cs="Arial" w:eastAsia="Arial" w:hAnsi="Arial"/>
          <w:sz w:val="16"/>
          <w:szCs w:val="16"/>
          <w:color w:val="1F487C"/>
        </w:rPr>
        <w:t xml:space="preserve"> Owings Mills </w:t>
      </w:r>
      <w:r>
        <w:rPr>
          <w:rFonts w:ascii="Arial" w:cs="Arial" w:eastAsia="Arial" w:hAnsi="Arial"/>
          <w:sz w:val="16"/>
          <w:szCs w:val="16"/>
          <w:color w:val="C0C0C0"/>
        </w:rPr>
        <w:t>·</w:t>
      </w:r>
      <w:r>
        <w:rPr>
          <w:rFonts w:ascii="Arial" w:cs="Arial" w:eastAsia="Arial" w:hAnsi="Arial"/>
          <w:sz w:val="16"/>
          <w:szCs w:val="16"/>
          <w:color w:val="1F487C"/>
        </w:rPr>
        <w:t xml:space="preserve"> Maryland 21117 </w:t>
      </w:r>
      <w:r>
        <w:rPr>
          <w:rFonts w:ascii="Arial" w:cs="Arial" w:eastAsia="Arial" w:hAnsi="Arial"/>
          <w:sz w:val="16"/>
          <w:szCs w:val="16"/>
          <w:color w:val="C0C0C0"/>
        </w:rPr>
        <w:t>·</w:t>
      </w:r>
      <w:r>
        <w:rPr>
          <w:rFonts w:ascii="Arial" w:cs="Arial" w:eastAsia="Arial" w:hAnsi="Arial"/>
          <w:sz w:val="16"/>
          <w:szCs w:val="16"/>
          <w:color w:val="1F487C"/>
        </w:rPr>
        <w:t xml:space="preserve"> P 410.584.0060 </w:t>
      </w:r>
      <w:r>
        <w:rPr>
          <w:rFonts w:ascii="Arial" w:cs="Arial" w:eastAsia="Arial" w:hAnsi="Arial"/>
          <w:sz w:val="16"/>
          <w:szCs w:val="16"/>
          <w:color w:val="C0C0C0"/>
        </w:rPr>
        <w:t>·</w:t>
      </w:r>
      <w:r>
        <w:rPr>
          <w:rFonts w:ascii="Arial" w:cs="Arial" w:eastAsia="Arial" w:hAnsi="Arial"/>
          <w:sz w:val="16"/>
          <w:szCs w:val="16"/>
          <w:color w:val="1F487C"/>
        </w:rPr>
        <w:t xml:space="preserve"> F 410.584.0061</w:t>
      </w:r>
    </w:p>
    <w:p>
      <w:pPr>
        <w:sectPr>
          <w:pgSz w:w="11920" w:h="16838" w:orient="portrait"/>
          <w:cols w:equalWidth="0" w:num="1">
            <w:col w:w="11260"/>
          </w:cols>
          <w:pgMar w:left="340" w:top="1440" w:right="318"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70485</wp:posOffset>
            </wp:positionV>
            <wp:extent cx="71831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440" w:right="318" w:bottom="1440" w:gutter="0" w:footer="0" w:header="0"/>
          <w:type w:val="continuous"/>
        </w:sectPr>
      </w:pPr>
    </w:p>
    <w:bookmarkStart w:id="3" w:name="page4"/>
    <w:bookmarkEnd w:id="3"/>
    <w:p>
      <w:pPr>
        <w:jc w:val="center"/>
        <w:spacing w:after="0"/>
        <w:rPr>
          <w:sz w:val="20"/>
          <w:szCs w:val="20"/>
          <w:color w:val="auto"/>
        </w:rPr>
      </w:pPr>
      <w:r>
        <w:rPr>
          <w:rFonts w:ascii="Arial" w:cs="Arial" w:eastAsia="Arial" w:hAnsi="Arial"/>
          <w:sz w:val="23"/>
          <w:szCs w:val="23"/>
          <w:color w:val="1D2758"/>
        </w:rPr>
        <w:t>WillScot 401(k) Plan</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23"/>
          <w:szCs w:val="23"/>
          <w:color w:val="1D2758"/>
        </w:rPr>
        <w:t>Statements of Net Assets Available for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95250</wp:posOffset>
            </wp:positionV>
            <wp:extent cx="7157720" cy="3086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308610"/>
                    </a:xfrm>
                    <a:prstGeom prst="rect">
                      <a:avLst/>
                    </a:prstGeom>
                    <a:noFill/>
                  </pic:spPr>
                </pic:pic>
              </a:graphicData>
            </a:graphic>
          </wp:anchor>
        </w:drawing>
      </w:r>
    </w:p>
    <w:p>
      <w:pPr>
        <w:spacing w:after="0" w:line="137" w:lineRule="exact"/>
        <w:rPr>
          <w:sz w:val="20"/>
          <w:szCs w:val="20"/>
          <w:color w:val="auto"/>
        </w:rPr>
      </w:pPr>
    </w:p>
    <w:p>
      <w:pPr>
        <w:ind w:left="8600"/>
        <w:spacing w:after="0"/>
        <w:rPr>
          <w:sz w:val="20"/>
          <w:szCs w:val="20"/>
          <w:color w:val="auto"/>
        </w:rPr>
      </w:pPr>
      <w:r>
        <w:rPr>
          <w:rFonts w:ascii="Arial" w:cs="Arial" w:eastAsia="Arial" w:hAnsi="Arial"/>
          <w:sz w:val="16"/>
          <w:szCs w:val="16"/>
          <w:b w:val="1"/>
          <w:bCs w:val="1"/>
          <w:color w:val="FFFFFF"/>
        </w:rPr>
        <w:t>December 31,</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6880" w:type="dxa"/>
            <w:vAlign w:val="bottom"/>
          </w:tcPr>
          <w:p>
            <w:pPr>
              <w:spacing w:after="0"/>
              <w:rPr>
                <w:sz w:val="20"/>
                <w:szCs w:val="20"/>
                <w:color w:val="auto"/>
              </w:rPr>
            </w:pPr>
          </w:p>
        </w:tc>
        <w:tc>
          <w:tcPr>
            <w:tcW w:w="100" w:type="dxa"/>
            <w:vAlign w:val="bottom"/>
            <w:shd w:val="clear" w:color="auto" w:fill="1D2758"/>
          </w:tcPr>
          <w:p>
            <w:pPr>
              <w:spacing w:after="0"/>
              <w:rPr>
                <w:sz w:val="20"/>
                <w:szCs w:val="20"/>
                <w:color w:val="auto"/>
              </w:rPr>
            </w:pPr>
          </w:p>
        </w:tc>
        <w:tc>
          <w:tcPr>
            <w:tcW w:w="480" w:type="dxa"/>
            <w:vAlign w:val="bottom"/>
            <w:shd w:val="clear" w:color="auto" w:fill="1D2758"/>
          </w:tcPr>
          <w:p>
            <w:pPr>
              <w:spacing w:after="0"/>
              <w:rPr>
                <w:sz w:val="20"/>
                <w:szCs w:val="20"/>
                <w:color w:val="auto"/>
              </w:rPr>
            </w:pPr>
          </w:p>
        </w:tc>
        <w:tc>
          <w:tcPr>
            <w:tcW w:w="1600" w:type="dxa"/>
            <w:vAlign w:val="bottom"/>
            <w:shd w:val="clear" w:color="auto" w:fill="1D2758"/>
          </w:tcPr>
          <w:p>
            <w:pPr>
              <w:jc w:val="right"/>
              <w:ind w:right="779"/>
              <w:spacing w:after="0"/>
              <w:rPr>
                <w:sz w:val="20"/>
                <w:szCs w:val="20"/>
                <w:color w:val="auto"/>
              </w:rPr>
            </w:pPr>
            <w:r>
              <w:rPr>
                <w:rFonts w:ascii="Arial" w:cs="Arial" w:eastAsia="Arial" w:hAnsi="Arial"/>
                <w:sz w:val="16"/>
                <w:szCs w:val="16"/>
                <w:b w:val="1"/>
                <w:bCs w:val="1"/>
                <w:color w:val="FFFFFF"/>
              </w:rPr>
              <w:t>2025</w:t>
            </w:r>
          </w:p>
        </w:tc>
        <w:tc>
          <w:tcPr>
            <w:tcW w:w="120" w:type="dxa"/>
            <w:vAlign w:val="bottom"/>
            <w:shd w:val="clear" w:color="auto" w:fill="1D2758"/>
          </w:tcPr>
          <w:p>
            <w:pPr>
              <w:spacing w:after="0"/>
              <w:rPr>
                <w:sz w:val="20"/>
                <w:szCs w:val="20"/>
                <w:color w:val="auto"/>
              </w:rPr>
            </w:pPr>
          </w:p>
        </w:tc>
        <w:tc>
          <w:tcPr>
            <w:tcW w:w="480" w:type="dxa"/>
            <w:vAlign w:val="bottom"/>
            <w:shd w:val="clear" w:color="auto" w:fill="1D2758"/>
          </w:tcPr>
          <w:p>
            <w:pPr>
              <w:spacing w:after="0"/>
              <w:rPr>
                <w:sz w:val="20"/>
                <w:szCs w:val="20"/>
                <w:color w:val="auto"/>
              </w:rPr>
            </w:pPr>
          </w:p>
        </w:tc>
        <w:tc>
          <w:tcPr>
            <w:tcW w:w="1600" w:type="dxa"/>
            <w:vAlign w:val="bottom"/>
            <w:shd w:val="clear" w:color="auto" w:fill="1D2758"/>
          </w:tcPr>
          <w:p>
            <w:pPr>
              <w:jc w:val="right"/>
              <w:ind w:right="779"/>
              <w:spacing w:after="0"/>
              <w:rPr>
                <w:sz w:val="20"/>
                <w:szCs w:val="20"/>
                <w:color w:val="auto"/>
              </w:rPr>
            </w:pPr>
            <w:r>
              <w:rPr>
                <w:rFonts w:ascii="Arial" w:cs="Arial" w:eastAsia="Arial" w:hAnsi="Arial"/>
                <w:sz w:val="16"/>
                <w:szCs w:val="16"/>
                <w:b w:val="1"/>
                <w:bCs w:val="1"/>
                <w:color w:val="FFFFFF"/>
              </w:rPr>
              <w:t>2024</w:t>
            </w:r>
          </w:p>
        </w:tc>
      </w:tr>
      <w:tr>
        <w:trPr>
          <w:trHeight w:val="237"/>
        </w:trPr>
        <w:tc>
          <w:tcPr>
            <w:tcW w:w="68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Assets</w:t>
            </w:r>
          </w:p>
        </w:tc>
        <w:tc>
          <w:tcPr>
            <w:tcW w:w="100" w:type="dxa"/>
            <w:vAlign w:val="bottom"/>
            <w:tcBorders>
              <w:bottom w:val="single" w:sz="8" w:color="DBDBDB"/>
            </w:tcBorders>
            <w:shd w:val="clear" w:color="auto" w:fill="DBDBDB"/>
          </w:tcPr>
          <w:p>
            <w:pPr>
              <w:spacing w:after="0"/>
              <w:rPr>
                <w:sz w:val="20"/>
                <w:szCs w:val="20"/>
                <w:color w:val="auto"/>
              </w:rPr>
            </w:pPr>
          </w:p>
        </w:tc>
        <w:tc>
          <w:tcPr>
            <w:tcW w:w="480" w:type="dxa"/>
            <w:vAlign w:val="bottom"/>
            <w:tcBorders>
              <w:bottom w:val="single" w:sz="8" w:color="DBDBDB"/>
            </w:tcBorders>
            <w:shd w:val="clear" w:color="auto" w:fill="DBDBDB"/>
          </w:tcPr>
          <w:p>
            <w:pPr>
              <w:spacing w:after="0"/>
              <w:rPr>
                <w:sz w:val="20"/>
                <w:szCs w:val="20"/>
                <w:color w:val="auto"/>
              </w:rPr>
            </w:pPr>
          </w:p>
        </w:tc>
        <w:tc>
          <w:tcPr>
            <w:tcW w:w="1600" w:type="dxa"/>
            <w:vAlign w:val="bottom"/>
            <w:tcBorders>
              <w:bottom w:val="single" w:sz="8" w:color="DBDBDB"/>
            </w:tcBorders>
            <w:shd w:val="clear" w:color="auto" w:fill="DBDBDB"/>
          </w:tcPr>
          <w:p>
            <w:pPr>
              <w:spacing w:after="0"/>
              <w:rPr>
                <w:sz w:val="20"/>
                <w:szCs w:val="20"/>
                <w:color w:val="auto"/>
              </w:rPr>
            </w:pPr>
          </w:p>
        </w:tc>
        <w:tc>
          <w:tcPr>
            <w:tcW w:w="120" w:type="dxa"/>
            <w:vAlign w:val="bottom"/>
            <w:tcBorders>
              <w:bottom w:val="single" w:sz="8" w:color="DBDBDB"/>
            </w:tcBorders>
            <w:shd w:val="clear" w:color="auto" w:fill="DBDBDB"/>
          </w:tcPr>
          <w:p>
            <w:pPr>
              <w:spacing w:after="0"/>
              <w:rPr>
                <w:sz w:val="20"/>
                <w:szCs w:val="20"/>
                <w:color w:val="auto"/>
              </w:rPr>
            </w:pPr>
          </w:p>
        </w:tc>
        <w:tc>
          <w:tcPr>
            <w:tcW w:w="480" w:type="dxa"/>
            <w:vAlign w:val="bottom"/>
            <w:tcBorders>
              <w:bottom w:val="single" w:sz="8" w:color="DBDBDB"/>
            </w:tcBorders>
            <w:shd w:val="clear" w:color="auto" w:fill="DBDBDB"/>
          </w:tcPr>
          <w:p>
            <w:pPr>
              <w:spacing w:after="0"/>
              <w:rPr>
                <w:sz w:val="20"/>
                <w:szCs w:val="20"/>
                <w:color w:val="auto"/>
              </w:rPr>
            </w:pPr>
          </w:p>
        </w:tc>
        <w:tc>
          <w:tcPr>
            <w:tcW w:w="1600" w:type="dxa"/>
            <w:vAlign w:val="bottom"/>
            <w:tcBorders>
              <w:bottom w:val="single" w:sz="8" w:color="DBDBDB"/>
            </w:tcBorders>
            <w:shd w:val="clear" w:color="auto" w:fill="DBDBDB"/>
          </w:tcPr>
          <w:p>
            <w:pPr>
              <w:spacing w:after="0"/>
              <w:rPr>
                <w:sz w:val="20"/>
                <w:szCs w:val="20"/>
                <w:color w:val="auto"/>
              </w:rPr>
            </w:pPr>
          </w:p>
        </w:tc>
      </w:tr>
      <w:tr>
        <w:trPr>
          <w:trHeight w:val="235"/>
        </w:trPr>
        <w:tc>
          <w:tcPr>
            <w:tcW w:w="6880" w:type="dxa"/>
            <w:vAlign w:val="bottom"/>
          </w:tcPr>
          <w:p>
            <w:pPr>
              <w:ind w:left="220"/>
              <w:spacing w:after="0"/>
              <w:rPr>
                <w:sz w:val="20"/>
                <w:szCs w:val="20"/>
                <w:color w:val="auto"/>
              </w:rPr>
            </w:pPr>
            <w:r>
              <w:rPr>
                <w:rFonts w:ascii="Arial" w:cs="Arial" w:eastAsia="Arial" w:hAnsi="Arial"/>
                <w:sz w:val="16"/>
                <w:szCs w:val="16"/>
                <w:color w:val="auto"/>
              </w:rPr>
              <w:t>Investments - at fair value, participant directed</w:t>
            </w:r>
          </w:p>
        </w:tc>
        <w:tc>
          <w:tcPr>
            <w:tcW w:w="58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1600" w:type="dxa"/>
            <w:vAlign w:val="bottom"/>
          </w:tcPr>
          <w:p>
            <w:pPr>
              <w:jc w:val="right"/>
              <w:spacing w:after="0"/>
              <w:rPr>
                <w:sz w:val="20"/>
                <w:szCs w:val="20"/>
                <w:color w:val="auto"/>
              </w:rPr>
            </w:pPr>
            <w:r>
              <w:rPr>
                <w:rFonts w:ascii="Arial" w:cs="Arial" w:eastAsia="Arial" w:hAnsi="Arial"/>
                <w:sz w:val="16"/>
                <w:szCs w:val="16"/>
                <w:color w:val="auto"/>
              </w:rPr>
              <w:t>326,316,320</w:t>
            </w:r>
          </w:p>
        </w:tc>
        <w:tc>
          <w:tcPr>
            <w:tcW w:w="60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1600" w:type="dxa"/>
            <w:vAlign w:val="bottom"/>
          </w:tcPr>
          <w:p>
            <w:pPr>
              <w:jc w:val="right"/>
              <w:spacing w:after="0"/>
              <w:rPr>
                <w:sz w:val="20"/>
                <w:szCs w:val="20"/>
                <w:color w:val="auto"/>
              </w:rPr>
            </w:pPr>
            <w:r>
              <w:rPr>
                <w:rFonts w:ascii="Arial" w:cs="Arial" w:eastAsia="Arial" w:hAnsi="Arial"/>
                <w:sz w:val="16"/>
                <w:szCs w:val="16"/>
                <w:color w:val="auto"/>
              </w:rPr>
              <w:t>277,564,053</w:t>
            </w:r>
          </w:p>
        </w:tc>
      </w:tr>
      <w:tr>
        <w:trPr>
          <w:trHeight w:val="244"/>
        </w:trPr>
        <w:tc>
          <w:tcPr>
            <w:tcW w:w="6880" w:type="dxa"/>
            <w:vAlign w:val="bottom"/>
            <w:tcBorders>
              <w:bottom w:val="single" w:sz="8" w:color="DBDBDB"/>
            </w:tcBorders>
            <w:shd w:val="clear" w:color="auto" w:fill="DBDBDB"/>
          </w:tcPr>
          <w:p>
            <w:pPr>
              <w:ind w:left="220"/>
              <w:spacing w:after="0"/>
              <w:rPr>
                <w:sz w:val="20"/>
                <w:szCs w:val="20"/>
                <w:color w:val="auto"/>
              </w:rPr>
            </w:pPr>
            <w:r>
              <w:rPr>
                <w:rFonts w:ascii="Arial" w:cs="Arial" w:eastAsia="Arial" w:hAnsi="Arial"/>
                <w:sz w:val="16"/>
                <w:szCs w:val="16"/>
                <w:color w:val="auto"/>
              </w:rPr>
              <w:t>Notes receivable from participants</w:t>
            </w:r>
          </w:p>
        </w:tc>
        <w:tc>
          <w:tcPr>
            <w:tcW w:w="100" w:type="dxa"/>
            <w:vAlign w:val="bottom"/>
            <w:tcBorders>
              <w:bottom w:val="single" w:sz="8" w:color="DBDBDB"/>
            </w:tcBorders>
            <w:shd w:val="clear" w:color="auto" w:fill="DBDBDB"/>
          </w:tcPr>
          <w:p>
            <w:pPr>
              <w:spacing w:after="0"/>
              <w:rPr>
                <w:sz w:val="21"/>
                <w:szCs w:val="21"/>
                <w:color w:val="auto"/>
              </w:rPr>
            </w:pPr>
          </w:p>
        </w:tc>
        <w:tc>
          <w:tcPr>
            <w:tcW w:w="480" w:type="dxa"/>
            <w:vAlign w:val="bottom"/>
            <w:tcBorders>
              <w:bottom w:val="single" w:sz="8" w:color="DBDBDB"/>
            </w:tcBorders>
            <w:shd w:val="clear" w:color="auto" w:fill="DBDBDB"/>
          </w:tcPr>
          <w:p>
            <w:pPr>
              <w:spacing w:after="0"/>
              <w:rPr>
                <w:sz w:val="21"/>
                <w:szCs w:val="21"/>
                <w:color w:val="auto"/>
              </w:rPr>
            </w:pPr>
          </w:p>
        </w:tc>
        <w:tc>
          <w:tcPr>
            <w:tcW w:w="16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8,047,996</w:t>
            </w:r>
          </w:p>
        </w:tc>
        <w:tc>
          <w:tcPr>
            <w:tcW w:w="120" w:type="dxa"/>
            <w:vAlign w:val="bottom"/>
            <w:tcBorders>
              <w:bottom w:val="single" w:sz="8" w:color="DBDBDB"/>
            </w:tcBorders>
            <w:shd w:val="clear" w:color="auto" w:fill="DBDBDB"/>
          </w:tcPr>
          <w:p>
            <w:pPr>
              <w:spacing w:after="0"/>
              <w:rPr>
                <w:sz w:val="21"/>
                <w:szCs w:val="21"/>
                <w:color w:val="auto"/>
              </w:rPr>
            </w:pPr>
          </w:p>
        </w:tc>
        <w:tc>
          <w:tcPr>
            <w:tcW w:w="480" w:type="dxa"/>
            <w:vAlign w:val="bottom"/>
            <w:tcBorders>
              <w:bottom w:val="single" w:sz="8" w:color="DBDBDB"/>
            </w:tcBorders>
            <w:shd w:val="clear" w:color="auto" w:fill="DBDBDB"/>
          </w:tcPr>
          <w:p>
            <w:pPr>
              <w:spacing w:after="0"/>
              <w:rPr>
                <w:sz w:val="21"/>
                <w:szCs w:val="21"/>
                <w:color w:val="auto"/>
              </w:rPr>
            </w:pPr>
          </w:p>
        </w:tc>
        <w:tc>
          <w:tcPr>
            <w:tcW w:w="16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6,979,170</w:t>
            </w:r>
          </w:p>
        </w:tc>
      </w:tr>
      <w:tr>
        <w:trPr>
          <w:trHeight w:val="237"/>
        </w:trPr>
        <w:tc>
          <w:tcPr>
            <w:tcW w:w="6880" w:type="dxa"/>
            <w:vAlign w:val="bottom"/>
            <w:tcBorders>
              <w:bottom w:val="single" w:sz="8" w:color="DBDBDB"/>
            </w:tcBorders>
          </w:tcPr>
          <w:p>
            <w:pPr>
              <w:ind w:left="220"/>
              <w:spacing w:after="0"/>
              <w:rPr>
                <w:sz w:val="20"/>
                <w:szCs w:val="20"/>
                <w:color w:val="auto"/>
              </w:rPr>
            </w:pPr>
            <w:r>
              <w:rPr>
                <w:rFonts w:ascii="Arial" w:cs="Arial" w:eastAsia="Arial" w:hAnsi="Arial"/>
                <w:sz w:val="16"/>
                <w:szCs w:val="16"/>
                <w:color w:val="auto"/>
              </w:rPr>
              <w:t>Employer contributions receivable</w:t>
            </w:r>
          </w:p>
        </w:tc>
        <w:tc>
          <w:tcPr>
            <w:tcW w:w="100" w:type="dxa"/>
            <w:vAlign w:val="bottom"/>
            <w:tcBorders>
              <w:bottom w:val="single" w:sz="8" w:color="DBDBDB"/>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458,412</w:t>
            </w:r>
          </w:p>
        </w:tc>
        <w:tc>
          <w:tcPr>
            <w:tcW w:w="120" w:type="dxa"/>
            <w:vAlign w:val="bottom"/>
            <w:tcBorders>
              <w:bottom w:val="single" w:sz="8" w:color="DBDBDB"/>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23,862</w:t>
            </w:r>
          </w:p>
        </w:tc>
      </w:tr>
      <w:tr>
        <w:trPr>
          <w:trHeight w:val="263"/>
        </w:trPr>
        <w:tc>
          <w:tcPr>
            <w:tcW w:w="6880" w:type="dxa"/>
            <w:vAlign w:val="bottom"/>
            <w:shd w:val="clear" w:color="auto" w:fill="DBDBDB"/>
          </w:tcPr>
          <w:p>
            <w:pPr>
              <w:ind w:left="20"/>
              <w:spacing w:after="0"/>
              <w:rPr>
                <w:sz w:val="20"/>
                <w:szCs w:val="20"/>
                <w:color w:val="auto"/>
              </w:rPr>
            </w:pPr>
            <w:r>
              <w:rPr>
                <w:rFonts w:ascii="Arial" w:cs="Arial" w:eastAsia="Arial" w:hAnsi="Arial"/>
                <w:sz w:val="16"/>
                <w:szCs w:val="16"/>
                <w:color w:val="auto"/>
              </w:rPr>
              <w:t>Net Assets Available for Benefits</w:t>
            </w:r>
          </w:p>
        </w:tc>
        <w:tc>
          <w:tcPr>
            <w:tcW w:w="580" w:type="dxa"/>
            <w:vAlign w:val="bottom"/>
            <w:gridSpan w:val="2"/>
            <w:shd w:val="clear" w:color="auto" w:fill="DBDBDB"/>
          </w:tcPr>
          <w:p>
            <w:pPr>
              <w:jc w:val="right"/>
              <w:ind w:right="380"/>
              <w:spacing w:after="0"/>
              <w:rPr>
                <w:sz w:val="20"/>
                <w:szCs w:val="20"/>
                <w:color w:val="auto"/>
              </w:rPr>
            </w:pPr>
            <w:r>
              <w:rPr>
                <w:rFonts w:ascii="Arial" w:cs="Arial" w:eastAsia="Arial" w:hAnsi="Arial"/>
                <w:sz w:val="16"/>
                <w:szCs w:val="16"/>
                <w:color w:val="auto"/>
              </w:rPr>
              <w:t>$</w:t>
            </w:r>
          </w:p>
        </w:tc>
        <w:tc>
          <w:tcPr>
            <w:tcW w:w="16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334,822,728</w:t>
            </w:r>
          </w:p>
        </w:tc>
        <w:tc>
          <w:tcPr>
            <w:tcW w:w="600" w:type="dxa"/>
            <w:vAlign w:val="bottom"/>
            <w:gridSpan w:val="2"/>
            <w:shd w:val="clear" w:color="auto" w:fill="DBDBDB"/>
          </w:tcPr>
          <w:p>
            <w:pPr>
              <w:jc w:val="right"/>
              <w:ind w:right="380"/>
              <w:spacing w:after="0"/>
              <w:rPr>
                <w:sz w:val="20"/>
                <w:szCs w:val="20"/>
                <w:color w:val="auto"/>
              </w:rPr>
            </w:pPr>
            <w:r>
              <w:rPr>
                <w:rFonts w:ascii="Arial" w:cs="Arial" w:eastAsia="Arial" w:hAnsi="Arial"/>
                <w:sz w:val="16"/>
                <w:szCs w:val="16"/>
                <w:color w:val="auto"/>
              </w:rPr>
              <w:t>$</w:t>
            </w:r>
          </w:p>
        </w:tc>
        <w:tc>
          <w:tcPr>
            <w:tcW w:w="16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284,567,085</w:t>
            </w:r>
          </w:p>
        </w:tc>
      </w:tr>
      <w:tr>
        <w:trPr>
          <w:trHeight w:val="20"/>
        </w:trPr>
        <w:tc>
          <w:tcPr>
            <w:tcW w:w="6880" w:type="dxa"/>
            <w:vAlign w:val="bottom"/>
            <w:tcBorders>
              <w:top w:val="single" w:sz="8" w:color="DBDBDB"/>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70485</wp:posOffset>
            </wp:positionV>
            <wp:extent cx="71831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081" w:right="318"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83"/>
        </w:trPr>
        <w:tc>
          <w:tcPr>
            <w:tcW w:w="9140" w:type="dxa"/>
            <w:vAlign w:val="bottom"/>
          </w:tcPr>
          <w:p>
            <w:pPr>
              <w:ind w:left="4900"/>
              <w:spacing w:after="0"/>
              <w:rPr>
                <w:sz w:val="20"/>
                <w:szCs w:val="20"/>
                <w:color w:val="auto"/>
              </w:rPr>
            </w:pPr>
            <w:r>
              <w:rPr>
                <w:rFonts w:ascii="Arial" w:cs="Arial" w:eastAsia="Arial" w:hAnsi="Arial"/>
                <w:sz w:val="23"/>
                <w:szCs w:val="23"/>
                <w:color w:val="1D2758"/>
              </w:rPr>
              <w:t>WillScot 401(k) Plan</w:t>
            </w:r>
          </w:p>
        </w:tc>
        <w:tc>
          <w:tcPr>
            <w:tcW w:w="48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316"/>
        </w:trPr>
        <w:tc>
          <w:tcPr>
            <w:tcW w:w="9140" w:type="dxa"/>
            <w:vAlign w:val="bottom"/>
          </w:tcPr>
          <w:p>
            <w:pPr>
              <w:ind w:left="2620"/>
              <w:spacing w:after="0"/>
              <w:rPr>
                <w:sz w:val="20"/>
                <w:szCs w:val="20"/>
                <w:color w:val="auto"/>
              </w:rPr>
            </w:pPr>
            <w:r>
              <w:rPr>
                <w:rFonts w:ascii="Arial" w:cs="Arial" w:eastAsia="Arial" w:hAnsi="Arial"/>
                <w:sz w:val="23"/>
                <w:szCs w:val="23"/>
                <w:color w:val="1D2758"/>
              </w:rPr>
              <w:t>Statement of Changes in Net Assets Available for Benefits</w:t>
            </w:r>
          </w:p>
        </w:tc>
        <w:tc>
          <w:tcPr>
            <w:tcW w:w="48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128"/>
        </w:trPr>
        <w:tc>
          <w:tcPr>
            <w:tcW w:w="9140" w:type="dxa"/>
            <w:vAlign w:val="bottom"/>
          </w:tcPr>
          <w:p>
            <w:pPr>
              <w:spacing w:after="0"/>
              <w:rPr>
                <w:sz w:val="11"/>
                <w:szCs w:val="11"/>
                <w:color w:val="auto"/>
              </w:rPr>
            </w:pPr>
          </w:p>
        </w:tc>
        <w:tc>
          <w:tcPr>
            <w:tcW w:w="2120" w:type="dxa"/>
            <w:vAlign w:val="bottom"/>
            <w:gridSpan w:val="2"/>
          </w:tcPr>
          <w:p>
            <w:pPr>
              <w:spacing w:after="0"/>
              <w:rPr>
                <w:sz w:val="11"/>
                <w:szCs w:val="11"/>
                <w:color w:val="auto"/>
              </w:rPr>
            </w:pPr>
          </w:p>
        </w:tc>
      </w:tr>
      <w:tr>
        <w:trPr>
          <w:trHeight w:val="196"/>
        </w:trPr>
        <w:tc>
          <w:tcPr>
            <w:tcW w:w="9140" w:type="dxa"/>
            <w:vAlign w:val="bottom"/>
            <w:shd w:val="clear" w:color="auto" w:fill="1D2758"/>
          </w:tcPr>
          <w:p>
            <w:pPr>
              <w:spacing w:after="0"/>
              <w:rPr>
                <w:sz w:val="17"/>
                <w:szCs w:val="17"/>
                <w:color w:val="auto"/>
              </w:rPr>
            </w:pPr>
          </w:p>
        </w:tc>
        <w:tc>
          <w:tcPr>
            <w:tcW w:w="2120" w:type="dxa"/>
            <w:vAlign w:val="bottom"/>
            <w:gridSpan w:val="2"/>
            <w:shd w:val="clear" w:color="auto" w:fill="1D2758"/>
          </w:tcPr>
          <w:p>
            <w:pPr>
              <w:jc w:val="right"/>
              <w:spacing w:after="0"/>
              <w:rPr>
                <w:sz w:val="20"/>
                <w:szCs w:val="20"/>
                <w:color w:val="auto"/>
              </w:rPr>
            </w:pPr>
            <w:r>
              <w:rPr>
                <w:rFonts w:ascii="Arial" w:cs="Arial" w:eastAsia="Arial" w:hAnsi="Arial"/>
                <w:sz w:val="16"/>
                <w:szCs w:val="16"/>
                <w:b w:val="1"/>
                <w:bCs w:val="1"/>
                <w:color w:val="FFFFFF"/>
              </w:rPr>
              <w:t>Year ended December 31,</w:t>
            </w:r>
          </w:p>
        </w:tc>
      </w:tr>
      <w:tr>
        <w:trPr>
          <w:trHeight w:val="236"/>
        </w:trPr>
        <w:tc>
          <w:tcPr>
            <w:tcW w:w="9140" w:type="dxa"/>
            <w:vAlign w:val="bottom"/>
            <w:shd w:val="clear" w:color="auto" w:fill="1D2758"/>
          </w:tcPr>
          <w:p>
            <w:pPr>
              <w:spacing w:after="0"/>
              <w:rPr>
                <w:sz w:val="20"/>
                <w:szCs w:val="20"/>
                <w:color w:val="auto"/>
              </w:rPr>
            </w:pPr>
          </w:p>
        </w:tc>
        <w:tc>
          <w:tcPr>
            <w:tcW w:w="480" w:type="dxa"/>
            <w:vAlign w:val="bottom"/>
            <w:shd w:val="clear" w:color="auto" w:fill="1D2758"/>
          </w:tcPr>
          <w:p>
            <w:pPr>
              <w:spacing w:after="0"/>
              <w:rPr>
                <w:sz w:val="20"/>
                <w:szCs w:val="20"/>
                <w:color w:val="auto"/>
              </w:rPr>
            </w:pPr>
          </w:p>
        </w:tc>
        <w:tc>
          <w:tcPr>
            <w:tcW w:w="1640" w:type="dxa"/>
            <w:vAlign w:val="bottom"/>
            <w:shd w:val="clear" w:color="auto" w:fill="1D2758"/>
          </w:tcPr>
          <w:p>
            <w:pPr>
              <w:jc w:val="right"/>
              <w:ind w:right="799"/>
              <w:spacing w:after="0"/>
              <w:rPr>
                <w:sz w:val="20"/>
                <w:szCs w:val="20"/>
                <w:color w:val="auto"/>
              </w:rPr>
            </w:pPr>
            <w:r>
              <w:rPr>
                <w:rFonts w:ascii="Arial" w:cs="Arial" w:eastAsia="Arial" w:hAnsi="Arial"/>
                <w:sz w:val="16"/>
                <w:szCs w:val="16"/>
                <w:b w:val="1"/>
                <w:bCs w:val="1"/>
                <w:color w:val="FFFFFF"/>
              </w:rPr>
              <w:t>2025</w:t>
            </w:r>
          </w:p>
        </w:tc>
      </w:tr>
      <w:tr>
        <w:trPr>
          <w:trHeight w:val="237"/>
        </w:trPr>
        <w:tc>
          <w:tcPr>
            <w:tcW w:w="91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Investment income:</w:t>
            </w:r>
          </w:p>
        </w:tc>
        <w:tc>
          <w:tcPr>
            <w:tcW w:w="480" w:type="dxa"/>
            <w:vAlign w:val="bottom"/>
            <w:tcBorders>
              <w:bottom w:val="single" w:sz="8" w:color="DBDBDB"/>
            </w:tcBorders>
            <w:shd w:val="clear" w:color="auto" w:fill="DBDBDB"/>
          </w:tcPr>
          <w:p>
            <w:pPr>
              <w:spacing w:after="0"/>
              <w:rPr>
                <w:sz w:val="20"/>
                <w:szCs w:val="20"/>
                <w:color w:val="auto"/>
              </w:rPr>
            </w:pPr>
          </w:p>
        </w:tc>
        <w:tc>
          <w:tcPr>
            <w:tcW w:w="1640" w:type="dxa"/>
            <w:vAlign w:val="bottom"/>
            <w:tcBorders>
              <w:bottom w:val="single" w:sz="8" w:color="DBDBDB"/>
            </w:tcBorders>
            <w:shd w:val="clear" w:color="auto" w:fill="DBDBDB"/>
          </w:tcPr>
          <w:p>
            <w:pPr>
              <w:spacing w:after="0"/>
              <w:rPr>
                <w:sz w:val="20"/>
                <w:szCs w:val="20"/>
                <w:color w:val="auto"/>
              </w:rPr>
            </w:pPr>
          </w:p>
        </w:tc>
      </w:tr>
      <w:tr>
        <w:trPr>
          <w:trHeight w:val="235"/>
        </w:trPr>
        <w:tc>
          <w:tcPr>
            <w:tcW w:w="9140" w:type="dxa"/>
            <w:vAlign w:val="bottom"/>
          </w:tcPr>
          <w:p>
            <w:pPr>
              <w:ind w:left="120"/>
              <w:spacing w:after="0"/>
              <w:rPr>
                <w:sz w:val="20"/>
                <w:szCs w:val="20"/>
                <w:color w:val="auto"/>
              </w:rPr>
            </w:pPr>
            <w:r>
              <w:rPr>
                <w:rFonts w:ascii="Arial" w:cs="Arial" w:eastAsia="Arial" w:hAnsi="Arial"/>
                <w:sz w:val="16"/>
                <w:szCs w:val="16"/>
                <w:color w:val="auto"/>
              </w:rPr>
              <w:t>Net appreciation in fair value of investments</w:t>
            </w:r>
          </w:p>
        </w:tc>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1640" w:type="dxa"/>
            <w:vAlign w:val="bottom"/>
          </w:tcPr>
          <w:p>
            <w:pPr>
              <w:jc w:val="right"/>
              <w:spacing w:after="0"/>
              <w:rPr>
                <w:sz w:val="20"/>
                <w:szCs w:val="20"/>
                <w:color w:val="auto"/>
              </w:rPr>
            </w:pPr>
            <w:r>
              <w:rPr>
                <w:rFonts w:ascii="Arial" w:cs="Arial" w:eastAsia="Arial" w:hAnsi="Arial"/>
                <w:sz w:val="16"/>
                <w:szCs w:val="16"/>
                <w:color w:val="auto"/>
              </w:rPr>
              <w:t>38,646,078</w:t>
            </w:r>
          </w:p>
        </w:tc>
      </w:tr>
      <w:tr>
        <w:trPr>
          <w:trHeight w:val="258"/>
        </w:trPr>
        <w:tc>
          <w:tcPr>
            <w:tcW w:w="9140" w:type="dxa"/>
            <w:vAlign w:val="bottom"/>
            <w:shd w:val="clear" w:color="auto" w:fill="DBDBDB"/>
          </w:tcPr>
          <w:p>
            <w:pPr>
              <w:ind w:left="120"/>
              <w:spacing w:after="0"/>
              <w:rPr>
                <w:sz w:val="20"/>
                <w:szCs w:val="20"/>
                <w:color w:val="auto"/>
              </w:rPr>
            </w:pPr>
            <w:r>
              <w:rPr>
                <w:rFonts w:ascii="Arial" w:cs="Arial" w:eastAsia="Arial" w:hAnsi="Arial"/>
                <w:sz w:val="16"/>
                <w:szCs w:val="16"/>
                <w:color w:val="auto"/>
              </w:rPr>
              <w:t>Interest and dividends</w:t>
            </w:r>
          </w:p>
        </w:tc>
        <w:tc>
          <w:tcPr>
            <w:tcW w:w="480" w:type="dxa"/>
            <w:vAlign w:val="bottom"/>
            <w:tcBorders>
              <w:bottom w:val="single" w:sz="8" w:color="auto"/>
            </w:tcBorders>
            <w:shd w:val="clear" w:color="auto" w:fill="DBDBDB"/>
          </w:tcPr>
          <w:p>
            <w:pPr>
              <w:spacing w:after="0"/>
              <w:rPr>
                <w:sz w:val="22"/>
                <w:szCs w:val="22"/>
                <w:color w:val="auto"/>
              </w:rPr>
            </w:pPr>
          </w:p>
        </w:tc>
        <w:tc>
          <w:tcPr>
            <w:tcW w:w="16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9,983,770</w:t>
            </w:r>
          </w:p>
        </w:tc>
      </w:tr>
      <w:tr>
        <w:trPr>
          <w:trHeight w:val="237"/>
        </w:trPr>
        <w:tc>
          <w:tcPr>
            <w:tcW w:w="9140" w:type="dxa"/>
            <w:vAlign w:val="bottom"/>
          </w:tcPr>
          <w:p>
            <w:pPr>
              <w:ind w:left="20"/>
              <w:spacing w:after="0"/>
              <w:rPr>
                <w:sz w:val="20"/>
                <w:szCs w:val="20"/>
                <w:color w:val="auto"/>
              </w:rPr>
            </w:pPr>
            <w:r>
              <w:rPr>
                <w:rFonts w:ascii="Arial" w:cs="Arial" w:eastAsia="Arial" w:hAnsi="Arial"/>
                <w:sz w:val="16"/>
                <w:szCs w:val="16"/>
                <w:color w:val="auto"/>
              </w:rPr>
              <w:t>Total investment income</w:t>
            </w:r>
          </w:p>
        </w:tc>
        <w:tc>
          <w:tcPr>
            <w:tcW w:w="4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48,629,848</w:t>
            </w:r>
          </w:p>
        </w:tc>
      </w:tr>
      <w:tr>
        <w:trPr>
          <w:trHeight w:val="243"/>
        </w:trPr>
        <w:tc>
          <w:tcPr>
            <w:tcW w:w="9140" w:type="dxa"/>
            <w:vAlign w:val="bottom"/>
            <w:shd w:val="clear" w:color="auto" w:fill="DBDBDB"/>
          </w:tcPr>
          <w:p>
            <w:pPr>
              <w:spacing w:after="0"/>
              <w:rPr>
                <w:sz w:val="21"/>
                <w:szCs w:val="21"/>
                <w:color w:val="auto"/>
              </w:rPr>
            </w:pPr>
          </w:p>
        </w:tc>
        <w:tc>
          <w:tcPr>
            <w:tcW w:w="480" w:type="dxa"/>
            <w:vAlign w:val="bottom"/>
            <w:shd w:val="clear" w:color="auto" w:fill="DBDBDB"/>
          </w:tcPr>
          <w:p>
            <w:pPr>
              <w:spacing w:after="0"/>
              <w:rPr>
                <w:sz w:val="21"/>
                <w:szCs w:val="21"/>
                <w:color w:val="auto"/>
              </w:rPr>
            </w:pPr>
          </w:p>
        </w:tc>
        <w:tc>
          <w:tcPr>
            <w:tcW w:w="1640" w:type="dxa"/>
            <w:vAlign w:val="bottom"/>
            <w:shd w:val="clear" w:color="auto" w:fill="DBDBDB"/>
          </w:tcPr>
          <w:p>
            <w:pPr>
              <w:spacing w:after="0"/>
              <w:rPr>
                <w:sz w:val="21"/>
                <w:szCs w:val="21"/>
                <w:color w:val="auto"/>
              </w:rPr>
            </w:pPr>
          </w:p>
        </w:tc>
      </w:tr>
      <w:tr>
        <w:trPr>
          <w:trHeight w:val="250"/>
        </w:trPr>
        <w:tc>
          <w:tcPr>
            <w:tcW w:w="914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Interest income on notes receivable from participants</w:t>
            </w:r>
          </w:p>
        </w:tc>
        <w:tc>
          <w:tcPr>
            <w:tcW w:w="48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637,976</w:t>
            </w:r>
          </w:p>
        </w:tc>
      </w:tr>
      <w:tr>
        <w:trPr>
          <w:trHeight w:val="243"/>
        </w:trPr>
        <w:tc>
          <w:tcPr>
            <w:tcW w:w="9140" w:type="dxa"/>
            <w:vAlign w:val="bottom"/>
            <w:shd w:val="clear" w:color="auto" w:fill="DBDBDB"/>
          </w:tcPr>
          <w:p>
            <w:pPr>
              <w:spacing w:after="0"/>
              <w:rPr>
                <w:sz w:val="21"/>
                <w:szCs w:val="21"/>
                <w:color w:val="auto"/>
              </w:rPr>
            </w:pPr>
          </w:p>
        </w:tc>
        <w:tc>
          <w:tcPr>
            <w:tcW w:w="480" w:type="dxa"/>
            <w:vAlign w:val="bottom"/>
            <w:shd w:val="clear" w:color="auto" w:fill="DBDBDB"/>
          </w:tcPr>
          <w:p>
            <w:pPr>
              <w:spacing w:after="0"/>
              <w:rPr>
                <w:sz w:val="21"/>
                <w:szCs w:val="21"/>
                <w:color w:val="auto"/>
              </w:rPr>
            </w:pPr>
          </w:p>
        </w:tc>
        <w:tc>
          <w:tcPr>
            <w:tcW w:w="1640" w:type="dxa"/>
            <w:vAlign w:val="bottom"/>
            <w:shd w:val="clear" w:color="auto" w:fill="DBDBDB"/>
          </w:tcPr>
          <w:p>
            <w:pPr>
              <w:spacing w:after="0"/>
              <w:rPr>
                <w:sz w:val="21"/>
                <w:szCs w:val="21"/>
                <w:color w:val="auto"/>
              </w:rPr>
            </w:pPr>
          </w:p>
        </w:tc>
      </w:tr>
      <w:tr>
        <w:trPr>
          <w:trHeight w:val="235"/>
        </w:trPr>
        <w:tc>
          <w:tcPr>
            <w:tcW w:w="9140" w:type="dxa"/>
            <w:vAlign w:val="bottom"/>
          </w:tcPr>
          <w:p>
            <w:pPr>
              <w:ind w:left="20"/>
              <w:spacing w:after="0"/>
              <w:rPr>
                <w:sz w:val="20"/>
                <w:szCs w:val="20"/>
                <w:color w:val="auto"/>
              </w:rPr>
            </w:pPr>
            <w:r>
              <w:rPr>
                <w:rFonts w:ascii="Arial" w:cs="Arial" w:eastAsia="Arial" w:hAnsi="Arial"/>
                <w:sz w:val="16"/>
                <w:szCs w:val="16"/>
                <w:color w:val="auto"/>
              </w:rPr>
              <w:t>Contributions:</w:t>
            </w:r>
          </w:p>
        </w:tc>
        <w:tc>
          <w:tcPr>
            <w:tcW w:w="48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244"/>
        </w:trPr>
        <w:tc>
          <w:tcPr>
            <w:tcW w:w="9140" w:type="dxa"/>
            <w:vAlign w:val="bottom"/>
            <w:tcBorders>
              <w:bottom w:val="single" w:sz="8" w:color="DBDBDB"/>
            </w:tcBorders>
            <w:shd w:val="clear" w:color="auto" w:fill="DBDBDB"/>
          </w:tcPr>
          <w:p>
            <w:pPr>
              <w:ind w:left="120"/>
              <w:spacing w:after="0"/>
              <w:rPr>
                <w:sz w:val="20"/>
                <w:szCs w:val="20"/>
                <w:color w:val="auto"/>
              </w:rPr>
            </w:pPr>
            <w:r>
              <w:rPr>
                <w:rFonts w:ascii="Arial" w:cs="Arial" w:eastAsia="Arial" w:hAnsi="Arial"/>
                <w:sz w:val="16"/>
                <w:szCs w:val="16"/>
                <w:color w:val="auto"/>
              </w:rPr>
              <w:t>Employer</w:t>
            </w:r>
          </w:p>
        </w:tc>
        <w:tc>
          <w:tcPr>
            <w:tcW w:w="480" w:type="dxa"/>
            <w:vAlign w:val="bottom"/>
            <w:tcBorders>
              <w:bottom w:val="single" w:sz="8" w:color="DBDBDB"/>
            </w:tcBorders>
            <w:shd w:val="clear" w:color="auto" w:fill="DBDBDB"/>
          </w:tcPr>
          <w:p>
            <w:pPr>
              <w:spacing w:after="0"/>
              <w:rPr>
                <w:sz w:val="21"/>
                <w:szCs w:val="21"/>
                <w:color w:val="auto"/>
              </w:rPr>
            </w:pPr>
          </w:p>
        </w:tc>
        <w:tc>
          <w:tcPr>
            <w:tcW w:w="16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14,560,277</w:t>
            </w:r>
          </w:p>
        </w:tc>
      </w:tr>
      <w:tr>
        <w:trPr>
          <w:trHeight w:val="235"/>
        </w:trPr>
        <w:tc>
          <w:tcPr>
            <w:tcW w:w="9140" w:type="dxa"/>
            <w:vAlign w:val="bottom"/>
          </w:tcPr>
          <w:p>
            <w:pPr>
              <w:ind w:left="120"/>
              <w:spacing w:after="0"/>
              <w:rPr>
                <w:sz w:val="20"/>
                <w:szCs w:val="20"/>
                <w:color w:val="auto"/>
              </w:rPr>
            </w:pPr>
            <w:r>
              <w:rPr>
                <w:rFonts w:ascii="Arial" w:cs="Arial" w:eastAsia="Arial" w:hAnsi="Arial"/>
                <w:sz w:val="16"/>
                <w:szCs w:val="16"/>
                <w:color w:val="auto"/>
              </w:rPr>
              <w:t>Participants</w:t>
            </w:r>
          </w:p>
        </w:tc>
        <w:tc>
          <w:tcPr>
            <w:tcW w:w="48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25,601,400</w:t>
            </w:r>
          </w:p>
        </w:tc>
      </w:tr>
      <w:tr>
        <w:trPr>
          <w:trHeight w:val="244"/>
        </w:trPr>
        <w:tc>
          <w:tcPr>
            <w:tcW w:w="9140" w:type="dxa"/>
            <w:vAlign w:val="bottom"/>
            <w:tcBorders>
              <w:bottom w:val="single" w:sz="8" w:color="DBDBDB"/>
            </w:tcBorders>
            <w:shd w:val="clear" w:color="auto" w:fill="DBDBDB"/>
          </w:tcPr>
          <w:p>
            <w:pPr>
              <w:ind w:left="120"/>
              <w:spacing w:after="0"/>
              <w:rPr>
                <w:sz w:val="20"/>
                <w:szCs w:val="20"/>
                <w:color w:val="auto"/>
              </w:rPr>
            </w:pPr>
            <w:r>
              <w:rPr>
                <w:rFonts w:ascii="Arial" w:cs="Arial" w:eastAsia="Arial" w:hAnsi="Arial"/>
                <w:sz w:val="16"/>
                <w:szCs w:val="16"/>
                <w:color w:val="auto"/>
              </w:rPr>
              <w:t>Rollovers</w:t>
            </w:r>
          </w:p>
        </w:tc>
        <w:tc>
          <w:tcPr>
            <w:tcW w:w="480" w:type="dxa"/>
            <w:vAlign w:val="bottom"/>
            <w:tcBorders>
              <w:bottom w:val="single" w:sz="8" w:color="auto"/>
            </w:tcBorders>
            <w:shd w:val="clear" w:color="auto" w:fill="DBDBDB"/>
          </w:tcPr>
          <w:p>
            <w:pPr>
              <w:spacing w:after="0"/>
              <w:rPr>
                <w:sz w:val="21"/>
                <w:szCs w:val="21"/>
                <w:color w:val="auto"/>
              </w:rPr>
            </w:pPr>
          </w:p>
        </w:tc>
        <w:tc>
          <w:tcPr>
            <w:tcW w:w="16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4,896,383</w:t>
            </w:r>
          </w:p>
        </w:tc>
      </w:tr>
      <w:tr>
        <w:trPr>
          <w:trHeight w:val="250"/>
        </w:trPr>
        <w:tc>
          <w:tcPr>
            <w:tcW w:w="914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Total contributions</w:t>
            </w:r>
          </w:p>
        </w:tc>
        <w:tc>
          <w:tcPr>
            <w:tcW w:w="48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45,058,060</w:t>
            </w:r>
          </w:p>
        </w:tc>
      </w:tr>
      <w:tr>
        <w:trPr>
          <w:trHeight w:val="239"/>
        </w:trPr>
        <w:tc>
          <w:tcPr>
            <w:tcW w:w="91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b w:val="1"/>
                <w:bCs w:val="1"/>
                <w:color w:val="auto"/>
              </w:rPr>
              <w:t>Total</w:t>
            </w:r>
          </w:p>
        </w:tc>
        <w:tc>
          <w:tcPr>
            <w:tcW w:w="480" w:type="dxa"/>
            <w:vAlign w:val="bottom"/>
            <w:tcBorders>
              <w:bottom w:val="single" w:sz="8" w:color="auto"/>
            </w:tcBorders>
            <w:shd w:val="clear" w:color="auto" w:fill="DBDBDB"/>
          </w:tcPr>
          <w:p>
            <w:pPr>
              <w:spacing w:after="0"/>
              <w:rPr>
                <w:sz w:val="20"/>
                <w:szCs w:val="20"/>
                <w:color w:val="auto"/>
              </w:rPr>
            </w:pPr>
          </w:p>
        </w:tc>
        <w:tc>
          <w:tcPr>
            <w:tcW w:w="16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94,325,884</w:t>
            </w:r>
          </w:p>
        </w:tc>
      </w:tr>
      <w:tr>
        <w:trPr>
          <w:trHeight w:val="240"/>
        </w:trPr>
        <w:tc>
          <w:tcPr>
            <w:tcW w:w="9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236"/>
        </w:trPr>
        <w:tc>
          <w:tcPr>
            <w:tcW w:w="9140" w:type="dxa"/>
            <w:vAlign w:val="bottom"/>
            <w:tcBorders>
              <w:bottom w:val="single" w:sz="8" w:color="DBDBDB"/>
            </w:tcBorders>
            <w:shd w:val="clear" w:color="auto" w:fill="DBDBDB"/>
          </w:tcPr>
          <w:p>
            <w:pPr>
              <w:ind w:left="120"/>
              <w:spacing w:after="0"/>
              <w:rPr>
                <w:sz w:val="20"/>
                <w:szCs w:val="20"/>
                <w:color w:val="auto"/>
              </w:rPr>
            </w:pPr>
            <w:r>
              <w:rPr>
                <w:rFonts w:ascii="Arial" w:cs="Arial" w:eastAsia="Arial" w:hAnsi="Arial"/>
                <w:sz w:val="16"/>
                <w:szCs w:val="16"/>
                <w:color w:val="auto"/>
              </w:rPr>
              <w:t>Benefits paid to participants</w:t>
            </w:r>
          </w:p>
        </w:tc>
        <w:tc>
          <w:tcPr>
            <w:tcW w:w="480" w:type="dxa"/>
            <w:vAlign w:val="bottom"/>
            <w:tcBorders>
              <w:bottom w:val="single" w:sz="8" w:color="DBDBDB"/>
            </w:tcBorders>
            <w:shd w:val="clear" w:color="auto" w:fill="DBDBDB"/>
          </w:tcPr>
          <w:p>
            <w:pPr>
              <w:spacing w:after="0"/>
              <w:rPr>
                <w:sz w:val="20"/>
                <w:szCs w:val="20"/>
                <w:color w:val="auto"/>
              </w:rPr>
            </w:pPr>
          </w:p>
        </w:tc>
        <w:tc>
          <w:tcPr>
            <w:tcW w:w="16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(43,430,068)</w:t>
            </w:r>
          </w:p>
        </w:tc>
      </w:tr>
      <w:tr>
        <w:trPr>
          <w:trHeight w:val="237"/>
        </w:trPr>
        <w:tc>
          <w:tcPr>
            <w:tcW w:w="9140" w:type="dxa"/>
            <w:vAlign w:val="bottom"/>
          </w:tcPr>
          <w:p>
            <w:pPr>
              <w:ind w:left="120"/>
              <w:spacing w:after="0"/>
              <w:rPr>
                <w:sz w:val="20"/>
                <w:szCs w:val="20"/>
                <w:color w:val="auto"/>
              </w:rPr>
            </w:pPr>
            <w:r>
              <w:rPr>
                <w:rFonts w:ascii="Arial" w:cs="Arial" w:eastAsia="Arial" w:hAnsi="Arial"/>
                <w:sz w:val="16"/>
                <w:szCs w:val="16"/>
                <w:color w:val="auto"/>
              </w:rPr>
              <w:t>Administrative expenses</w:t>
            </w:r>
          </w:p>
        </w:tc>
        <w:tc>
          <w:tcPr>
            <w:tcW w:w="4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(640,173)</w:t>
            </w:r>
          </w:p>
        </w:tc>
      </w:tr>
      <w:tr>
        <w:trPr>
          <w:trHeight w:val="253"/>
        </w:trPr>
        <w:tc>
          <w:tcPr>
            <w:tcW w:w="9140" w:type="dxa"/>
            <w:vAlign w:val="bottom"/>
            <w:shd w:val="clear" w:color="auto" w:fill="DBDBDB"/>
          </w:tcPr>
          <w:p>
            <w:pPr>
              <w:ind w:left="20"/>
              <w:spacing w:after="0"/>
              <w:rPr>
                <w:sz w:val="20"/>
                <w:szCs w:val="20"/>
                <w:color w:val="auto"/>
              </w:rPr>
            </w:pPr>
            <w:r>
              <w:rPr>
                <w:rFonts w:ascii="Arial" w:cs="Arial" w:eastAsia="Arial" w:hAnsi="Arial"/>
                <w:sz w:val="16"/>
                <w:szCs w:val="16"/>
                <w:b w:val="1"/>
                <w:bCs w:val="1"/>
                <w:color w:val="auto"/>
              </w:rPr>
              <w:t>Total</w:t>
            </w:r>
          </w:p>
        </w:tc>
        <w:tc>
          <w:tcPr>
            <w:tcW w:w="480" w:type="dxa"/>
            <w:vAlign w:val="bottom"/>
            <w:tcBorders>
              <w:bottom w:val="single" w:sz="8" w:color="auto"/>
            </w:tcBorders>
            <w:shd w:val="clear" w:color="auto" w:fill="DBDBDB"/>
          </w:tcPr>
          <w:p>
            <w:pPr>
              <w:spacing w:after="0"/>
              <w:rPr>
                <w:sz w:val="21"/>
                <w:szCs w:val="21"/>
                <w:color w:val="auto"/>
              </w:rPr>
            </w:pPr>
          </w:p>
        </w:tc>
        <w:tc>
          <w:tcPr>
            <w:tcW w:w="16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(44,070,241)</w:t>
            </w:r>
          </w:p>
        </w:tc>
      </w:tr>
      <w:tr>
        <w:trPr>
          <w:trHeight w:val="240"/>
        </w:trPr>
        <w:tc>
          <w:tcPr>
            <w:tcW w:w="9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243"/>
        </w:trPr>
        <w:tc>
          <w:tcPr>
            <w:tcW w:w="9140" w:type="dxa"/>
            <w:vAlign w:val="bottom"/>
            <w:shd w:val="clear" w:color="auto" w:fill="DBDBDB"/>
          </w:tcPr>
          <w:p>
            <w:pPr>
              <w:ind w:left="20"/>
              <w:spacing w:after="0"/>
              <w:rPr>
                <w:sz w:val="20"/>
                <w:szCs w:val="20"/>
                <w:color w:val="auto"/>
              </w:rPr>
            </w:pPr>
            <w:r>
              <w:rPr>
                <w:rFonts w:ascii="Arial" w:cs="Arial" w:eastAsia="Arial" w:hAnsi="Arial"/>
                <w:sz w:val="16"/>
                <w:szCs w:val="16"/>
                <w:color w:val="auto"/>
              </w:rPr>
              <w:t>Net increase</w:t>
            </w:r>
          </w:p>
        </w:tc>
        <w:tc>
          <w:tcPr>
            <w:tcW w:w="480" w:type="dxa"/>
            <w:vAlign w:val="bottom"/>
            <w:shd w:val="clear" w:color="auto" w:fill="DBDBDB"/>
          </w:tcPr>
          <w:p>
            <w:pPr>
              <w:spacing w:after="0"/>
              <w:rPr>
                <w:sz w:val="21"/>
                <w:szCs w:val="21"/>
                <w:color w:val="auto"/>
              </w:rPr>
            </w:pPr>
          </w:p>
        </w:tc>
        <w:tc>
          <w:tcPr>
            <w:tcW w:w="16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50,255,643</w:t>
            </w:r>
          </w:p>
        </w:tc>
      </w:tr>
      <w:tr>
        <w:trPr>
          <w:trHeight w:val="250"/>
        </w:trPr>
        <w:tc>
          <w:tcPr>
            <w:tcW w:w="914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Net Assets Available for Benefits, Beginning of Year</w:t>
            </w:r>
          </w:p>
        </w:tc>
        <w:tc>
          <w:tcPr>
            <w:tcW w:w="48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284,567,085</w:t>
            </w:r>
          </w:p>
        </w:tc>
      </w:tr>
      <w:tr>
        <w:trPr>
          <w:trHeight w:val="268"/>
        </w:trPr>
        <w:tc>
          <w:tcPr>
            <w:tcW w:w="91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Net Assets Available for Benefits, End of Year</w:t>
            </w:r>
          </w:p>
        </w:tc>
        <w:tc>
          <w:tcPr>
            <w:tcW w:w="480" w:type="dxa"/>
            <w:vAlign w:val="bottom"/>
            <w:tcBorders>
              <w:bottom w:val="single" w:sz="8" w:color="auto"/>
            </w:tcBorders>
            <w:shd w:val="clear" w:color="auto" w:fill="DBDBDB"/>
          </w:tcPr>
          <w:p>
            <w:pPr>
              <w:jc w:val="right"/>
              <w:ind w:right="299"/>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334,822,728</w:t>
            </w:r>
          </w:p>
        </w:tc>
      </w:tr>
      <w:tr>
        <w:trPr>
          <w:trHeight w:val="20"/>
        </w:trPr>
        <w:tc>
          <w:tcPr>
            <w:tcW w:w="9140" w:type="dxa"/>
            <w:vAlign w:val="bottom"/>
            <w:tcBorders>
              <w:top w:val="single" w:sz="8" w:color="DBDBDB"/>
            </w:tcBorders>
          </w:tcPr>
          <w:p>
            <w:pPr>
              <w:spacing w:after="0" w:line="20" w:lineRule="exact"/>
              <w:rPr>
                <w:sz w:val="1"/>
                <w:szCs w:val="1"/>
                <w:color w:val="auto"/>
              </w:rPr>
            </w:pPr>
          </w:p>
        </w:tc>
        <w:tc>
          <w:tcPr>
            <w:tcW w:w="480" w:type="dxa"/>
            <w:vAlign w:val="bottom"/>
            <w:tcBorders>
              <w:top w:val="single" w:sz="8" w:color="DBDBDB"/>
              <w:bottom w:val="single" w:sz="8" w:color="auto"/>
            </w:tcBorders>
          </w:tcPr>
          <w:p>
            <w:pPr>
              <w:spacing w:after="0" w:line="20" w:lineRule="exact"/>
              <w:rPr>
                <w:sz w:val="1"/>
                <w:szCs w:val="1"/>
                <w:color w:val="auto"/>
              </w:rPr>
            </w:pPr>
          </w:p>
        </w:tc>
        <w:tc>
          <w:tcPr>
            <w:tcW w:w="1640" w:type="dxa"/>
            <w:vAlign w:val="bottom"/>
            <w:tcBorders>
              <w:top w:val="single" w:sz="8" w:color="DBDBDB"/>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The accompanying notes are an integral part of this financial statement.</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70485</wp:posOffset>
            </wp:positionV>
            <wp:extent cx="71831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081" w:right="318" w:bottom="1440" w:gutter="0" w:footer="0" w:header="0"/>
        </w:sectPr>
      </w:pPr>
    </w:p>
    <w:bookmarkStart w:id="5" w:name="page6"/>
    <w:bookmarkEnd w:id="5"/>
    <w:p>
      <w:pPr>
        <w:jc w:val="center"/>
        <w:spacing w:after="0"/>
        <w:rPr>
          <w:sz w:val="20"/>
          <w:szCs w:val="20"/>
          <w:color w:val="auto"/>
        </w:rPr>
      </w:pPr>
      <w:r>
        <w:rPr>
          <w:rFonts w:ascii="Arial" w:cs="Arial" w:eastAsia="Arial" w:hAnsi="Arial"/>
          <w:sz w:val="23"/>
          <w:szCs w:val="23"/>
          <w:color w:val="1D2758"/>
        </w:rPr>
        <w:t>WillScot 401(k) Plan</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23"/>
          <w:szCs w:val="23"/>
          <w:color w:val="1D2758"/>
        </w:rPr>
        <w:t>Notes to the Financial Statements</w:t>
      </w:r>
    </w:p>
    <w:p>
      <w:pPr>
        <w:spacing w:after="0" w:line="97" w:lineRule="exact"/>
        <w:rPr>
          <w:sz w:val="20"/>
          <w:szCs w:val="20"/>
          <w:color w:val="auto"/>
        </w:rPr>
      </w:pPr>
    </w:p>
    <w:p>
      <w:pPr>
        <w:spacing w:after="0"/>
        <w:rPr>
          <w:sz w:val="20"/>
          <w:szCs w:val="20"/>
          <w:color w:val="auto"/>
        </w:rPr>
      </w:pPr>
      <w:r>
        <w:rPr>
          <w:rFonts w:ascii="Arial" w:cs="Arial" w:eastAsia="Arial" w:hAnsi="Arial"/>
          <w:sz w:val="23"/>
          <w:szCs w:val="23"/>
          <w:color w:val="1D2758"/>
        </w:rPr>
        <w:t>NOTE 1 - Description of Plan</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70"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6"/>
          <w:szCs w:val="16"/>
          <w:color w:val="auto"/>
        </w:rPr>
        <w:t>The WillScot 401(k) Plan (the "Plan") is a defined contribution plan sponsored by Williams Scotsman, Inc. (the "Company" or the "Plan Sponsor"). WillScot Holdings Corporation is the ultimate parent of the Plan Sponsor. The Plan covers substantially all employees of the Company who meet certain employment requirements. The Plan is subject to the provisions of the Employee Retirement Income Security Act of 1974 ("ERISA"). The Company as Plan Administrator has delegated to the William Scotsman, Inc. Retirement Plan Committee (the "Committee") general responsibility for the control, management, and administration of the Plan. The Committee determines the appropriateness of the Plan's investment offerings, monitors investment performance, and reports to the Company.</w:t>
      </w:r>
    </w:p>
    <w:p>
      <w:pPr>
        <w:spacing w:after="0" w:line="23" w:lineRule="exact"/>
        <w:rPr>
          <w:sz w:val="20"/>
          <w:szCs w:val="20"/>
          <w:color w:val="auto"/>
        </w:rPr>
      </w:pPr>
    </w:p>
    <w:p>
      <w:pPr>
        <w:ind w:left="640"/>
        <w:spacing w:after="0"/>
        <w:rPr>
          <w:sz w:val="20"/>
          <w:szCs w:val="20"/>
          <w:color w:val="auto"/>
        </w:rPr>
      </w:pPr>
      <w:r>
        <w:rPr>
          <w:rFonts w:ascii="Arial" w:cs="Arial" w:eastAsia="Arial" w:hAnsi="Arial"/>
          <w:sz w:val="16"/>
          <w:szCs w:val="16"/>
          <w:color w:val="auto"/>
        </w:rPr>
        <w:t>On November 18, 2024, the Plan was amended to change its name from the WillScot Mobile Mini 401(k) Plan to the WillScot 401(k) Plan.</w:t>
      </w:r>
    </w:p>
    <w:p>
      <w:pPr>
        <w:spacing w:after="0" w:line="59" w:lineRule="exact"/>
        <w:rPr>
          <w:sz w:val="20"/>
          <w:szCs w:val="20"/>
          <w:color w:val="auto"/>
        </w:rPr>
      </w:pPr>
    </w:p>
    <w:p>
      <w:pPr>
        <w:jc w:val="both"/>
        <w:ind w:firstLine="648"/>
        <w:spacing w:after="0" w:line="309" w:lineRule="auto"/>
        <w:rPr>
          <w:sz w:val="20"/>
          <w:szCs w:val="20"/>
          <w:color w:val="auto"/>
        </w:rPr>
      </w:pPr>
      <w:r>
        <w:rPr>
          <w:rFonts w:ascii="Arial" w:cs="Arial" w:eastAsia="Arial" w:hAnsi="Arial"/>
          <w:sz w:val="16"/>
          <w:szCs w:val="16"/>
          <w:color w:val="auto"/>
        </w:rPr>
        <w:t>The following is a brief description of the Plan. Participants should refer to the Plan agreement for a more complete description of the Plan’s provisions.</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Contributions</w:t>
      </w:r>
    </w:p>
    <w:p>
      <w:pPr>
        <w:spacing w:after="0" w:line="70"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6"/>
          <w:szCs w:val="16"/>
          <w:color w:val="auto"/>
        </w:rPr>
        <w:t>Each year, participants may contribute to the Plan up to 90% of eligible compensation and up to 100% of the participants' performance bonuses as pre-tax and/or Roth contributions, as described in the Plan document and subject to Internal Revenue Code (the "IRC") limitations. Participants who have attained age 50 before the end of the Plan year are eligible to make catch-up contributions. Participants may also contribute amounts representing distributions from other qualified defined benefit or defined contribution plans. Participants are not permitted to make after-tax contributions. Participants direct the investment of their contributions into various investment options offered by the Plan. In the absence of direction from the participant, the account is invested in an age-appropriate target date fund.</w:t>
      </w:r>
    </w:p>
    <w:p>
      <w:pPr>
        <w:spacing w:after="0" w:line="1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6"/>
          <w:szCs w:val="16"/>
          <w:color w:val="auto"/>
        </w:rPr>
        <w:t>All eligible employees, as defined in the Plan, may begin contributing to the Plan after one month of employment. All newly eligible employees are automatically enrolled in the Plan at a deferral rate of 3% of eligible compensation following an election period during which the employee may either opt out of the Plan or choose a salary deferral percentage in the manner prescribed by the Plan Administrator. Unless the participant elects otherwise, participants who are automatically enrolled in the Plan have their deferral rate automatically increase by 1% each year to a maximum rate of 6%.</w:t>
      </w:r>
    </w:p>
    <w:p>
      <w:pPr>
        <w:spacing w:after="0" w:line="3"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6"/>
          <w:szCs w:val="16"/>
          <w:color w:val="auto"/>
        </w:rPr>
        <w:t>The Company makes a matching contribution equal to 100% of the first 3% of employees' contributions and 50% of the next 3% of participants' contributions. The matching contribution can be invested into various investment options offered by the Plan at participant's discretion. The Company may also make a non-elective contribution, which is allocated to each eligible participant in the same ratio that each eligible participant's compensation for the Plan year bears to the total compensation of all eligible participants for the Plan year. During the year ended December 31, 2025, the Company did not make a non-elective contribution to the Plan. Contributions are subject to certain Internal Revenue Service ("IRS") limitations.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 Accounts</w:t>
      </w:r>
    </w:p>
    <w:p>
      <w:pPr>
        <w:spacing w:after="0" w:line="70"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6"/>
          <w:szCs w:val="16"/>
          <w:color w:val="auto"/>
        </w:rPr>
        <w:t>Each participant's account is credited with the participant's contributions and Company matching contributions, as well as allocations of the Company's non-elective contributions and Plan earnings or losses. Participant accounts are charged with an allocation of plan administrative expenses. Allocations are based on participant's earnings, account balances, or specific participant transactions, as defined by the Plan. The benefit to which a participant is entitled is the benefit that can be provided from the participant's vested account.</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Vesting</w:t>
      </w:r>
    </w:p>
    <w:p>
      <w:pPr>
        <w:spacing w:after="0" w:line="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6"/>
          <w:szCs w:val="16"/>
          <w:color w:val="auto"/>
        </w:rPr>
        <w:t>Participants are immediately vested in their rollover contributions, qualified non-elective contributions, deferral contributions, and any earnings thereon. Generally, participants become fully vested with respect to employer contributions upon completion of two years of service as defined in the Plan document.</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Forfeited Accounts</w:t>
      </w:r>
    </w:p>
    <w:p>
      <w:pPr>
        <w:spacing w:after="0" w:line="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6"/>
          <w:szCs w:val="16"/>
          <w:color w:val="auto"/>
        </w:rPr>
        <w:t>As of December 31, 2025 and 2024, available forfeited non-vested accounts were $632,980 and $485,040, respectively. Forfeitures are retained in the Plan and are used in accordance with Plan provisions. During the year ended December 31, 2025, $865,172 from these accounts was used to pay administrative expenses and reduce employer contributions.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Receivable from Participants</w:t>
      </w:r>
    </w:p>
    <w:p>
      <w:pPr>
        <w:spacing w:after="0" w:line="70"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6"/>
          <w:szCs w:val="16"/>
          <w:color w:val="auto"/>
        </w:rPr>
        <w:t>Participants may borrow from their accounts a minimum of $1,000, up to a maximum equal to the lesser of $50,000 or 50 percent of their vested account balance less the highest outstanding loan balance during the prior twelve-month period. Each participant is only allowed to apply for one loan each year and have only one loan outstanding at any given time. The loans are secured by the balance in the participant's account. Loan terms range from five years up to 10 years for the</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79375</wp:posOffset>
            </wp:positionV>
            <wp:extent cx="71831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081" w:right="318" w:bottom="1440" w:gutter="0" w:footer="0" w:header="0"/>
        </w:sectPr>
      </w:pPr>
    </w:p>
    <w:bookmarkStart w:id="6" w:name="page7"/>
    <w:bookmarkEnd w:id="6"/>
    <w:p>
      <w:pPr>
        <w:jc w:val="both"/>
        <w:spacing w:after="0" w:line="277" w:lineRule="auto"/>
        <w:rPr>
          <w:sz w:val="20"/>
          <w:szCs w:val="20"/>
          <w:color w:val="auto"/>
        </w:rPr>
      </w:pPr>
      <w:r>
        <w:rPr>
          <w:rFonts w:ascii="Arial" w:cs="Arial" w:eastAsia="Arial" w:hAnsi="Arial"/>
          <w:sz w:val="16"/>
          <w:szCs w:val="16"/>
          <w:color w:val="auto"/>
        </w:rPr>
        <w:t>purchase of a principal residence. All loans bear a reasonable rate of interest as determined by the Plan Administrator based on prevailing interest rates charged by persons in the business of lending money for loans which would be made under similar circumstances. Principal and interest are paid through payroll deductions.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Benefit Payments</w:t>
      </w:r>
    </w:p>
    <w:p>
      <w:pPr>
        <w:spacing w:after="0" w:line="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6"/>
          <w:szCs w:val="16"/>
          <w:color w:val="auto"/>
        </w:rPr>
        <w:t>Participants or their beneficiaries are eligible for distributions upon termination, retirement, disability, or death. Participants have the right to designate the method of payment of retirement benefits within the limitations specified in the Plan. Participants are also eligible for certain types of in-service withdrawals specified in the Plan. The benefit to which a participant is entitled is the vested benefit that can be provided from the participant's account.</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Termination</w:t>
      </w:r>
    </w:p>
    <w:p>
      <w:pPr>
        <w:spacing w:after="0" w:line="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6"/>
          <w:szCs w:val="16"/>
          <w:color w:val="auto"/>
        </w:rPr>
        <w:t>The Company reserves the right to terminate the Plan at any time by taking appropriate action as circumstances may dictate. In the event of Plan termination, each participant will become 100% vested in their accounts. The Plan Administrator will facilitate the distribution of account balances in single lump sum payments to each participant in accordance with plan provisions until all assets have been distributed.</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Administrative Expenses</w:t>
      </w:r>
    </w:p>
    <w:p>
      <w:pPr>
        <w:spacing w:after="0" w:line="70"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6"/>
          <w:szCs w:val="16"/>
          <w:color w:val="auto"/>
        </w:rPr>
        <w:t>Administrative expenses consist of but are not limited to recordkeeping, accounting, legal and trustee services. General plan administrative expenses may be paid by the Plan or from participant accounts. Participants are responsible for a loan setup fee of $75 and an annual loan maintenance fee of $25.</w:t>
      </w:r>
    </w:p>
    <w:p>
      <w:pPr>
        <w:spacing w:after="0" w:line="390" w:lineRule="exact"/>
        <w:rPr>
          <w:sz w:val="20"/>
          <w:szCs w:val="20"/>
          <w:color w:val="auto"/>
        </w:rPr>
      </w:pPr>
    </w:p>
    <w:p>
      <w:pPr>
        <w:spacing w:after="0"/>
        <w:rPr>
          <w:sz w:val="20"/>
          <w:szCs w:val="20"/>
          <w:color w:val="auto"/>
        </w:rPr>
      </w:pPr>
      <w:r>
        <w:rPr>
          <w:rFonts w:ascii="Arial" w:cs="Arial" w:eastAsia="Arial" w:hAnsi="Arial"/>
          <w:sz w:val="23"/>
          <w:szCs w:val="23"/>
          <w:color w:val="1D2758"/>
        </w:rPr>
        <w:t>NOTE 2 - Summary of Significant Accounting Policies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Accounting</w:t>
      </w:r>
    </w:p>
    <w:p>
      <w:pPr>
        <w:spacing w:after="0" w:line="70"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accompanying financial statements have been prepared on the accrual basis of accounting in accordance with generally accepted accounting principles in the United States of America (“GAAP”).</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6"/>
          <w:szCs w:val="16"/>
          <w:color w:val="auto"/>
        </w:rPr>
        <w:t>The preparation of financial statements in conformity with GAAP requires management to make estimates and assumptions that affect the reported amounts of assets and liabilities and changes therein, disclosure of contingent assets and liabilities as of the date of the financial statements. Actual results could differ from those estimates.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Valuation and Income Recognition</w:t>
      </w:r>
    </w:p>
    <w:p>
      <w:pPr>
        <w:spacing w:after="0" w:line="70"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Investments are reported at fair value. Fair value is the price that would be received to sell an asset or paid to transfer a liability in an orderly transaction between market participants at the measurement date. The Committee determines the Plan's valuation policies utilizing information provided by the Plan's investment advisory and the Plan trustee. See Note 3 for discussion of fair value measurements.</w:t>
      </w:r>
    </w:p>
    <w:p>
      <w:pPr>
        <w:spacing w:after="0" w:line="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6"/>
          <w:szCs w:val="16"/>
          <w:color w:val="auto"/>
        </w:rPr>
        <w:t>Purchases and sales of securities are recorded on a trade-date basis. Interest income is recorded on the accrual basis. Dividends are recorded on the ex-dividend date. Net appreciation/(depreciation) in fair value of investments includes the Plan's gains and losses on investments bought and sold as well as held during the year.</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Receivable from Participants</w:t>
      </w:r>
    </w:p>
    <w:p>
      <w:pPr>
        <w:spacing w:after="0" w:line="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6"/>
          <w:szCs w:val="16"/>
          <w:color w:val="auto"/>
        </w:rPr>
        <w:t>Notes receivable from participants are measured at their unpaid principal balance plus any accrued but unpaid interest. Interest income is recorded on the accrual basis. Related fees are recorded as administrative expenses and are expensed as incurred. If a participant ceases to make loan repayments and the Plan Administrator deems the participant loan to be in default, the participant loan balance is reduced and a benefit payment is recorded.</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Contributions</w:t>
      </w:r>
    </w:p>
    <w:p>
      <w:pPr>
        <w:spacing w:after="0" w:line="70" w:lineRule="exact"/>
        <w:rPr>
          <w:sz w:val="20"/>
          <w:szCs w:val="20"/>
          <w:color w:val="auto"/>
        </w:rPr>
      </w:pPr>
    </w:p>
    <w:p>
      <w:pPr>
        <w:jc w:val="both"/>
        <w:ind w:firstLine="648"/>
        <w:spacing w:after="0" w:line="309" w:lineRule="auto"/>
        <w:rPr>
          <w:sz w:val="20"/>
          <w:szCs w:val="20"/>
          <w:color w:val="auto"/>
        </w:rPr>
      </w:pPr>
      <w:r>
        <w:rPr>
          <w:rFonts w:ascii="Arial" w:cs="Arial" w:eastAsia="Arial" w:hAnsi="Arial"/>
          <w:sz w:val="16"/>
          <w:szCs w:val="16"/>
          <w:color w:val="auto"/>
        </w:rPr>
        <w:t>Participant contributions are recorded in the period that the Company makes payroll deductions from eligible Plan participants. Employer contributions are recognized in the period in which they become obligations of the Company.</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of Benefits</w:t>
      </w:r>
    </w:p>
    <w:p>
      <w:pPr>
        <w:spacing w:after="0" w:line="70" w:lineRule="exact"/>
        <w:rPr>
          <w:sz w:val="20"/>
          <w:szCs w:val="20"/>
          <w:color w:val="auto"/>
        </w:rPr>
      </w:pPr>
    </w:p>
    <w:p>
      <w:pPr>
        <w:ind w:left="640"/>
        <w:spacing w:after="0"/>
        <w:rPr>
          <w:sz w:val="20"/>
          <w:szCs w:val="20"/>
          <w:color w:val="auto"/>
        </w:rPr>
      </w:pPr>
      <w:r>
        <w:rPr>
          <w:rFonts w:ascii="Arial" w:cs="Arial" w:eastAsia="Arial" w:hAnsi="Arial"/>
          <w:sz w:val="16"/>
          <w:szCs w:val="16"/>
          <w:color w:val="auto"/>
        </w:rPr>
        <w:t>Benefits and withdrawals are recorded when paid.</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Administrative Expenses</w:t>
      </w:r>
    </w:p>
    <w:p>
      <w:pPr>
        <w:spacing w:after="0" w:line="7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6"/>
          <w:szCs w:val="16"/>
          <w:color w:val="auto"/>
        </w:rPr>
        <w:t>Expenses of maintaining the Plan may be paid by the Plan or by participants, generally being paid by the Plan through forfeiture accounts. Fees related to the administration of notes receivable from participants are charged directly to the participant's account and are included in administrative expenses. Investment related expenses are included in net appreciation/(depreciation) of fair value of investments.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79375</wp:posOffset>
            </wp:positionV>
            <wp:extent cx="71831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088" w:right="318" w:bottom="1440" w:gutter="0" w:footer="0" w:header="0"/>
        </w:sectPr>
      </w:pPr>
    </w:p>
    <w:bookmarkStart w:id="7" w:name="page8"/>
    <w:bookmarkEnd w:id="7"/>
    <w:p>
      <w:pPr>
        <w:spacing w:after="0"/>
        <w:rPr>
          <w:sz w:val="20"/>
          <w:szCs w:val="20"/>
          <w:color w:val="auto"/>
        </w:rPr>
      </w:pPr>
      <w:r>
        <w:rPr>
          <w:rFonts w:ascii="Arial" w:cs="Arial" w:eastAsia="Arial" w:hAnsi="Arial"/>
          <w:sz w:val="23"/>
          <w:szCs w:val="23"/>
          <w:color w:val="1D2758"/>
        </w:rPr>
        <w:t>NOTE 3 - Investments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and Uncertainties</w:t>
      </w:r>
    </w:p>
    <w:p>
      <w:pPr>
        <w:spacing w:after="0" w:line="70"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6"/>
          <w:szCs w:val="16"/>
          <w:color w:val="auto"/>
        </w:rPr>
        <w:t>The Plan invests in various investment securities. Investment securities are exposed to various risks, such as interest rate, market, and credit risks. Due to the level of risk associated with certain investment securities, it is reasonably possible that changes in the values of investment securities will occur in the near term, and that such changes could materially affect participants’ account balances and the amounts reported in the accompanying statements of net assets available for benefits.</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6"/>
          <w:szCs w:val="16"/>
          <w:color w:val="auto"/>
        </w:rPr>
        <w:t>The framework for measuring fair value provides a fair value hierarchy that prioritizes the inputs to valuation techniques used to measure fair value. The hierarchy gives the highest priority to unadjusted quoted prices in active markets for identical assets or liabilities (Level 1) and the lowest priority to unobservable inputs (Level 3).</w:t>
      </w:r>
    </w:p>
    <w:p>
      <w:pPr>
        <w:spacing w:after="0" w:line="1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three levels of the fair value hierarchy are described as follows:</w:t>
      </w:r>
    </w:p>
    <w:p>
      <w:pPr>
        <w:spacing w:after="0" w:line="113" w:lineRule="exact"/>
        <w:rPr>
          <w:sz w:val="20"/>
          <w:szCs w:val="20"/>
          <w:color w:val="auto"/>
        </w:rPr>
      </w:pPr>
    </w:p>
    <w:p>
      <w:pPr>
        <w:ind w:left="880" w:right="20" w:hanging="715"/>
        <w:spacing w:after="0" w:line="291" w:lineRule="auto"/>
        <w:tabs>
          <w:tab w:leader="none" w:pos="860" w:val="left"/>
        </w:tabs>
        <w:rPr>
          <w:sz w:val="20"/>
          <w:szCs w:val="20"/>
          <w:color w:val="auto"/>
        </w:rPr>
      </w:pPr>
      <w:r>
        <w:rPr>
          <w:rFonts w:ascii="Arial" w:cs="Arial" w:eastAsia="Arial" w:hAnsi="Arial"/>
          <w:sz w:val="16"/>
          <w:szCs w:val="16"/>
          <w:color w:val="auto"/>
        </w:rPr>
        <w:t>Level 1</w:t>
        <w:tab/>
        <w:t>Inputs to the valuation methodology are unadjusted quoted prices for identical assets or liabilities in active markets that the Plan has the ability to access.</w:t>
      </w:r>
    </w:p>
    <w:p>
      <w:pPr>
        <w:spacing w:after="0" w:line="94" w:lineRule="exact"/>
        <w:rPr>
          <w:sz w:val="20"/>
          <w:szCs w:val="20"/>
          <w:color w:val="auto"/>
        </w:rPr>
      </w:pPr>
    </w:p>
    <w:p>
      <w:pPr>
        <w:ind w:left="160"/>
        <w:spacing w:after="0"/>
        <w:tabs>
          <w:tab w:leader="none" w:pos="860" w:val="left"/>
        </w:tabs>
        <w:rPr>
          <w:sz w:val="20"/>
          <w:szCs w:val="20"/>
          <w:color w:val="auto"/>
        </w:rPr>
      </w:pPr>
      <w:r>
        <w:rPr>
          <w:rFonts w:ascii="Arial" w:cs="Arial" w:eastAsia="Arial" w:hAnsi="Arial"/>
          <w:sz w:val="16"/>
          <w:szCs w:val="16"/>
          <w:color w:val="auto"/>
        </w:rPr>
        <w:t>Level 2</w:t>
        <w:tab/>
        <w:t>Inputs to the valuation methodology include:</w:t>
      </w:r>
    </w:p>
    <w:p>
      <w:pPr>
        <w:spacing w:after="0" w:line="59" w:lineRule="exact"/>
        <w:rPr>
          <w:sz w:val="20"/>
          <w:szCs w:val="20"/>
          <w:color w:val="auto"/>
        </w:rPr>
      </w:pPr>
    </w:p>
    <w:p>
      <w:pPr>
        <w:ind w:left="1540" w:hanging="331"/>
        <w:spacing w:after="0"/>
        <w:tabs>
          <w:tab w:leader="none" w:pos="1540" w:val="left"/>
        </w:tabs>
        <w:numPr>
          <w:ilvl w:val="0"/>
          <w:numId w:val="2"/>
        </w:numPr>
        <w:rPr>
          <w:rFonts w:ascii="Arial" w:cs="Arial" w:eastAsia="Arial" w:hAnsi="Arial"/>
          <w:sz w:val="16"/>
          <w:szCs w:val="16"/>
          <w:color w:val="auto"/>
        </w:rPr>
      </w:pPr>
      <w:r>
        <w:rPr>
          <w:rFonts w:ascii="Arial" w:cs="Arial" w:eastAsia="Arial" w:hAnsi="Arial"/>
          <w:sz w:val="16"/>
          <w:szCs w:val="16"/>
          <w:color w:val="auto"/>
        </w:rPr>
        <w:t>quoted prices for similar assets or liabilities in active markets;</w:t>
      </w:r>
    </w:p>
    <w:p>
      <w:pPr>
        <w:spacing w:after="0" w:line="59" w:lineRule="exact"/>
        <w:rPr>
          <w:rFonts w:ascii="Arial" w:cs="Arial" w:eastAsia="Arial" w:hAnsi="Arial"/>
          <w:sz w:val="16"/>
          <w:szCs w:val="16"/>
          <w:color w:val="auto"/>
        </w:rPr>
      </w:pPr>
    </w:p>
    <w:p>
      <w:pPr>
        <w:ind w:left="1540" w:hanging="331"/>
        <w:spacing w:after="0"/>
        <w:tabs>
          <w:tab w:leader="none" w:pos="1540" w:val="left"/>
        </w:tabs>
        <w:numPr>
          <w:ilvl w:val="0"/>
          <w:numId w:val="2"/>
        </w:numPr>
        <w:rPr>
          <w:rFonts w:ascii="Arial" w:cs="Arial" w:eastAsia="Arial" w:hAnsi="Arial"/>
          <w:sz w:val="16"/>
          <w:szCs w:val="16"/>
          <w:color w:val="auto"/>
        </w:rPr>
      </w:pPr>
      <w:r>
        <w:rPr>
          <w:rFonts w:ascii="Arial" w:cs="Arial" w:eastAsia="Arial" w:hAnsi="Arial"/>
          <w:sz w:val="16"/>
          <w:szCs w:val="16"/>
          <w:color w:val="auto"/>
        </w:rPr>
        <w:t>quoted prices for identical or similar assets or liabilities in inactive markets;</w:t>
      </w:r>
    </w:p>
    <w:p>
      <w:pPr>
        <w:spacing w:after="0" w:line="72" w:lineRule="exact"/>
        <w:rPr>
          <w:rFonts w:ascii="Arial" w:cs="Arial" w:eastAsia="Arial" w:hAnsi="Arial"/>
          <w:sz w:val="16"/>
          <w:szCs w:val="16"/>
          <w:color w:val="auto"/>
        </w:rPr>
      </w:pPr>
    </w:p>
    <w:p>
      <w:pPr>
        <w:ind w:left="1540" w:hanging="331"/>
        <w:spacing w:after="0"/>
        <w:tabs>
          <w:tab w:leader="none" w:pos="1540" w:val="left"/>
        </w:tabs>
        <w:numPr>
          <w:ilvl w:val="0"/>
          <w:numId w:val="2"/>
        </w:numPr>
        <w:rPr>
          <w:rFonts w:ascii="Arial" w:cs="Arial" w:eastAsia="Arial" w:hAnsi="Arial"/>
          <w:sz w:val="16"/>
          <w:szCs w:val="16"/>
          <w:color w:val="auto"/>
        </w:rPr>
      </w:pPr>
      <w:r>
        <w:rPr>
          <w:rFonts w:ascii="Arial" w:cs="Arial" w:eastAsia="Arial" w:hAnsi="Arial"/>
          <w:sz w:val="16"/>
          <w:szCs w:val="16"/>
          <w:color w:val="auto"/>
        </w:rPr>
        <w:t>inputs other than quoted prices that are observable for the asset or liability; and</w:t>
      </w:r>
    </w:p>
    <w:p>
      <w:pPr>
        <w:spacing w:after="0" w:line="59" w:lineRule="exact"/>
        <w:rPr>
          <w:rFonts w:ascii="Arial" w:cs="Arial" w:eastAsia="Arial" w:hAnsi="Arial"/>
          <w:sz w:val="16"/>
          <w:szCs w:val="16"/>
          <w:color w:val="auto"/>
        </w:rPr>
      </w:pPr>
    </w:p>
    <w:p>
      <w:pPr>
        <w:ind w:left="1540" w:hanging="331"/>
        <w:spacing w:after="0"/>
        <w:tabs>
          <w:tab w:leader="none" w:pos="1540" w:val="left"/>
        </w:tabs>
        <w:numPr>
          <w:ilvl w:val="0"/>
          <w:numId w:val="2"/>
        </w:numPr>
        <w:rPr>
          <w:rFonts w:ascii="Arial" w:cs="Arial" w:eastAsia="Arial" w:hAnsi="Arial"/>
          <w:sz w:val="16"/>
          <w:szCs w:val="16"/>
          <w:color w:val="auto"/>
        </w:rPr>
      </w:pPr>
      <w:r>
        <w:rPr>
          <w:rFonts w:ascii="Arial" w:cs="Arial" w:eastAsia="Arial" w:hAnsi="Arial"/>
          <w:sz w:val="16"/>
          <w:szCs w:val="16"/>
          <w:color w:val="auto"/>
        </w:rPr>
        <w:t>inputs that are derived principally from or corroborated by observable market data by correlation or other means</w:t>
      </w:r>
    </w:p>
    <w:p>
      <w:pPr>
        <w:spacing w:after="0" w:line="73" w:lineRule="exact"/>
        <w:rPr>
          <w:sz w:val="20"/>
          <w:szCs w:val="20"/>
          <w:color w:val="auto"/>
        </w:rPr>
      </w:pPr>
    </w:p>
    <w:p>
      <w:pPr>
        <w:ind w:left="160" w:right="20" w:firstLine="716"/>
        <w:spacing w:after="0" w:line="457" w:lineRule="auto"/>
        <w:rPr>
          <w:sz w:val="20"/>
          <w:szCs w:val="20"/>
          <w:color w:val="auto"/>
        </w:rPr>
      </w:pPr>
      <w:r>
        <w:rPr>
          <w:rFonts w:ascii="Arial" w:cs="Arial" w:eastAsia="Arial" w:hAnsi="Arial"/>
          <w:sz w:val="16"/>
          <w:szCs w:val="16"/>
          <w:color w:val="auto"/>
        </w:rPr>
        <w:t>If the asset or liability has a specified (contractual) term, the Level 2 input must be observable for substantially the full term of the asset or liability Level 3 Inputs to the valuation methodology are unobservable and significant to the fair value measurement.</w:t>
      </w:r>
    </w:p>
    <w:p>
      <w:pPr>
        <w:spacing w:after="0" w:line="1" w:lineRule="exact"/>
        <w:rPr>
          <w:sz w:val="20"/>
          <w:szCs w:val="20"/>
          <w:color w:val="auto"/>
        </w:rPr>
      </w:pPr>
    </w:p>
    <w:p>
      <w:pPr>
        <w:ind w:firstLine="648"/>
        <w:spacing w:after="0" w:line="281" w:lineRule="auto"/>
        <w:rPr>
          <w:sz w:val="20"/>
          <w:szCs w:val="20"/>
          <w:color w:val="auto"/>
        </w:rPr>
      </w:pPr>
      <w:r>
        <w:rPr>
          <w:rFonts w:ascii="Arial" w:cs="Arial" w:eastAsia="Arial" w:hAnsi="Arial"/>
          <w:sz w:val="16"/>
          <w:szCs w:val="16"/>
          <w:color w:val="auto"/>
        </w:rPr>
        <w:t>The asset's or liability’s fair value measurement level within the fair value hierarchy is based on the lowest level of any input that is significant to the fair value measurement. Valuation techniques maximize the use of observable inputs and minimize the use of unobservable inputs.</w:t>
      </w:r>
    </w:p>
    <w:p>
      <w:pPr>
        <w:spacing w:after="0" w:line="1"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Following is a description of the valuation methodologies used for assets measured at fair value. There have been no changes in the methodologies used as of December 31, 2025 and 2024.</w:t>
      </w:r>
    </w:p>
    <w:p>
      <w:pPr>
        <w:spacing w:after="0" w:line="1" w:lineRule="exact"/>
        <w:rPr>
          <w:sz w:val="20"/>
          <w:szCs w:val="20"/>
          <w:color w:val="auto"/>
        </w:rPr>
      </w:pPr>
    </w:p>
    <w:p>
      <w:pPr>
        <w:jc w:val="both"/>
        <w:ind w:left="640" w:hanging="323"/>
        <w:spacing w:after="0" w:line="272" w:lineRule="auto"/>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Mutual funds and money market funds</w:t>
      </w:r>
      <w:r>
        <w:rPr>
          <w:rFonts w:ascii="Arial" w:cs="Arial" w:eastAsia="Arial" w:hAnsi="Arial"/>
          <w:sz w:val="16"/>
          <w:szCs w:val="16"/>
          <w:color w:val="auto"/>
        </w:rPr>
        <w:t>: Valued at the daily closing price as reported by the fund. Mutual funds and money market funds held by the</w:t>
      </w:r>
      <w:r>
        <w:rPr>
          <w:rFonts w:ascii="Arial" w:cs="Arial" w:eastAsia="Arial" w:hAnsi="Arial"/>
          <w:sz w:val="16"/>
          <w:szCs w:val="16"/>
          <w:i w:val="1"/>
          <w:iCs w:val="1"/>
          <w:color w:val="auto"/>
        </w:rPr>
        <w:t xml:space="preserve"> </w:t>
      </w:r>
      <w:r>
        <w:rPr>
          <w:rFonts w:ascii="Arial" w:cs="Arial" w:eastAsia="Arial" w:hAnsi="Arial"/>
          <w:sz w:val="16"/>
          <w:szCs w:val="16"/>
          <w:color w:val="auto"/>
        </w:rPr>
        <w:t>Plan are open-end funds registered with the United States of America ("U.S.") Securities Exchange Commission. These funds are required to publish their daily net asset value ("NAV") and to transact at that price. The mutual funds and money market funds held by the Plan are deemed to be actively traded.</w:t>
      </w:r>
    </w:p>
    <w:p>
      <w:pPr>
        <w:spacing w:after="0" w:line="2" w:lineRule="exact"/>
        <w:rPr>
          <w:rFonts w:ascii="Arial" w:cs="Arial" w:eastAsia="Arial" w:hAnsi="Arial"/>
          <w:sz w:val="16"/>
          <w:szCs w:val="16"/>
          <w:color w:val="auto"/>
        </w:rPr>
      </w:pPr>
    </w:p>
    <w:p>
      <w:pPr>
        <w:ind w:left="640" w:hanging="323"/>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Common stock</w:t>
      </w:r>
      <w:r>
        <w:rPr>
          <w:rFonts w:ascii="Arial" w:cs="Arial" w:eastAsia="Arial" w:hAnsi="Arial"/>
          <w:sz w:val="16"/>
          <w:szCs w:val="16"/>
          <w:color w:val="auto"/>
        </w:rPr>
        <w:t>: Valued at the closing price reported on the active market on which the individual securities are traded.</w:t>
      </w:r>
    </w:p>
    <w:p>
      <w:pPr>
        <w:spacing w:after="0" w:line="59" w:lineRule="exact"/>
        <w:rPr>
          <w:rFonts w:ascii="Arial" w:cs="Arial" w:eastAsia="Arial" w:hAnsi="Arial"/>
          <w:sz w:val="16"/>
          <w:szCs w:val="16"/>
          <w:color w:val="auto"/>
        </w:rPr>
      </w:pPr>
    </w:p>
    <w:p>
      <w:pPr>
        <w:jc w:val="both"/>
        <w:ind w:left="640" w:hanging="323"/>
        <w:spacing w:after="0" w:line="277" w:lineRule="auto"/>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Collective investments trusts</w:t>
      </w:r>
      <w:r>
        <w:rPr>
          <w:rFonts w:ascii="Arial" w:cs="Arial" w:eastAsia="Arial" w:hAnsi="Arial"/>
          <w:sz w:val="16"/>
          <w:szCs w:val="16"/>
          <w:color w:val="auto"/>
        </w:rPr>
        <w:t>: Valued at NAV of the underlying investments by the issuer of the funds based on the fund managers’ estimate of the</w:t>
      </w:r>
      <w:r>
        <w:rPr>
          <w:rFonts w:ascii="Arial" w:cs="Arial" w:eastAsia="Arial" w:hAnsi="Arial"/>
          <w:sz w:val="16"/>
          <w:szCs w:val="16"/>
          <w:i w:val="1"/>
          <w:iCs w:val="1"/>
          <w:color w:val="auto"/>
        </w:rPr>
        <w:t xml:space="preserve"> </w:t>
      </w:r>
      <w:r>
        <w:rPr>
          <w:rFonts w:ascii="Arial" w:cs="Arial" w:eastAsia="Arial" w:hAnsi="Arial"/>
          <w:sz w:val="16"/>
          <w:szCs w:val="16"/>
          <w:color w:val="auto"/>
        </w:rPr>
        <w:t>individual closing price of the funds on the last day of the Plan year as quoted by the applicable fund issuer. The collective trust funds' estimated value is NAV, exclusive of the adjustment to contract value.</w:t>
      </w:r>
    </w:p>
    <w:p>
      <w:pPr>
        <w:spacing w:after="0" w:line="1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6"/>
          <w:szCs w:val="16"/>
          <w:color w:val="auto"/>
        </w:rPr>
        <w:t>The methods described above may produce a fair value calculation that may not be indicative of net realizable value or reflective of future values. Furthermore, which the Plan believes its valuation methods are appropriate and consistent with other market participants, the use of different methodologies or assumptions to determine the fair values of certain financial instruments could result in a different fair value measurement at the reporting date.</w:t>
      </w:r>
    </w:p>
    <w:p>
      <w:pPr>
        <w:spacing w:after="0" w:line="16"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following tables set forth by level, within the fair value hierarchy, the Plan’s investments at fair value as of December 31, 2025 and 2024:</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4280" w:type="dxa"/>
            <w:vAlign w:val="bottom"/>
            <w:shd w:val="clear" w:color="auto" w:fill="1D2758"/>
          </w:tcPr>
          <w:p>
            <w:pPr>
              <w:spacing w:after="0"/>
              <w:rPr>
                <w:sz w:val="21"/>
                <w:szCs w:val="21"/>
                <w:color w:val="auto"/>
              </w:rPr>
            </w:pPr>
          </w:p>
        </w:tc>
        <w:tc>
          <w:tcPr>
            <w:tcW w:w="340" w:type="dxa"/>
            <w:vAlign w:val="bottom"/>
            <w:shd w:val="clear" w:color="auto" w:fill="1D2758"/>
          </w:tcPr>
          <w:p>
            <w:pPr>
              <w:spacing w:after="0"/>
              <w:rPr>
                <w:sz w:val="21"/>
                <w:szCs w:val="21"/>
                <w:color w:val="auto"/>
              </w:rPr>
            </w:pPr>
          </w:p>
        </w:tc>
        <w:tc>
          <w:tcPr>
            <w:tcW w:w="1340" w:type="dxa"/>
            <w:vAlign w:val="bottom"/>
            <w:shd w:val="clear" w:color="auto" w:fill="1D2758"/>
          </w:tcPr>
          <w:p>
            <w:pPr>
              <w:spacing w:after="0"/>
              <w:rPr>
                <w:sz w:val="21"/>
                <w:szCs w:val="21"/>
                <w:color w:val="auto"/>
              </w:rPr>
            </w:pPr>
          </w:p>
        </w:tc>
        <w:tc>
          <w:tcPr>
            <w:tcW w:w="3640" w:type="dxa"/>
            <w:vAlign w:val="bottom"/>
            <w:gridSpan w:val="4"/>
            <w:shd w:val="clear" w:color="auto" w:fill="1D2758"/>
          </w:tcPr>
          <w:p>
            <w:pPr>
              <w:ind w:left="80"/>
              <w:spacing w:after="0"/>
              <w:rPr>
                <w:sz w:val="20"/>
                <w:szCs w:val="20"/>
                <w:color w:val="auto"/>
              </w:rPr>
            </w:pPr>
            <w:r>
              <w:rPr>
                <w:rFonts w:ascii="Arial" w:cs="Arial" w:eastAsia="Arial" w:hAnsi="Arial"/>
                <w:sz w:val="16"/>
                <w:szCs w:val="16"/>
                <w:b w:val="1"/>
                <w:bCs w:val="1"/>
                <w:color w:val="FFFFFF"/>
              </w:rPr>
              <w:t>Assets at Fair Value as of December 31, 2025</w:t>
            </w:r>
          </w:p>
        </w:tc>
        <w:tc>
          <w:tcPr>
            <w:tcW w:w="360" w:type="dxa"/>
            <w:vAlign w:val="bottom"/>
            <w:shd w:val="clear" w:color="auto" w:fill="1D2758"/>
          </w:tcPr>
          <w:p>
            <w:pPr>
              <w:spacing w:after="0"/>
              <w:rPr>
                <w:sz w:val="21"/>
                <w:szCs w:val="21"/>
                <w:color w:val="auto"/>
              </w:rPr>
            </w:pPr>
          </w:p>
        </w:tc>
        <w:tc>
          <w:tcPr>
            <w:tcW w:w="1300" w:type="dxa"/>
            <w:vAlign w:val="bottom"/>
            <w:shd w:val="clear" w:color="auto" w:fill="1D2758"/>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4280" w:type="dxa"/>
            <w:vAlign w:val="bottom"/>
            <w:shd w:val="clear" w:color="auto" w:fill="1D2758"/>
          </w:tcPr>
          <w:p>
            <w:pPr>
              <w:spacing w:after="0"/>
              <w:rPr>
                <w:sz w:val="21"/>
                <w:szCs w:val="21"/>
                <w:color w:val="auto"/>
              </w:rPr>
            </w:pPr>
          </w:p>
        </w:tc>
        <w:tc>
          <w:tcPr>
            <w:tcW w:w="340" w:type="dxa"/>
            <w:vAlign w:val="bottom"/>
            <w:shd w:val="clear" w:color="auto" w:fill="1D2758"/>
          </w:tcPr>
          <w:p>
            <w:pPr>
              <w:spacing w:after="0"/>
              <w:rPr>
                <w:sz w:val="21"/>
                <w:szCs w:val="21"/>
                <w:color w:val="auto"/>
              </w:rPr>
            </w:pPr>
          </w:p>
        </w:tc>
        <w:tc>
          <w:tcPr>
            <w:tcW w:w="1340" w:type="dxa"/>
            <w:vAlign w:val="bottom"/>
            <w:shd w:val="clear" w:color="auto" w:fill="1D2758"/>
          </w:tcPr>
          <w:p>
            <w:pPr>
              <w:jc w:val="right"/>
              <w:ind w:right="479"/>
              <w:spacing w:after="0"/>
              <w:rPr>
                <w:sz w:val="20"/>
                <w:szCs w:val="20"/>
                <w:color w:val="auto"/>
              </w:rPr>
            </w:pPr>
            <w:r>
              <w:rPr>
                <w:rFonts w:ascii="Arial" w:cs="Arial" w:eastAsia="Arial" w:hAnsi="Arial"/>
                <w:sz w:val="16"/>
                <w:szCs w:val="16"/>
                <w:b w:val="1"/>
                <w:bCs w:val="1"/>
                <w:color w:val="FFFFFF"/>
              </w:rPr>
              <w:t>Level 1</w:t>
            </w:r>
          </w:p>
        </w:tc>
        <w:tc>
          <w:tcPr>
            <w:tcW w:w="440" w:type="dxa"/>
            <w:vAlign w:val="bottom"/>
            <w:shd w:val="clear" w:color="auto" w:fill="1D2758"/>
          </w:tcPr>
          <w:p>
            <w:pPr>
              <w:spacing w:after="0"/>
              <w:rPr>
                <w:sz w:val="21"/>
                <w:szCs w:val="21"/>
                <w:color w:val="auto"/>
              </w:rPr>
            </w:pPr>
          </w:p>
        </w:tc>
        <w:tc>
          <w:tcPr>
            <w:tcW w:w="1340" w:type="dxa"/>
            <w:vAlign w:val="bottom"/>
            <w:shd w:val="clear" w:color="auto" w:fill="1D2758"/>
          </w:tcPr>
          <w:p>
            <w:pPr>
              <w:ind w:left="220"/>
              <w:spacing w:after="0"/>
              <w:rPr>
                <w:sz w:val="20"/>
                <w:szCs w:val="20"/>
                <w:color w:val="auto"/>
              </w:rPr>
            </w:pPr>
            <w:r>
              <w:rPr>
                <w:rFonts w:ascii="Arial" w:cs="Arial" w:eastAsia="Arial" w:hAnsi="Arial"/>
                <w:sz w:val="16"/>
                <w:szCs w:val="16"/>
                <w:b w:val="1"/>
                <w:bCs w:val="1"/>
                <w:color w:val="FFFFFF"/>
              </w:rPr>
              <w:t>Level 2</w:t>
            </w:r>
          </w:p>
        </w:tc>
        <w:tc>
          <w:tcPr>
            <w:tcW w:w="420" w:type="dxa"/>
            <w:vAlign w:val="bottom"/>
            <w:shd w:val="clear" w:color="auto" w:fill="1D2758"/>
          </w:tcPr>
          <w:p>
            <w:pPr>
              <w:spacing w:after="0"/>
              <w:rPr>
                <w:sz w:val="21"/>
                <w:szCs w:val="21"/>
                <w:color w:val="auto"/>
              </w:rPr>
            </w:pPr>
          </w:p>
        </w:tc>
        <w:tc>
          <w:tcPr>
            <w:tcW w:w="1440" w:type="dxa"/>
            <w:vAlign w:val="bottom"/>
            <w:shd w:val="clear" w:color="auto" w:fill="1D2758"/>
          </w:tcPr>
          <w:p>
            <w:pPr>
              <w:ind w:left="220"/>
              <w:spacing w:after="0"/>
              <w:rPr>
                <w:sz w:val="20"/>
                <w:szCs w:val="20"/>
                <w:color w:val="auto"/>
              </w:rPr>
            </w:pPr>
            <w:r>
              <w:rPr>
                <w:rFonts w:ascii="Arial" w:cs="Arial" w:eastAsia="Arial" w:hAnsi="Arial"/>
                <w:sz w:val="16"/>
                <w:szCs w:val="16"/>
                <w:b w:val="1"/>
                <w:bCs w:val="1"/>
                <w:color w:val="FFFFFF"/>
              </w:rPr>
              <w:t>Level 3</w:t>
            </w:r>
          </w:p>
        </w:tc>
        <w:tc>
          <w:tcPr>
            <w:tcW w:w="360" w:type="dxa"/>
            <w:vAlign w:val="bottom"/>
            <w:shd w:val="clear" w:color="auto" w:fill="1D2758"/>
          </w:tcPr>
          <w:p>
            <w:pPr>
              <w:spacing w:after="0"/>
              <w:rPr>
                <w:sz w:val="21"/>
                <w:szCs w:val="21"/>
                <w:color w:val="auto"/>
              </w:rPr>
            </w:pPr>
          </w:p>
        </w:tc>
        <w:tc>
          <w:tcPr>
            <w:tcW w:w="1300" w:type="dxa"/>
            <w:vAlign w:val="bottom"/>
            <w:shd w:val="clear" w:color="auto" w:fill="1D2758"/>
          </w:tcPr>
          <w:p>
            <w:pPr>
              <w:jc w:val="right"/>
              <w:ind w:right="559"/>
              <w:spacing w:after="0"/>
              <w:rPr>
                <w:sz w:val="20"/>
                <w:szCs w:val="20"/>
                <w:color w:val="auto"/>
              </w:rPr>
            </w:pPr>
            <w:r>
              <w:rPr>
                <w:rFonts w:ascii="Arial" w:cs="Arial" w:eastAsia="Arial" w:hAnsi="Arial"/>
                <w:sz w:val="16"/>
                <w:szCs w:val="16"/>
                <w:b w:val="1"/>
                <w:bCs w:val="1"/>
                <w:color w:val="FFFFFF"/>
              </w:rPr>
              <w:t>Total</w:t>
            </w:r>
          </w:p>
        </w:tc>
        <w:tc>
          <w:tcPr>
            <w:tcW w:w="0" w:type="dxa"/>
            <w:vAlign w:val="bottom"/>
          </w:tcPr>
          <w:p>
            <w:pPr>
              <w:spacing w:after="0"/>
              <w:rPr>
                <w:sz w:val="1"/>
                <w:szCs w:val="1"/>
                <w:color w:val="auto"/>
              </w:rPr>
            </w:pPr>
          </w:p>
        </w:tc>
      </w:tr>
      <w:tr>
        <w:trPr>
          <w:trHeight w:val="243"/>
        </w:trPr>
        <w:tc>
          <w:tcPr>
            <w:tcW w:w="4280" w:type="dxa"/>
            <w:vAlign w:val="bottom"/>
            <w:shd w:val="clear" w:color="auto" w:fill="DBDBDB"/>
          </w:tcPr>
          <w:p>
            <w:pPr>
              <w:ind w:left="20"/>
              <w:spacing w:after="0"/>
              <w:rPr>
                <w:sz w:val="20"/>
                <w:szCs w:val="20"/>
                <w:color w:val="auto"/>
              </w:rPr>
            </w:pPr>
            <w:r>
              <w:rPr>
                <w:rFonts w:ascii="Arial" w:cs="Arial" w:eastAsia="Arial" w:hAnsi="Arial"/>
                <w:sz w:val="16"/>
                <w:szCs w:val="16"/>
                <w:color w:val="auto"/>
              </w:rPr>
              <w:t>Mutual funds and money market funds</w:t>
            </w:r>
          </w:p>
        </w:tc>
        <w:tc>
          <w:tcPr>
            <w:tcW w:w="340" w:type="dxa"/>
            <w:vAlign w:val="bottom"/>
            <w:shd w:val="clear" w:color="auto" w:fill="DBDBDB"/>
          </w:tcPr>
          <w:p>
            <w:pPr>
              <w:jc w:val="right"/>
              <w:ind w:right="139"/>
              <w:spacing w:after="0"/>
              <w:rPr>
                <w:sz w:val="20"/>
                <w:szCs w:val="20"/>
                <w:color w:val="auto"/>
              </w:rPr>
            </w:pPr>
            <w:r>
              <w:rPr>
                <w:rFonts w:ascii="Arial" w:cs="Arial" w:eastAsia="Arial" w:hAnsi="Arial"/>
                <w:sz w:val="16"/>
                <w:szCs w:val="16"/>
                <w:color w:val="auto"/>
              </w:rPr>
              <w:t>$</w:t>
            </w:r>
          </w:p>
        </w:tc>
        <w:tc>
          <w:tcPr>
            <w:tcW w:w="13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317,541,573</w:t>
            </w:r>
          </w:p>
        </w:tc>
        <w:tc>
          <w:tcPr>
            <w:tcW w:w="440" w:type="dxa"/>
            <w:vAlign w:val="bottom"/>
            <w:shd w:val="clear" w:color="auto" w:fill="DBDBDB"/>
          </w:tcPr>
          <w:p>
            <w:pPr>
              <w:jc w:val="right"/>
              <w:ind w:right="159"/>
              <w:spacing w:after="0"/>
              <w:rPr>
                <w:sz w:val="20"/>
                <w:szCs w:val="20"/>
                <w:color w:val="auto"/>
              </w:rPr>
            </w:pPr>
            <w:r>
              <w:rPr>
                <w:rFonts w:ascii="Arial" w:cs="Arial" w:eastAsia="Arial" w:hAnsi="Arial"/>
                <w:sz w:val="16"/>
                <w:szCs w:val="16"/>
                <w:color w:val="auto"/>
              </w:rPr>
              <w:t>$</w:t>
            </w:r>
          </w:p>
        </w:tc>
        <w:tc>
          <w:tcPr>
            <w:tcW w:w="1340" w:type="dxa"/>
            <w:vAlign w:val="bottom"/>
            <w:shd w:val="clear" w:color="auto" w:fill="DBDBDB"/>
          </w:tcPr>
          <w:p>
            <w:pPr>
              <w:ind w:left="1100"/>
              <w:spacing w:after="0"/>
              <w:rPr>
                <w:sz w:val="20"/>
                <w:szCs w:val="20"/>
                <w:color w:val="auto"/>
              </w:rPr>
            </w:pPr>
            <w:r>
              <w:rPr>
                <w:rFonts w:ascii="Arial" w:cs="Arial" w:eastAsia="Arial" w:hAnsi="Arial"/>
                <w:sz w:val="16"/>
                <w:szCs w:val="16"/>
                <w:color w:val="auto"/>
              </w:rPr>
              <w:t>—</w:t>
            </w:r>
          </w:p>
        </w:tc>
        <w:tc>
          <w:tcPr>
            <w:tcW w:w="420" w:type="dxa"/>
            <w:vAlign w:val="bottom"/>
            <w:shd w:val="clear" w:color="auto" w:fill="DBDBDB"/>
          </w:tcPr>
          <w:p>
            <w:pPr>
              <w:jc w:val="right"/>
              <w:ind w:right="139"/>
              <w:spacing w:after="0"/>
              <w:rPr>
                <w:sz w:val="20"/>
                <w:szCs w:val="20"/>
                <w:color w:val="auto"/>
              </w:rPr>
            </w:pPr>
            <w:r>
              <w:rPr>
                <w:rFonts w:ascii="Arial" w:cs="Arial" w:eastAsia="Arial" w:hAnsi="Arial"/>
                <w:sz w:val="16"/>
                <w:szCs w:val="16"/>
                <w:color w:val="auto"/>
              </w:rPr>
              <w:t>$</w:t>
            </w:r>
          </w:p>
        </w:tc>
        <w:tc>
          <w:tcPr>
            <w:tcW w:w="1440" w:type="dxa"/>
            <w:vAlign w:val="bottom"/>
            <w:shd w:val="clear" w:color="auto" w:fill="DBDBDB"/>
          </w:tcPr>
          <w:p>
            <w:pPr>
              <w:ind w:left="1100"/>
              <w:spacing w:after="0"/>
              <w:rPr>
                <w:sz w:val="20"/>
                <w:szCs w:val="20"/>
                <w:color w:val="auto"/>
              </w:rPr>
            </w:pPr>
            <w:r>
              <w:rPr>
                <w:rFonts w:ascii="Arial" w:cs="Arial" w:eastAsia="Arial" w:hAnsi="Arial"/>
                <w:sz w:val="16"/>
                <w:szCs w:val="16"/>
                <w:color w:val="auto"/>
              </w:rPr>
              <w:t>—</w:t>
            </w:r>
          </w:p>
        </w:tc>
        <w:tc>
          <w:tcPr>
            <w:tcW w:w="360" w:type="dxa"/>
            <w:vAlign w:val="bottom"/>
            <w:shd w:val="clear" w:color="auto" w:fill="DBDBDB"/>
          </w:tcPr>
          <w:p>
            <w:pPr>
              <w:jc w:val="right"/>
              <w:ind w:right="17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317,541,573</w:t>
            </w:r>
          </w:p>
        </w:tc>
        <w:tc>
          <w:tcPr>
            <w:tcW w:w="0" w:type="dxa"/>
            <w:vAlign w:val="bottom"/>
          </w:tcPr>
          <w:p>
            <w:pPr>
              <w:spacing w:after="0"/>
              <w:rPr>
                <w:sz w:val="1"/>
                <w:szCs w:val="1"/>
                <w:color w:val="auto"/>
              </w:rPr>
            </w:pPr>
          </w:p>
        </w:tc>
      </w:tr>
      <w:tr>
        <w:trPr>
          <w:trHeight w:val="250"/>
        </w:trPr>
        <w:tc>
          <w:tcPr>
            <w:tcW w:w="428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WillScot Holdings Corporation common stock fund</w:t>
            </w:r>
          </w:p>
        </w:tc>
        <w:tc>
          <w:tcPr>
            <w:tcW w:w="3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1,277,764</w:t>
            </w:r>
          </w:p>
        </w:tc>
        <w:tc>
          <w:tcPr>
            <w:tcW w:w="4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ind w:left="110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ind w:left="110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1,277,764</w:t>
            </w:r>
          </w:p>
        </w:tc>
        <w:tc>
          <w:tcPr>
            <w:tcW w:w="0" w:type="dxa"/>
            <w:vAlign w:val="bottom"/>
          </w:tcPr>
          <w:p>
            <w:pPr>
              <w:spacing w:after="0"/>
              <w:rPr>
                <w:sz w:val="1"/>
                <w:szCs w:val="1"/>
                <w:color w:val="auto"/>
              </w:rPr>
            </w:pPr>
          </w:p>
        </w:tc>
      </w:tr>
      <w:tr>
        <w:trPr>
          <w:trHeight w:val="268"/>
        </w:trPr>
        <w:tc>
          <w:tcPr>
            <w:tcW w:w="42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Total assets in the fair value hierarchy</w:t>
            </w:r>
          </w:p>
        </w:tc>
        <w:tc>
          <w:tcPr>
            <w:tcW w:w="340" w:type="dxa"/>
            <w:vAlign w:val="bottom"/>
            <w:tcBorders>
              <w:bottom w:val="single" w:sz="8" w:color="auto"/>
            </w:tcBorders>
            <w:shd w:val="clear" w:color="auto" w:fill="DBDBDB"/>
          </w:tcPr>
          <w:p>
            <w:pPr>
              <w:jc w:val="right"/>
              <w:ind w:right="13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318,819,337</w:t>
            </w:r>
          </w:p>
        </w:tc>
        <w:tc>
          <w:tcPr>
            <w:tcW w:w="440" w:type="dxa"/>
            <w:vAlign w:val="bottom"/>
            <w:tcBorders>
              <w:bottom w:val="single" w:sz="8" w:color="auto"/>
            </w:tcBorders>
            <w:shd w:val="clear" w:color="auto" w:fill="DBDBDB"/>
          </w:tcPr>
          <w:p>
            <w:pPr>
              <w:jc w:val="right"/>
              <w:ind w:right="15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DBDBDB"/>
          </w:tcPr>
          <w:p>
            <w:pPr>
              <w:ind w:left="110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shd w:val="clear" w:color="auto" w:fill="DBDBDB"/>
          </w:tcPr>
          <w:p>
            <w:pPr>
              <w:jc w:val="right"/>
              <w:ind w:right="139"/>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shd w:val="clear" w:color="auto" w:fill="DBDBDB"/>
          </w:tcPr>
          <w:p>
            <w:pPr>
              <w:ind w:left="110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DBDBDB"/>
            </w:tcBorders>
            <w:shd w:val="clear" w:color="auto" w:fill="DBDBDB"/>
          </w:tcPr>
          <w:p>
            <w:pPr>
              <w:spacing w:after="0"/>
              <w:rPr>
                <w:sz w:val="22"/>
                <w:szCs w:val="22"/>
                <w:color w:val="auto"/>
              </w:rPr>
            </w:pPr>
          </w:p>
        </w:tc>
        <w:tc>
          <w:tcPr>
            <w:tcW w:w="13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318,819,337</w:t>
            </w:r>
          </w:p>
        </w:tc>
        <w:tc>
          <w:tcPr>
            <w:tcW w:w="0" w:type="dxa"/>
            <w:vAlign w:val="bottom"/>
          </w:tcPr>
          <w:p>
            <w:pPr>
              <w:spacing w:after="0"/>
              <w:rPr>
                <w:sz w:val="1"/>
                <w:szCs w:val="1"/>
                <w:color w:val="auto"/>
              </w:rPr>
            </w:pPr>
          </w:p>
        </w:tc>
      </w:tr>
      <w:tr>
        <w:trPr>
          <w:trHeight w:val="20"/>
        </w:trPr>
        <w:tc>
          <w:tcPr>
            <w:tcW w:w="4280" w:type="dxa"/>
            <w:vAlign w:val="bottom"/>
            <w:tcBorders>
              <w:top w:val="single" w:sz="8" w:color="DBDBDB"/>
              <w:bottom w:val="single" w:sz="8" w:color="DBDBDB"/>
            </w:tcBorders>
            <w:vMerge w:val="restart"/>
          </w:tcPr>
          <w:p>
            <w:pPr>
              <w:ind w:left="20"/>
              <w:spacing w:after="0"/>
              <w:rPr>
                <w:sz w:val="20"/>
                <w:szCs w:val="20"/>
                <w:color w:val="auto"/>
              </w:rPr>
            </w:pPr>
            <w:r>
              <w:rPr>
                <w:rFonts w:ascii="Arial" w:cs="Arial" w:eastAsia="Arial" w:hAnsi="Arial"/>
                <w:sz w:val="16"/>
                <w:szCs w:val="16"/>
                <w:color w:val="auto"/>
              </w:rPr>
              <w:t>Investments measured at net asset value</w:t>
            </w:r>
            <w:r>
              <w:rPr>
                <w:rFonts w:ascii="Arial" w:cs="Arial" w:eastAsia="Arial" w:hAnsi="Arial"/>
                <w:sz w:val="21"/>
                <w:szCs w:val="21"/>
                <w:color w:val="auto"/>
                <w:vertAlign w:val="superscript"/>
              </w:rPr>
              <w:t>(a)</w:t>
            </w:r>
          </w:p>
        </w:tc>
        <w:tc>
          <w:tcPr>
            <w:tcW w:w="340" w:type="dxa"/>
            <w:vAlign w:val="bottom"/>
            <w:tcBorders>
              <w:top w:val="single" w:sz="8" w:color="DBDBDB"/>
              <w:bottom w:val="single" w:sz="8" w:color="auto"/>
            </w:tcBorders>
          </w:tcPr>
          <w:p>
            <w:pPr>
              <w:spacing w:after="0" w:line="20" w:lineRule="exact"/>
              <w:rPr>
                <w:sz w:val="1"/>
                <w:szCs w:val="1"/>
                <w:color w:val="auto"/>
              </w:rPr>
            </w:pPr>
          </w:p>
        </w:tc>
        <w:tc>
          <w:tcPr>
            <w:tcW w:w="1340" w:type="dxa"/>
            <w:vAlign w:val="bottom"/>
            <w:tcBorders>
              <w:top w:val="single" w:sz="8" w:color="DBDBDB"/>
              <w:bottom w:val="single" w:sz="8" w:color="auto"/>
            </w:tcBorders>
          </w:tcPr>
          <w:p>
            <w:pPr>
              <w:spacing w:after="0" w:line="20" w:lineRule="exact"/>
              <w:rPr>
                <w:sz w:val="1"/>
                <w:szCs w:val="1"/>
                <w:color w:val="auto"/>
              </w:rPr>
            </w:pPr>
          </w:p>
        </w:tc>
        <w:tc>
          <w:tcPr>
            <w:tcW w:w="440" w:type="dxa"/>
            <w:vAlign w:val="bottom"/>
            <w:tcBorders>
              <w:top w:val="single" w:sz="8" w:color="DBDBDB"/>
              <w:bottom w:val="single" w:sz="8" w:color="auto"/>
            </w:tcBorders>
          </w:tcPr>
          <w:p>
            <w:pPr>
              <w:spacing w:after="0" w:line="20" w:lineRule="exact"/>
              <w:rPr>
                <w:sz w:val="1"/>
                <w:szCs w:val="1"/>
                <w:color w:val="auto"/>
              </w:rPr>
            </w:pPr>
          </w:p>
        </w:tc>
        <w:tc>
          <w:tcPr>
            <w:tcW w:w="1340" w:type="dxa"/>
            <w:vAlign w:val="bottom"/>
            <w:tcBorders>
              <w:top w:val="single" w:sz="8" w:color="DBDBDB"/>
              <w:bottom w:val="single" w:sz="8" w:color="auto"/>
            </w:tcBorders>
          </w:tcPr>
          <w:p>
            <w:pPr>
              <w:spacing w:after="0" w:line="20" w:lineRule="exact"/>
              <w:rPr>
                <w:sz w:val="1"/>
                <w:szCs w:val="1"/>
                <w:color w:val="auto"/>
              </w:rPr>
            </w:pPr>
          </w:p>
        </w:tc>
        <w:tc>
          <w:tcPr>
            <w:tcW w:w="420" w:type="dxa"/>
            <w:vAlign w:val="bottom"/>
            <w:tcBorders>
              <w:top w:val="single" w:sz="8" w:color="DBDBDB"/>
              <w:bottom w:val="single" w:sz="8" w:color="auto"/>
            </w:tcBorders>
          </w:tcPr>
          <w:p>
            <w:pPr>
              <w:spacing w:after="0" w:line="20" w:lineRule="exact"/>
              <w:rPr>
                <w:sz w:val="1"/>
                <w:szCs w:val="1"/>
                <w:color w:val="auto"/>
              </w:rPr>
            </w:pPr>
          </w:p>
        </w:tc>
        <w:tc>
          <w:tcPr>
            <w:tcW w:w="1440" w:type="dxa"/>
            <w:vAlign w:val="bottom"/>
            <w:tcBorders>
              <w:top w:val="single" w:sz="8" w:color="DBDBDB"/>
              <w:bottom w:val="single" w:sz="8" w:color="auto"/>
            </w:tcBorders>
          </w:tcPr>
          <w:p>
            <w:pPr>
              <w:spacing w:after="0" w:line="20" w:lineRule="exact"/>
              <w:rPr>
                <w:sz w:val="1"/>
                <w:szCs w:val="1"/>
                <w:color w:val="auto"/>
              </w:rPr>
            </w:pPr>
          </w:p>
        </w:tc>
        <w:tc>
          <w:tcPr>
            <w:tcW w:w="360" w:type="dxa"/>
            <w:vAlign w:val="bottom"/>
            <w:tcBorders>
              <w:top w:val="single" w:sz="8" w:color="DBDBDB"/>
            </w:tcBorders>
          </w:tcPr>
          <w:p>
            <w:pPr>
              <w:spacing w:after="0" w:line="20" w:lineRule="exact"/>
              <w:rPr>
                <w:sz w:val="1"/>
                <w:szCs w:val="1"/>
                <w:color w:val="auto"/>
              </w:rPr>
            </w:pPr>
          </w:p>
        </w:tc>
        <w:tc>
          <w:tcPr>
            <w:tcW w:w="1300" w:type="dxa"/>
            <w:vAlign w:val="bottom"/>
            <w:tcBorders>
              <w:top w:val="single" w:sz="8" w:color="DBDBDB"/>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28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280" w:type="dxa"/>
            <w:vAlign w:val="bottom"/>
            <w:tcBorders>
              <w:bottom w:val="single" w:sz="8" w:color="DBDBDB"/>
            </w:tcBorders>
            <w:shd w:val="clear" w:color="auto" w:fill="DBDBDB"/>
          </w:tcPr>
          <w:p>
            <w:pPr>
              <w:ind w:left="220"/>
              <w:spacing w:after="0"/>
              <w:rPr>
                <w:sz w:val="20"/>
                <w:szCs w:val="20"/>
                <w:color w:val="auto"/>
              </w:rPr>
            </w:pPr>
            <w:r>
              <w:rPr>
                <w:rFonts w:ascii="Arial" w:cs="Arial" w:eastAsia="Arial" w:hAnsi="Arial"/>
                <w:sz w:val="16"/>
                <w:szCs w:val="16"/>
                <w:color w:val="auto"/>
              </w:rPr>
              <w:t>Collective investment trusts</w:t>
            </w:r>
          </w:p>
        </w:tc>
        <w:tc>
          <w:tcPr>
            <w:tcW w:w="340" w:type="dxa"/>
            <w:vAlign w:val="bottom"/>
            <w:tcBorders>
              <w:bottom w:val="single" w:sz="8" w:color="DBDBDB"/>
            </w:tcBorders>
            <w:shd w:val="clear" w:color="auto" w:fill="DBDBDB"/>
          </w:tcPr>
          <w:p>
            <w:pPr>
              <w:spacing w:after="0"/>
              <w:rPr>
                <w:sz w:val="20"/>
                <w:szCs w:val="20"/>
                <w:color w:val="auto"/>
              </w:rPr>
            </w:pPr>
          </w:p>
        </w:tc>
        <w:tc>
          <w:tcPr>
            <w:tcW w:w="1340" w:type="dxa"/>
            <w:vAlign w:val="bottom"/>
            <w:tcBorders>
              <w:bottom w:val="single" w:sz="8" w:color="DBDBDB"/>
            </w:tcBorders>
            <w:shd w:val="clear" w:color="auto" w:fill="DBDBDB"/>
          </w:tcPr>
          <w:p>
            <w:pPr>
              <w:spacing w:after="0"/>
              <w:rPr>
                <w:sz w:val="20"/>
                <w:szCs w:val="20"/>
                <w:color w:val="auto"/>
              </w:rPr>
            </w:pPr>
          </w:p>
        </w:tc>
        <w:tc>
          <w:tcPr>
            <w:tcW w:w="440" w:type="dxa"/>
            <w:vAlign w:val="bottom"/>
            <w:tcBorders>
              <w:bottom w:val="single" w:sz="8" w:color="DBDBDB"/>
            </w:tcBorders>
            <w:shd w:val="clear" w:color="auto" w:fill="DBDBDB"/>
          </w:tcPr>
          <w:p>
            <w:pPr>
              <w:spacing w:after="0"/>
              <w:rPr>
                <w:sz w:val="20"/>
                <w:szCs w:val="20"/>
                <w:color w:val="auto"/>
              </w:rPr>
            </w:pPr>
          </w:p>
        </w:tc>
        <w:tc>
          <w:tcPr>
            <w:tcW w:w="1340" w:type="dxa"/>
            <w:vAlign w:val="bottom"/>
            <w:tcBorders>
              <w:bottom w:val="single" w:sz="8" w:color="DBDBDB"/>
            </w:tcBorders>
            <w:shd w:val="clear" w:color="auto" w:fill="DBDBDB"/>
          </w:tcPr>
          <w:p>
            <w:pPr>
              <w:spacing w:after="0"/>
              <w:rPr>
                <w:sz w:val="20"/>
                <w:szCs w:val="20"/>
                <w:color w:val="auto"/>
              </w:rPr>
            </w:pPr>
          </w:p>
        </w:tc>
        <w:tc>
          <w:tcPr>
            <w:tcW w:w="420" w:type="dxa"/>
            <w:vAlign w:val="bottom"/>
            <w:tcBorders>
              <w:bottom w:val="single" w:sz="8" w:color="DBDBDB"/>
            </w:tcBorders>
            <w:shd w:val="clear" w:color="auto" w:fill="DBDBDB"/>
          </w:tcPr>
          <w:p>
            <w:pPr>
              <w:spacing w:after="0"/>
              <w:rPr>
                <w:sz w:val="20"/>
                <w:szCs w:val="20"/>
                <w:color w:val="auto"/>
              </w:rPr>
            </w:pPr>
          </w:p>
        </w:tc>
        <w:tc>
          <w:tcPr>
            <w:tcW w:w="1440" w:type="dxa"/>
            <w:vAlign w:val="bottom"/>
            <w:tcBorders>
              <w:bottom w:val="single" w:sz="8" w:color="DBDBDB"/>
            </w:tcBorders>
            <w:shd w:val="clear" w:color="auto" w:fill="DBDBDB"/>
          </w:tcPr>
          <w:p>
            <w:pPr>
              <w:spacing w:after="0"/>
              <w:rPr>
                <w:sz w:val="20"/>
                <w:szCs w:val="20"/>
                <w:color w:val="auto"/>
              </w:rPr>
            </w:pPr>
          </w:p>
        </w:tc>
        <w:tc>
          <w:tcPr>
            <w:tcW w:w="360" w:type="dxa"/>
            <w:vAlign w:val="bottom"/>
            <w:tcBorders>
              <w:bottom w:val="single" w:sz="8" w:color="auto"/>
            </w:tcBorders>
            <w:shd w:val="clear" w:color="auto" w:fill="DBDBDB"/>
          </w:tcPr>
          <w:p>
            <w:pPr>
              <w:spacing w:after="0"/>
              <w:rPr>
                <w:sz w:val="20"/>
                <w:szCs w:val="20"/>
                <w:color w:val="auto"/>
              </w:rPr>
            </w:pPr>
          </w:p>
        </w:tc>
        <w:tc>
          <w:tcPr>
            <w:tcW w:w="13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7,496,983</w:t>
            </w:r>
          </w:p>
        </w:tc>
        <w:tc>
          <w:tcPr>
            <w:tcW w:w="0" w:type="dxa"/>
            <w:vAlign w:val="bottom"/>
          </w:tcPr>
          <w:p>
            <w:pPr>
              <w:spacing w:after="0"/>
              <w:rPr>
                <w:sz w:val="1"/>
                <w:szCs w:val="1"/>
                <w:color w:val="auto"/>
              </w:rPr>
            </w:pPr>
          </w:p>
        </w:tc>
      </w:tr>
      <w:tr>
        <w:trPr>
          <w:trHeight w:val="243"/>
        </w:trPr>
        <w:tc>
          <w:tcPr>
            <w:tcW w:w="4280" w:type="dxa"/>
            <w:vAlign w:val="bottom"/>
          </w:tcPr>
          <w:p>
            <w:pPr>
              <w:ind w:left="20"/>
              <w:spacing w:after="0"/>
              <w:rPr>
                <w:sz w:val="20"/>
                <w:szCs w:val="20"/>
                <w:color w:val="auto"/>
              </w:rPr>
            </w:pPr>
            <w:r>
              <w:rPr>
                <w:rFonts w:ascii="Arial" w:cs="Arial" w:eastAsia="Arial" w:hAnsi="Arial"/>
                <w:sz w:val="16"/>
                <w:szCs w:val="16"/>
                <w:color w:val="auto"/>
              </w:rPr>
              <w:t>Total assets measured at fair value</w:t>
            </w:r>
          </w:p>
        </w:tc>
        <w:tc>
          <w:tcPr>
            <w:tcW w:w="3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326,316,320</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70485</wp:posOffset>
            </wp:positionV>
            <wp:extent cx="71831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081" w:right="318"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43"/>
        </w:trPr>
        <w:tc>
          <w:tcPr>
            <w:tcW w:w="4280" w:type="dxa"/>
            <w:vAlign w:val="bottom"/>
            <w:shd w:val="clear" w:color="auto" w:fill="1D2758"/>
          </w:tcPr>
          <w:p>
            <w:pPr>
              <w:spacing w:after="0"/>
              <w:rPr>
                <w:sz w:val="21"/>
                <w:szCs w:val="21"/>
                <w:color w:val="auto"/>
              </w:rPr>
            </w:pPr>
          </w:p>
        </w:tc>
        <w:tc>
          <w:tcPr>
            <w:tcW w:w="340" w:type="dxa"/>
            <w:vAlign w:val="bottom"/>
            <w:shd w:val="clear" w:color="auto" w:fill="1D2758"/>
          </w:tcPr>
          <w:p>
            <w:pPr>
              <w:spacing w:after="0"/>
              <w:rPr>
                <w:sz w:val="21"/>
                <w:szCs w:val="21"/>
                <w:color w:val="auto"/>
              </w:rPr>
            </w:pPr>
          </w:p>
        </w:tc>
        <w:tc>
          <w:tcPr>
            <w:tcW w:w="1340" w:type="dxa"/>
            <w:vAlign w:val="bottom"/>
            <w:shd w:val="clear" w:color="auto" w:fill="1D2758"/>
          </w:tcPr>
          <w:p>
            <w:pPr>
              <w:spacing w:after="0"/>
              <w:rPr>
                <w:sz w:val="21"/>
                <w:szCs w:val="21"/>
                <w:color w:val="auto"/>
              </w:rPr>
            </w:pPr>
          </w:p>
        </w:tc>
        <w:tc>
          <w:tcPr>
            <w:tcW w:w="3640" w:type="dxa"/>
            <w:vAlign w:val="bottom"/>
            <w:gridSpan w:val="4"/>
            <w:shd w:val="clear" w:color="auto" w:fill="1D2758"/>
          </w:tcPr>
          <w:p>
            <w:pPr>
              <w:ind w:left="80"/>
              <w:spacing w:after="0"/>
              <w:rPr>
                <w:sz w:val="20"/>
                <w:szCs w:val="20"/>
                <w:color w:val="auto"/>
              </w:rPr>
            </w:pPr>
            <w:r>
              <w:rPr>
                <w:rFonts w:ascii="Arial" w:cs="Arial" w:eastAsia="Arial" w:hAnsi="Arial"/>
                <w:sz w:val="16"/>
                <w:szCs w:val="16"/>
                <w:b w:val="1"/>
                <w:bCs w:val="1"/>
                <w:color w:val="FFFFFF"/>
              </w:rPr>
              <w:t>Assets at Fair Value as of December 31, 2024</w:t>
            </w:r>
          </w:p>
        </w:tc>
        <w:tc>
          <w:tcPr>
            <w:tcW w:w="360" w:type="dxa"/>
            <w:vAlign w:val="bottom"/>
            <w:shd w:val="clear" w:color="auto" w:fill="1D2758"/>
          </w:tcPr>
          <w:p>
            <w:pPr>
              <w:spacing w:after="0"/>
              <w:rPr>
                <w:sz w:val="21"/>
                <w:szCs w:val="21"/>
                <w:color w:val="auto"/>
              </w:rPr>
            </w:pPr>
          </w:p>
        </w:tc>
        <w:tc>
          <w:tcPr>
            <w:tcW w:w="1300" w:type="dxa"/>
            <w:vAlign w:val="bottom"/>
            <w:shd w:val="clear" w:color="auto" w:fill="1D2758"/>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280" w:type="dxa"/>
            <w:vAlign w:val="bottom"/>
            <w:tcBorders>
              <w:bottom w:val="single" w:sz="8" w:color="1D2758"/>
            </w:tcBorders>
            <w:shd w:val="clear" w:color="auto" w:fill="1D2758"/>
          </w:tcPr>
          <w:p>
            <w:pPr>
              <w:spacing w:after="0"/>
              <w:rPr>
                <w:sz w:val="20"/>
                <w:szCs w:val="20"/>
                <w:color w:val="auto"/>
              </w:rPr>
            </w:pPr>
          </w:p>
        </w:tc>
        <w:tc>
          <w:tcPr>
            <w:tcW w:w="340" w:type="dxa"/>
            <w:vAlign w:val="bottom"/>
            <w:tcBorders>
              <w:bottom w:val="single" w:sz="8" w:color="1D2758"/>
            </w:tcBorders>
            <w:shd w:val="clear" w:color="auto" w:fill="1D2758"/>
          </w:tcPr>
          <w:p>
            <w:pPr>
              <w:spacing w:after="0"/>
              <w:rPr>
                <w:sz w:val="20"/>
                <w:szCs w:val="20"/>
                <w:color w:val="auto"/>
              </w:rPr>
            </w:pPr>
          </w:p>
        </w:tc>
        <w:tc>
          <w:tcPr>
            <w:tcW w:w="1340" w:type="dxa"/>
            <w:vAlign w:val="bottom"/>
            <w:tcBorders>
              <w:bottom w:val="single" w:sz="8" w:color="1D2758"/>
            </w:tcBorders>
            <w:shd w:val="clear" w:color="auto" w:fill="1D2758"/>
          </w:tcPr>
          <w:p>
            <w:pPr>
              <w:jc w:val="right"/>
              <w:ind w:right="479"/>
              <w:spacing w:after="0"/>
              <w:rPr>
                <w:sz w:val="20"/>
                <w:szCs w:val="20"/>
                <w:color w:val="auto"/>
              </w:rPr>
            </w:pPr>
            <w:r>
              <w:rPr>
                <w:rFonts w:ascii="Arial" w:cs="Arial" w:eastAsia="Arial" w:hAnsi="Arial"/>
                <w:sz w:val="16"/>
                <w:szCs w:val="16"/>
                <w:b w:val="1"/>
                <w:bCs w:val="1"/>
                <w:color w:val="FFFFFF"/>
              </w:rPr>
              <w:t>Level 1</w:t>
            </w:r>
          </w:p>
        </w:tc>
        <w:tc>
          <w:tcPr>
            <w:tcW w:w="440" w:type="dxa"/>
            <w:vAlign w:val="bottom"/>
            <w:tcBorders>
              <w:bottom w:val="single" w:sz="8" w:color="1D2758"/>
            </w:tcBorders>
            <w:shd w:val="clear" w:color="auto" w:fill="1D2758"/>
          </w:tcPr>
          <w:p>
            <w:pPr>
              <w:spacing w:after="0"/>
              <w:rPr>
                <w:sz w:val="20"/>
                <w:szCs w:val="20"/>
                <w:color w:val="auto"/>
              </w:rPr>
            </w:pPr>
          </w:p>
        </w:tc>
        <w:tc>
          <w:tcPr>
            <w:tcW w:w="1340" w:type="dxa"/>
            <w:vAlign w:val="bottom"/>
            <w:tcBorders>
              <w:bottom w:val="single" w:sz="8" w:color="1D2758"/>
            </w:tcBorders>
            <w:shd w:val="clear" w:color="auto" w:fill="1D2758"/>
          </w:tcPr>
          <w:p>
            <w:pPr>
              <w:ind w:left="220"/>
              <w:spacing w:after="0"/>
              <w:rPr>
                <w:sz w:val="20"/>
                <w:szCs w:val="20"/>
                <w:color w:val="auto"/>
              </w:rPr>
            </w:pPr>
            <w:r>
              <w:rPr>
                <w:rFonts w:ascii="Arial" w:cs="Arial" w:eastAsia="Arial" w:hAnsi="Arial"/>
                <w:sz w:val="16"/>
                <w:szCs w:val="16"/>
                <w:b w:val="1"/>
                <w:bCs w:val="1"/>
                <w:color w:val="FFFFFF"/>
              </w:rPr>
              <w:t>Level 2</w:t>
            </w:r>
          </w:p>
        </w:tc>
        <w:tc>
          <w:tcPr>
            <w:tcW w:w="420" w:type="dxa"/>
            <w:vAlign w:val="bottom"/>
            <w:tcBorders>
              <w:bottom w:val="single" w:sz="8" w:color="1D2758"/>
            </w:tcBorders>
            <w:shd w:val="clear" w:color="auto" w:fill="1D2758"/>
          </w:tcPr>
          <w:p>
            <w:pPr>
              <w:spacing w:after="0"/>
              <w:rPr>
                <w:sz w:val="20"/>
                <w:szCs w:val="20"/>
                <w:color w:val="auto"/>
              </w:rPr>
            </w:pPr>
          </w:p>
        </w:tc>
        <w:tc>
          <w:tcPr>
            <w:tcW w:w="1440" w:type="dxa"/>
            <w:vAlign w:val="bottom"/>
            <w:tcBorders>
              <w:bottom w:val="single" w:sz="8" w:color="1D2758"/>
            </w:tcBorders>
            <w:shd w:val="clear" w:color="auto" w:fill="1D2758"/>
          </w:tcPr>
          <w:p>
            <w:pPr>
              <w:ind w:left="220"/>
              <w:spacing w:after="0"/>
              <w:rPr>
                <w:sz w:val="20"/>
                <w:szCs w:val="20"/>
                <w:color w:val="auto"/>
              </w:rPr>
            </w:pPr>
            <w:r>
              <w:rPr>
                <w:rFonts w:ascii="Arial" w:cs="Arial" w:eastAsia="Arial" w:hAnsi="Arial"/>
                <w:sz w:val="16"/>
                <w:szCs w:val="16"/>
                <w:b w:val="1"/>
                <w:bCs w:val="1"/>
                <w:color w:val="FFFFFF"/>
              </w:rPr>
              <w:t>Level 3</w:t>
            </w:r>
          </w:p>
        </w:tc>
        <w:tc>
          <w:tcPr>
            <w:tcW w:w="360" w:type="dxa"/>
            <w:vAlign w:val="bottom"/>
            <w:tcBorders>
              <w:bottom w:val="single" w:sz="8" w:color="1D2758"/>
            </w:tcBorders>
            <w:shd w:val="clear" w:color="auto" w:fill="1D2758"/>
          </w:tcPr>
          <w:p>
            <w:pPr>
              <w:spacing w:after="0"/>
              <w:rPr>
                <w:sz w:val="20"/>
                <w:szCs w:val="20"/>
                <w:color w:val="auto"/>
              </w:rPr>
            </w:pPr>
          </w:p>
        </w:tc>
        <w:tc>
          <w:tcPr>
            <w:tcW w:w="1300" w:type="dxa"/>
            <w:vAlign w:val="bottom"/>
            <w:tcBorders>
              <w:bottom w:val="single" w:sz="8" w:color="1D2758"/>
            </w:tcBorders>
            <w:shd w:val="clear" w:color="auto" w:fill="1D2758"/>
          </w:tcPr>
          <w:p>
            <w:pPr>
              <w:jc w:val="right"/>
              <w:ind w:right="559"/>
              <w:spacing w:after="0"/>
              <w:rPr>
                <w:sz w:val="20"/>
                <w:szCs w:val="20"/>
                <w:color w:val="auto"/>
              </w:rPr>
            </w:pPr>
            <w:r>
              <w:rPr>
                <w:rFonts w:ascii="Arial" w:cs="Arial" w:eastAsia="Arial" w:hAnsi="Arial"/>
                <w:sz w:val="16"/>
                <w:szCs w:val="16"/>
                <w:b w:val="1"/>
                <w:bCs w:val="1"/>
                <w:color w:val="FFFFFF"/>
              </w:rPr>
              <w:t>Total</w:t>
            </w:r>
          </w:p>
        </w:tc>
        <w:tc>
          <w:tcPr>
            <w:tcW w:w="0" w:type="dxa"/>
            <w:vAlign w:val="bottom"/>
          </w:tcPr>
          <w:p>
            <w:pPr>
              <w:spacing w:after="0"/>
              <w:rPr>
                <w:sz w:val="1"/>
                <w:szCs w:val="1"/>
                <w:color w:val="auto"/>
              </w:rPr>
            </w:pPr>
          </w:p>
        </w:tc>
      </w:tr>
      <w:tr>
        <w:trPr>
          <w:trHeight w:val="243"/>
        </w:trPr>
        <w:tc>
          <w:tcPr>
            <w:tcW w:w="4280" w:type="dxa"/>
            <w:vAlign w:val="bottom"/>
            <w:shd w:val="clear" w:color="auto" w:fill="DBDBDB"/>
          </w:tcPr>
          <w:p>
            <w:pPr>
              <w:ind w:left="20"/>
              <w:spacing w:after="0"/>
              <w:rPr>
                <w:sz w:val="20"/>
                <w:szCs w:val="20"/>
                <w:color w:val="auto"/>
              </w:rPr>
            </w:pPr>
            <w:r>
              <w:rPr>
                <w:rFonts w:ascii="Arial" w:cs="Arial" w:eastAsia="Arial" w:hAnsi="Arial"/>
                <w:sz w:val="16"/>
                <w:szCs w:val="16"/>
                <w:color w:val="auto"/>
              </w:rPr>
              <w:t>Mutual funds and money market funds</w:t>
            </w:r>
          </w:p>
        </w:tc>
        <w:tc>
          <w:tcPr>
            <w:tcW w:w="340" w:type="dxa"/>
            <w:vAlign w:val="bottom"/>
            <w:shd w:val="clear" w:color="auto" w:fill="DBDBDB"/>
          </w:tcPr>
          <w:p>
            <w:pPr>
              <w:jc w:val="right"/>
              <w:ind w:right="139"/>
              <w:spacing w:after="0"/>
              <w:rPr>
                <w:sz w:val="20"/>
                <w:szCs w:val="20"/>
                <w:color w:val="auto"/>
              </w:rPr>
            </w:pPr>
            <w:r>
              <w:rPr>
                <w:rFonts w:ascii="Arial" w:cs="Arial" w:eastAsia="Arial" w:hAnsi="Arial"/>
                <w:sz w:val="16"/>
                <w:szCs w:val="16"/>
                <w:color w:val="auto"/>
              </w:rPr>
              <w:t>$</w:t>
            </w:r>
          </w:p>
        </w:tc>
        <w:tc>
          <w:tcPr>
            <w:tcW w:w="13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269,589,475</w:t>
            </w:r>
          </w:p>
        </w:tc>
        <w:tc>
          <w:tcPr>
            <w:tcW w:w="440" w:type="dxa"/>
            <w:vAlign w:val="bottom"/>
            <w:shd w:val="clear" w:color="auto" w:fill="DBDBDB"/>
          </w:tcPr>
          <w:p>
            <w:pPr>
              <w:jc w:val="right"/>
              <w:ind w:right="159"/>
              <w:spacing w:after="0"/>
              <w:rPr>
                <w:sz w:val="20"/>
                <w:szCs w:val="20"/>
                <w:color w:val="auto"/>
              </w:rPr>
            </w:pPr>
            <w:r>
              <w:rPr>
                <w:rFonts w:ascii="Arial" w:cs="Arial" w:eastAsia="Arial" w:hAnsi="Arial"/>
                <w:sz w:val="16"/>
                <w:szCs w:val="16"/>
                <w:color w:val="auto"/>
              </w:rPr>
              <w:t>$</w:t>
            </w:r>
          </w:p>
        </w:tc>
        <w:tc>
          <w:tcPr>
            <w:tcW w:w="1340" w:type="dxa"/>
            <w:vAlign w:val="bottom"/>
            <w:shd w:val="clear" w:color="auto" w:fill="DBDBDB"/>
          </w:tcPr>
          <w:p>
            <w:pPr>
              <w:ind w:left="1100"/>
              <w:spacing w:after="0"/>
              <w:rPr>
                <w:sz w:val="20"/>
                <w:szCs w:val="20"/>
                <w:color w:val="auto"/>
              </w:rPr>
            </w:pPr>
            <w:r>
              <w:rPr>
                <w:rFonts w:ascii="Arial" w:cs="Arial" w:eastAsia="Arial" w:hAnsi="Arial"/>
                <w:sz w:val="16"/>
                <w:szCs w:val="16"/>
                <w:color w:val="auto"/>
              </w:rPr>
              <w:t>—</w:t>
            </w:r>
          </w:p>
        </w:tc>
        <w:tc>
          <w:tcPr>
            <w:tcW w:w="420" w:type="dxa"/>
            <w:vAlign w:val="bottom"/>
            <w:shd w:val="clear" w:color="auto" w:fill="DBDBDB"/>
          </w:tcPr>
          <w:p>
            <w:pPr>
              <w:jc w:val="right"/>
              <w:ind w:right="139"/>
              <w:spacing w:after="0"/>
              <w:rPr>
                <w:sz w:val="20"/>
                <w:szCs w:val="20"/>
                <w:color w:val="auto"/>
              </w:rPr>
            </w:pPr>
            <w:r>
              <w:rPr>
                <w:rFonts w:ascii="Arial" w:cs="Arial" w:eastAsia="Arial" w:hAnsi="Arial"/>
                <w:sz w:val="16"/>
                <w:szCs w:val="16"/>
                <w:color w:val="auto"/>
              </w:rPr>
              <w:t>$</w:t>
            </w:r>
          </w:p>
        </w:tc>
        <w:tc>
          <w:tcPr>
            <w:tcW w:w="1440" w:type="dxa"/>
            <w:vAlign w:val="bottom"/>
            <w:shd w:val="clear" w:color="auto" w:fill="DBDBDB"/>
          </w:tcPr>
          <w:p>
            <w:pPr>
              <w:ind w:left="1100"/>
              <w:spacing w:after="0"/>
              <w:rPr>
                <w:sz w:val="20"/>
                <w:szCs w:val="20"/>
                <w:color w:val="auto"/>
              </w:rPr>
            </w:pPr>
            <w:r>
              <w:rPr>
                <w:rFonts w:ascii="Arial" w:cs="Arial" w:eastAsia="Arial" w:hAnsi="Arial"/>
                <w:sz w:val="16"/>
                <w:szCs w:val="16"/>
                <w:color w:val="auto"/>
              </w:rPr>
              <w:t>—</w:t>
            </w:r>
          </w:p>
        </w:tc>
        <w:tc>
          <w:tcPr>
            <w:tcW w:w="360" w:type="dxa"/>
            <w:vAlign w:val="bottom"/>
            <w:shd w:val="clear" w:color="auto" w:fill="DBDBDB"/>
          </w:tcPr>
          <w:p>
            <w:pPr>
              <w:jc w:val="right"/>
              <w:ind w:right="17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269,589,475</w:t>
            </w:r>
          </w:p>
        </w:tc>
        <w:tc>
          <w:tcPr>
            <w:tcW w:w="0" w:type="dxa"/>
            <w:vAlign w:val="bottom"/>
          </w:tcPr>
          <w:p>
            <w:pPr>
              <w:spacing w:after="0"/>
              <w:rPr>
                <w:sz w:val="1"/>
                <w:szCs w:val="1"/>
                <w:color w:val="auto"/>
              </w:rPr>
            </w:pPr>
          </w:p>
        </w:tc>
      </w:tr>
      <w:tr>
        <w:trPr>
          <w:trHeight w:val="250"/>
        </w:trPr>
        <w:tc>
          <w:tcPr>
            <w:tcW w:w="428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WillScot Holdings Corporation common stock fund</w:t>
            </w:r>
          </w:p>
        </w:tc>
        <w:tc>
          <w:tcPr>
            <w:tcW w:w="3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2,317,424</w:t>
            </w:r>
          </w:p>
        </w:tc>
        <w:tc>
          <w:tcPr>
            <w:tcW w:w="4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ind w:left="110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ind w:left="110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2,317,424</w:t>
            </w:r>
          </w:p>
        </w:tc>
        <w:tc>
          <w:tcPr>
            <w:tcW w:w="0" w:type="dxa"/>
            <w:vAlign w:val="bottom"/>
          </w:tcPr>
          <w:p>
            <w:pPr>
              <w:spacing w:after="0"/>
              <w:rPr>
                <w:sz w:val="1"/>
                <w:szCs w:val="1"/>
                <w:color w:val="auto"/>
              </w:rPr>
            </w:pPr>
          </w:p>
        </w:tc>
      </w:tr>
      <w:tr>
        <w:trPr>
          <w:trHeight w:val="268"/>
        </w:trPr>
        <w:tc>
          <w:tcPr>
            <w:tcW w:w="42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Total assets measured at fair value</w:t>
            </w:r>
          </w:p>
        </w:tc>
        <w:tc>
          <w:tcPr>
            <w:tcW w:w="340" w:type="dxa"/>
            <w:vAlign w:val="bottom"/>
            <w:tcBorders>
              <w:bottom w:val="single" w:sz="8" w:color="auto"/>
            </w:tcBorders>
            <w:shd w:val="clear" w:color="auto" w:fill="DBDBDB"/>
          </w:tcPr>
          <w:p>
            <w:pPr>
              <w:jc w:val="right"/>
              <w:ind w:right="13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271,906,899</w:t>
            </w:r>
          </w:p>
        </w:tc>
        <w:tc>
          <w:tcPr>
            <w:tcW w:w="440" w:type="dxa"/>
            <w:vAlign w:val="bottom"/>
            <w:tcBorders>
              <w:bottom w:val="single" w:sz="8" w:color="auto"/>
            </w:tcBorders>
            <w:shd w:val="clear" w:color="auto" w:fill="DBDBDB"/>
          </w:tcPr>
          <w:p>
            <w:pPr>
              <w:jc w:val="right"/>
              <w:ind w:right="15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DBDBDB"/>
          </w:tcPr>
          <w:p>
            <w:pPr>
              <w:ind w:left="110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shd w:val="clear" w:color="auto" w:fill="DBDBDB"/>
          </w:tcPr>
          <w:p>
            <w:pPr>
              <w:jc w:val="right"/>
              <w:ind w:right="139"/>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shd w:val="clear" w:color="auto" w:fill="DBDBDB"/>
          </w:tcPr>
          <w:p>
            <w:pPr>
              <w:ind w:left="110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DBDBDB"/>
            </w:tcBorders>
            <w:shd w:val="clear" w:color="auto" w:fill="DBDBDB"/>
          </w:tcPr>
          <w:p>
            <w:pPr>
              <w:spacing w:after="0"/>
              <w:rPr>
                <w:sz w:val="22"/>
                <w:szCs w:val="22"/>
                <w:color w:val="auto"/>
              </w:rPr>
            </w:pPr>
          </w:p>
        </w:tc>
        <w:tc>
          <w:tcPr>
            <w:tcW w:w="13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271,906,899</w:t>
            </w:r>
          </w:p>
        </w:tc>
        <w:tc>
          <w:tcPr>
            <w:tcW w:w="0" w:type="dxa"/>
            <w:vAlign w:val="bottom"/>
          </w:tcPr>
          <w:p>
            <w:pPr>
              <w:spacing w:after="0"/>
              <w:rPr>
                <w:sz w:val="1"/>
                <w:szCs w:val="1"/>
                <w:color w:val="auto"/>
              </w:rPr>
            </w:pPr>
          </w:p>
        </w:tc>
      </w:tr>
      <w:tr>
        <w:trPr>
          <w:trHeight w:val="20"/>
        </w:trPr>
        <w:tc>
          <w:tcPr>
            <w:tcW w:w="4280" w:type="dxa"/>
            <w:vAlign w:val="bottom"/>
            <w:tcBorders>
              <w:top w:val="single" w:sz="8" w:color="DBDBDB"/>
              <w:bottom w:val="single" w:sz="8" w:color="DBDBDB"/>
            </w:tcBorders>
            <w:vMerge w:val="restart"/>
          </w:tcPr>
          <w:p>
            <w:pPr>
              <w:ind w:left="20"/>
              <w:spacing w:after="0" w:line="230" w:lineRule="exact"/>
              <w:rPr>
                <w:sz w:val="20"/>
                <w:szCs w:val="20"/>
                <w:color w:val="auto"/>
              </w:rPr>
            </w:pPr>
            <w:r>
              <w:rPr>
                <w:rFonts w:ascii="Arial" w:cs="Arial" w:eastAsia="Arial" w:hAnsi="Arial"/>
                <w:sz w:val="16"/>
                <w:szCs w:val="16"/>
                <w:color w:val="auto"/>
              </w:rPr>
              <w:t>Investments measured at net asset value</w:t>
            </w:r>
            <w:r>
              <w:rPr>
                <w:rFonts w:ascii="Arial" w:cs="Arial" w:eastAsia="Arial" w:hAnsi="Arial"/>
                <w:sz w:val="21"/>
                <w:szCs w:val="21"/>
                <w:color w:val="auto"/>
                <w:vertAlign w:val="superscript"/>
              </w:rPr>
              <w:t>(a)</w:t>
            </w:r>
          </w:p>
        </w:tc>
        <w:tc>
          <w:tcPr>
            <w:tcW w:w="340" w:type="dxa"/>
            <w:vAlign w:val="bottom"/>
            <w:tcBorders>
              <w:top w:val="single" w:sz="8" w:color="DBDBDB"/>
              <w:bottom w:val="single" w:sz="8" w:color="auto"/>
            </w:tcBorders>
          </w:tcPr>
          <w:p>
            <w:pPr>
              <w:spacing w:after="0" w:line="20" w:lineRule="exact"/>
              <w:rPr>
                <w:sz w:val="1"/>
                <w:szCs w:val="1"/>
                <w:color w:val="auto"/>
              </w:rPr>
            </w:pPr>
          </w:p>
        </w:tc>
        <w:tc>
          <w:tcPr>
            <w:tcW w:w="1340" w:type="dxa"/>
            <w:vAlign w:val="bottom"/>
            <w:tcBorders>
              <w:top w:val="single" w:sz="8" w:color="DBDBDB"/>
              <w:bottom w:val="single" w:sz="8" w:color="auto"/>
            </w:tcBorders>
          </w:tcPr>
          <w:p>
            <w:pPr>
              <w:spacing w:after="0" w:line="20" w:lineRule="exact"/>
              <w:rPr>
                <w:sz w:val="1"/>
                <w:szCs w:val="1"/>
                <w:color w:val="auto"/>
              </w:rPr>
            </w:pPr>
          </w:p>
        </w:tc>
        <w:tc>
          <w:tcPr>
            <w:tcW w:w="440" w:type="dxa"/>
            <w:vAlign w:val="bottom"/>
            <w:tcBorders>
              <w:top w:val="single" w:sz="8" w:color="DBDBDB"/>
              <w:bottom w:val="single" w:sz="8" w:color="auto"/>
            </w:tcBorders>
          </w:tcPr>
          <w:p>
            <w:pPr>
              <w:spacing w:after="0" w:line="20" w:lineRule="exact"/>
              <w:rPr>
                <w:sz w:val="1"/>
                <w:szCs w:val="1"/>
                <w:color w:val="auto"/>
              </w:rPr>
            </w:pPr>
          </w:p>
        </w:tc>
        <w:tc>
          <w:tcPr>
            <w:tcW w:w="1340" w:type="dxa"/>
            <w:vAlign w:val="bottom"/>
            <w:tcBorders>
              <w:top w:val="single" w:sz="8" w:color="DBDBDB"/>
              <w:bottom w:val="single" w:sz="8" w:color="auto"/>
            </w:tcBorders>
          </w:tcPr>
          <w:p>
            <w:pPr>
              <w:spacing w:after="0" w:line="20" w:lineRule="exact"/>
              <w:rPr>
                <w:sz w:val="1"/>
                <w:szCs w:val="1"/>
                <w:color w:val="auto"/>
              </w:rPr>
            </w:pPr>
          </w:p>
        </w:tc>
        <w:tc>
          <w:tcPr>
            <w:tcW w:w="420" w:type="dxa"/>
            <w:vAlign w:val="bottom"/>
            <w:tcBorders>
              <w:top w:val="single" w:sz="8" w:color="DBDBDB"/>
              <w:bottom w:val="single" w:sz="8" w:color="auto"/>
            </w:tcBorders>
          </w:tcPr>
          <w:p>
            <w:pPr>
              <w:spacing w:after="0" w:line="20" w:lineRule="exact"/>
              <w:rPr>
                <w:sz w:val="1"/>
                <w:szCs w:val="1"/>
                <w:color w:val="auto"/>
              </w:rPr>
            </w:pPr>
          </w:p>
        </w:tc>
        <w:tc>
          <w:tcPr>
            <w:tcW w:w="1440" w:type="dxa"/>
            <w:vAlign w:val="bottom"/>
            <w:tcBorders>
              <w:top w:val="single" w:sz="8" w:color="DBDBDB"/>
              <w:bottom w:val="single" w:sz="8" w:color="auto"/>
            </w:tcBorders>
          </w:tcPr>
          <w:p>
            <w:pPr>
              <w:spacing w:after="0" w:line="20" w:lineRule="exact"/>
              <w:rPr>
                <w:sz w:val="1"/>
                <w:szCs w:val="1"/>
                <w:color w:val="auto"/>
              </w:rPr>
            </w:pPr>
          </w:p>
        </w:tc>
        <w:tc>
          <w:tcPr>
            <w:tcW w:w="360" w:type="dxa"/>
            <w:vAlign w:val="bottom"/>
            <w:tcBorders>
              <w:top w:val="single" w:sz="8" w:color="DBDBDB"/>
            </w:tcBorders>
          </w:tcPr>
          <w:p>
            <w:pPr>
              <w:spacing w:after="0" w:line="20" w:lineRule="exact"/>
              <w:rPr>
                <w:sz w:val="1"/>
                <w:szCs w:val="1"/>
                <w:color w:val="auto"/>
              </w:rPr>
            </w:pPr>
          </w:p>
        </w:tc>
        <w:tc>
          <w:tcPr>
            <w:tcW w:w="1300" w:type="dxa"/>
            <w:vAlign w:val="bottom"/>
            <w:tcBorders>
              <w:top w:val="single" w:sz="8" w:color="DBDBDB"/>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28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4280" w:type="dxa"/>
            <w:vAlign w:val="bottom"/>
            <w:tcBorders>
              <w:bottom w:val="single" w:sz="8" w:color="DBDBDB"/>
            </w:tcBorders>
            <w:shd w:val="clear" w:color="auto" w:fill="DBDBDB"/>
          </w:tcPr>
          <w:p>
            <w:pPr>
              <w:ind w:left="220"/>
              <w:spacing w:after="0"/>
              <w:rPr>
                <w:sz w:val="20"/>
                <w:szCs w:val="20"/>
                <w:color w:val="auto"/>
              </w:rPr>
            </w:pPr>
            <w:r>
              <w:rPr>
                <w:rFonts w:ascii="Arial" w:cs="Arial" w:eastAsia="Arial" w:hAnsi="Arial"/>
                <w:sz w:val="16"/>
                <w:szCs w:val="16"/>
                <w:color w:val="auto"/>
              </w:rPr>
              <w:t>Collective investment trusts</w:t>
            </w:r>
          </w:p>
        </w:tc>
        <w:tc>
          <w:tcPr>
            <w:tcW w:w="340" w:type="dxa"/>
            <w:vAlign w:val="bottom"/>
            <w:tcBorders>
              <w:bottom w:val="single" w:sz="8" w:color="DBDBDB"/>
            </w:tcBorders>
            <w:shd w:val="clear" w:color="auto" w:fill="DBDBDB"/>
          </w:tcPr>
          <w:p>
            <w:pPr>
              <w:spacing w:after="0"/>
              <w:rPr>
                <w:sz w:val="20"/>
                <w:szCs w:val="20"/>
                <w:color w:val="auto"/>
              </w:rPr>
            </w:pPr>
          </w:p>
        </w:tc>
        <w:tc>
          <w:tcPr>
            <w:tcW w:w="1340" w:type="dxa"/>
            <w:vAlign w:val="bottom"/>
            <w:tcBorders>
              <w:bottom w:val="single" w:sz="8" w:color="DBDBDB"/>
            </w:tcBorders>
            <w:shd w:val="clear" w:color="auto" w:fill="DBDBDB"/>
          </w:tcPr>
          <w:p>
            <w:pPr>
              <w:spacing w:after="0"/>
              <w:rPr>
                <w:sz w:val="20"/>
                <w:szCs w:val="20"/>
                <w:color w:val="auto"/>
              </w:rPr>
            </w:pPr>
          </w:p>
        </w:tc>
        <w:tc>
          <w:tcPr>
            <w:tcW w:w="440" w:type="dxa"/>
            <w:vAlign w:val="bottom"/>
            <w:tcBorders>
              <w:bottom w:val="single" w:sz="8" w:color="DBDBDB"/>
            </w:tcBorders>
            <w:shd w:val="clear" w:color="auto" w:fill="DBDBDB"/>
          </w:tcPr>
          <w:p>
            <w:pPr>
              <w:spacing w:after="0"/>
              <w:rPr>
                <w:sz w:val="20"/>
                <w:szCs w:val="20"/>
                <w:color w:val="auto"/>
              </w:rPr>
            </w:pPr>
          </w:p>
        </w:tc>
        <w:tc>
          <w:tcPr>
            <w:tcW w:w="1340" w:type="dxa"/>
            <w:vAlign w:val="bottom"/>
            <w:tcBorders>
              <w:bottom w:val="single" w:sz="8" w:color="DBDBDB"/>
            </w:tcBorders>
            <w:shd w:val="clear" w:color="auto" w:fill="DBDBDB"/>
          </w:tcPr>
          <w:p>
            <w:pPr>
              <w:spacing w:after="0"/>
              <w:rPr>
                <w:sz w:val="20"/>
                <w:szCs w:val="20"/>
                <w:color w:val="auto"/>
              </w:rPr>
            </w:pPr>
          </w:p>
        </w:tc>
        <w:tc>
          <w:tcPr>
            <w:tcW w:w="420" w:type="dxa"/>
            <w:vAlign w:val="bottom"/>
            <w:tcBorders>
              <w:bottom w:val="single" w:sz="8" w:color="DBDBDB"/>
            </w:tcBorders>
            <w:shd w:val="clear" w:color="auto" w:fill="DBDBDB"/>
          </w:tcPr>
          <w:p>
            <w:pPr>
              <w:spacing w:after="0"/>
              <w:rPr>
                <w:sz w:val="20"/>
                <w:szCs w:val="20"/>
                <w:color w:val="auto"/>
              </w:rPr>
            </w:pPr>
          </w:p>
        </w:tc>
        <w:tc>
          <w:tcPr>
            <w:tcW w:w="1440" w:type="dxa"/>
            <w:vAlign w:val="bottom"/>
            <w:tcBorders>
              <w:bottom w:val="single" w:sz="8" w:color="DBDBDB"/>
            </w:tcBorders>
            <w:shd w:val="clear" w:color="auto" w:fill="DBDBDB"/>
          </w:tcPr>
          <w:p>
            <w:pPr>
              <w:spacing w:after="0"/>
              <w:rPr>
                <w:sz w:val="20"/>
                <w:szCs w:val="20"/>
                <w:color w:val="auto"/>
              </w:rPr>
            </w:pPr>
          </w:p>
        </w:tc>
        <w:tc>
          <w:tcPr>
            <w:tcW w:w="360" w:type="dxa"/>
            <w:vAlign w:val="bottom"/>
            <w:tcBorders>
              <w:bottom w:val="single" w:sz="8" w:color="auto"/>
            </w:tcBorders>
            <w:shd w:val="clear" w:color="auto" w:fill="DBDBDB"/>
          </w:tcPr>
          <w:p>
            <w:pPr>
              <w:spacing w:after="0"/>
              <w:rPr>
                <w:sz w:val="20"/>
                <w:szCs w:val="20"/>
                <w:color w:val="auto"/>
              </w:rPr>
            </w:pPr>
          </w:p>
        </w:tc>
        <w:tc>
          <w:tcPr>
            <w:tcW w:w="13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5,657,154</w:t>
            </w:r>
          </w:p>
        </w:tc>
        <w:tc>
          <w:tcPr>
            <w:tcW w:w="0" w:type="dxa"/>
            <w:vAlign w:val="bottom"/>
          </w:tcPr>
          <w:p>
            <w:pPr>
              <w:spacing w:after="0"/>
              <w:rPr>
                <w:sz w:val="1"/>
                <w:szCs w:val="1"/>
                <w:color w:val="auto"/>
              </w:rPr>
            </w:pPr>
          </w:p>
        </w:tc>
      </w:tr>
      <w:tr>
        <w:trPr>
          <w:trHeight w:val="256"/>
        </w:trPr>
        <w:tc>
          <w:tcPr>
            <w:tcW w:w="4280" w:type="dxa"/>
            <w:vAlign w:val="bottom"/>
          </w:tcPr>
          <w:p>
            <w:pPr>
              <w:ind w:left="20"/>
              <w:spacing w:after="0"/>
              <w:rPr>
                <w:sz w:val="20"/>
                <w:szCs w:val="20"/>
                <w:color w:val="auto"/>
              </w:rPr>
            </w:pPr>
            <w:r>
              <w:rPr>
                <w:rFonts w:ascii="Arial" w:cs="Arial" w:eastAsia="Arial" w:hAnsi="Arial"/>
                <w:sz w:val="16"/>
                <w:szCs w:val="16"/>
                <w:color w:val="auto"/>
              </w:rPr>
              <w:t>Total assets measured at fair value</w:t>
            </w:r>
          </w:p>
        </w:tc>
        <w:tc>
          <w:tcPr>
            <w:tcW w:w="3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277,564,053</w:t>
            </w:r>
          </w:p>
        </w:tc>
        <w:tc>
          <w:tcPr>
            <w:tcW w:w="0" w:type="dxa"/>
            <w:vAlign w:val="bottom"/>
          </w:tcPr>
          <w:p>
            <w:pPr>
              <w:spacing w:after="0"/>
              <w:rPr>
                <w:sz w:val="1"/>
                <w:szCs w:val="1"/>
                <w:color w:val="auto"/>
              </w:rPr>
            </w:pPr>
          </w:p>
        </w:tc>
      </w:tr>
      <w:tr>
        <w:trPr>
          <w:trHeight w:val="21"/>
        </w:trPr>
        <w:tc>
          <w:tcPr>
            <w:tcW w:w="4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22" w:lineRule="exact"/>
        <w:rPr>
          <w:sz w:val="20"/>
          <w:szCs w:val="20"/>
          <w:color w:val="auto"/>
        </w:rPr>
      </w:pPr>
    </w:p>
    <w:p>
      <w:pPr>
        <w:jc w:val="both"/>
        <w:ind w:left="420" w:right="20" w:hanging="409"/>
        <w:spacing w:after="0" w:line="286" w:lineRule="auto"/>
        <w:tabs>
          <w:tab w:leader="none" w:pos="420" w:val="left"/>
        </w:tabs>
        <w:numPr>
          <w:ilvl w:val="0"/>
          <w:numId w:val="4"/>
        </w:numPr>
        <w:rPr>
          <w:rFonts w:ascii="Arial" w:cs="Arial" w:eastAsia="Arial" w:hAnsi="Arial"/>
          <w:sz w:val="14"/>
          <w:szCs w:val="14"/>
          <w:color w:val="auto"/>
        </w:rPr>
      </w:pPr>
      <w:r>
        <w:rPr>
          <w:rFonts w:ascii="Arial" w:cs="Arial" w:eastAsia="Arial" w:hAnsi="Arial"/>
          <w:sz w:val="14"/>
          <w:szCs w:val="14"/>
          <w:color w:val="auto"/>
        </w:rPr>
        <w:t>In accordance with Subtopic 820-10 of ASC 820, Fair Value Measurement, certain investments that were measured at NAV per share (or its equivalent) have not been classified in the fair value hierarchy. The fair value amounts presented in this table are intended to permit reconciliation of the fair value hierarchy to the line items presented in the statements of net assets available for benefits.</w:t>
      </w:r>
    </w:p>
    <w:p>
      <w:pPr>
        <w:spacing w:after="0" w:line="10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6"/>
          <w:szCs w:val="16"/>
          <w:color w:val="auto"/>
        </w:rPr>
        <w:t>The Plan is invested in the Great Gray Trust Stable Value Fund Class R1 ("Great Gray Stable Value Fund") and the John Hancock Disciplined Value Mid Cap Trust Class B4 ("John Hancock Disciplined Value Mid Cap Trust") as of December 31, 2025. The Great Gray Stable Value Fund is a collective investment trust that seeks to preserve principal and achieve high current income through a diversified portfolio of high-quality investment contracts. The John Hancock Disciplined Value Mid Cap Trust is a collective investment trust that seeks to provide long-term growth of capital and current income.</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Investments in Entities that Use NAV</w:t>
      </w:r>
    </w:p>
    <w:p>
      <w:pPr>
        <w:spacing w:after="0" w:line="70"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following table summarizes investments measured at fair value based on NAV per share as of December 31, 2025 and 2024:</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980" w:type="dxa"/>
            <w:vAlign w:val="bottom"/>
            <w:shd w:val="clear" w:color="auto" w:fill="1D2758"/>
          </w:tcPr>
          <w:p>
            <w:pPr>
              <w:spacing w:after="0"/>
              <w:rPr>
                <w:sz w:val="18"/>
                <w:szCs w:val="18"/>
                <w:color w:val="auto"/>
              </w:rPr>
            </w:pPr>
          </w:p>
        </w:tc>
        <w:tc>
          <w:tcPr>
            <w:tcW w:w="380" w:type="dxa"/>
            <w:vAlign w:val="bottom"/>
            <w:shd w:val="clear" w:color="auto" w:fill="1D2758"/>
          </w:tcPr>
          <w:p>
            <w:pPr>
              <w:spacing w:after="0"/>
              <w:rPr>
                <w:sz w:val="18"/>
                <w:szCs w:val="18"/>
                <w:color w:val="auto"/>
              </w:rPr>
            </w:pPr>
          </w:p>
        </w:tc>
        <w:tc>
          <w:tcPr>
            <w:tcW w:w="1280" w:type="dxa"/>
            <w:vAlign w:val="bottom"/>
            <w:shd w:val="clear" w:color="auto" w:fill="1D2758"/>
          </w:tcPr>
          <w:p>
            <w:pPr>
              <w:spacing w:after="0"/>
              <w:rPr>
                <w:sz w:val="18"/>
                <w:szCs w:val="18"/>
                <w:color w:val="auto"/>
              </w:rPr>
            </w:pPr>
          </w:p>
        </w:tc>
        <w:tc>
          <w:tcPr>
            <w:tcW w:w="440" w:type="dxa"/>
            <w:vAlign w:val="bottom"/>
            <w:shd w:val="clear" w:color="auto" w:fill="1D2758"/>
          </w:tcPr>
          <w:p>
            <w:pPr>
              <w:spacing w:after="0"/>
              <w:rPr>
                <w:sz w:val="18"/>
                <w:szCs w:val="18"/>
                <w:color w:val="auto"/>
              </w:rPr>
            </w:pPr>
          </w:p>
        </w:tc>
        <w:tc>
          <w:tcPr>
            <w:tcW w:w="1400" w:type="dxa"/>
            <w:vAlign w:val="bottom"/>
            <w:shd w:val="clear" w:color="auto" w:fill="1D2758"/>
          </w:tcPr>
          <w:p>
            <w:pPr>
              <w:spacing w:after="0"/>
              <w:rPr>
                <w:sz w:val="18"/>
                <w:szCs w:val="18"/>
                <w:color w:val="auto"/>
              </w:rPr>
            </w:pPr>
          </w:p>
        </w:tc>
        <w:tc>
          <w:tcPr>
            <w:tcW w:w="1460" w:type="dxa"/>
            <w:vAlign w:val="bottom"/>
            <w:shd w:val="clear" w:color="auto" w:fill="1D2758"/>
          </w:tcPr>
          <w:p>
            <w:pPr>
              <w:spacing w:after="0"/>
              <w:rPr>
                <w:sz w:val="18"/>
                <w:szCs w:val="18"/>
                <w:color w:val="auto"/>
              </w:rPr>
            </w:pPr>
          </w:p>
        </w:tc>
        <w:tc>
          <w:tcPr>
            <w:tcW w:w="1840" w:type="dxa"/>
            <w:vAlign w:val="bottom"/>
            <w:shd w:val="clear" w:color="auto" w:fill="1D2758"/>
          </w:tcPr>
          <w:p>
            <w:pPr>
              <w:jc w:val="center"/>
              <w:spacing w:after="0"/>
              <w:rPr>
                <w:sz w:val="20"/>
                <w:szCs w:val="20"/>
                <w:color w:val="auto"/>
              </w:rPr>
            </w:pPr>
            <w:r>
              <w:rPr>
                <w:rFonts w:ascii="Arial" w:cs="Arial" w:eastAsia="Arial" w:hAnsi="Arial"/>
                <w:sz w:val="16"/>
                <w:szCs w:val="16"/>
                <w:b w:val="1"/>
                <w:bCs w:val="1"/>
                <w:color w:val="FFFFFF"/>
              </w:rPr>
              <w:t>Redemption</w:t>
            </w:r>
          </w:p>
        </w:tc>
        <w:tc>
          <w:tcPr>
            <w:tcW w:w="1480" w:type="dxa"/>
            <w:vAlign w:val="bottom"/>
            <w:shd w:val="clear" w:color="auto" w:fill="1D2758"/>
          </w:tcPr>
          <w:p>
            <w:pPr>
              <w:spacing w:after="0"/>
              <w:rPr>
                <w:sz w:val="18"/>
                <w:szCs w:val="18"/>
                <w:color w:val="auto"/>
              </w:rPr>
            </w:pPr>
          </w:p>
        </w:tc>
      </w:tr>
      <w:tr>
        <w:trPr>
          <w:trHeight w:val="189"/>
        </w:trPr>
        <w:tc>
          <w:tcPr>
            <w:tcW w:w="2980" w:type="dxa"/>
            <w:vAlign w:val="bottom"/>
            <w:shd w:val="clear" w:color="auto" w:fill="1D2758"/>
          </w:tcPr>
          <w:p>
            <w:pPr>
              <w:spacing w:after="0"/>
              <w:rPr>
                <w:sz w:val="16"/>
                <w:szCs w:val="16"/>
                <w:color w:val="auto"/>
              </w:rPr>
            </w:pPr>
          </w:p>
        </w:tc>
        <w:tc>
          <w:tcPr>
            <w:tcW w:w="380" w:type="dxa"/>
            <w:vAlign w:val="bottom"/>
            <w:shd w:val="clear" w:color="auto" w:fill="1D2758"/>
          </w:tcPr>
          <w:p>
            <w:pPr>
              <w:spacing w:after="0"/>
              <w:rPr>
                <w:sz w:val="16"/>
                <w:szCs w:val="16"/>
                <w:color w:val="auto"/>
              </w:rPr>
            </w:pPr>
          </w:p>
        </w:tc>
        <w:tc>
          <w:tcPr>
            <w:tcW w:w="1280" w:type="dxa"/>
            <w:vAlign w:val="bottom"/>
            <w:shd w:val="clear" w:color="auto" w:fill="1D2758"/>
          </w:tcPr>
          <w:p>
            <w:pPr>
              <w:spacing w:after="0"/>
              <w:rPr>
                <w:sz w:val="16"/>
                <w:szCs w:val="16"/>
                <w:color w:val="auto"/>
              </w:rPr>
            </w:pPr>
          </w:p>
        </w:tc>
        <w:tc>
          <w:tcPr>
            <w:tcW w:w="440" w:type="dxa"/>
            <w:vAlign w:val="bottom"/>
            <w:shd w:val="clear" w:color="auto" w:fill="1D2758"/>
          </w:tcPr>
          <w:p>
            <w:pPr>
              <w:spacing w:after="0"/>
              <w:rPr>
                <w:sz w:val="16"/>
                <w:szCs w:val="16"/>
                <w:color w:val="auto"/>
              </w:rPr>
            </w:pPr>
          </w:p>
        </w:tc>
        <w:tc>
          <w:tcPr>
            <w:tcW w:w="1400" w:type="dxa"/>
            <w:vAlign w:val="bottom"/>
            <w:shd w:val="clear" w:color="auto" w:fill="1D2758"/>
          </w:tcPr>
          <w:p>
            <w:pPr>
              <w:spacing w:after="0"/>
              <w:rPr>
                <w:sz w:val="16"/>
                <w:szCs w:val="16"/>
                <w:color w:val="auto"/>
              </w:rPr>
            </w:pPr>
          </w:p>
        </w:tc>
        <w:tc>
          <w:tcPr>
            <w:tcW w:w="1460" w:type="dxa"/>
            <w:vAlign w:val="bottom"/>
            <w:shd w:val="clear" w:color="auto" w:fill="1D2758"/>
          </w:tcPr>
          <w:p>
            <w:pPr>
              <w:jc w:val="center"/>
              <w:spacing w:after="0"/>
              <w:rPr>
                <w:sz w:val="20"/>
                <w:szCs w:val="20"/>
                <w:color w:val="auto"/>
              </w:rPr>
            </w:pPr>
            <w:r>
              <w:rPr>
                <w:rFonts w:ascii="Arial" w:cs="Arial" w:eastAsia="Arial" w:hAnsi="Arial"/>
                <w:sz w:val="16"/>
                <w:szCs w:val="16"/>
                <w:b w:val="1"/>
                <w:bCs w:val="1"/>
                <w:color w:val="FFFFFF"/>
              </w:rPr>
              <w:t>Unfunded</w:t>
            </w:r>
          </w:p>
        </w:tc>
        <w:tc>
          <w:tcPr>
            <w:tcW w:w="1840" w:type="dxa"/>
            <w:vAlign w:val="bottom"/>
            <w:shd w:val="clear" w:color="auto" w:fill="1D2758"/>
          </w:tcPr>
          <w:p>
            <w:pPr>
              <w:jc w:val="center"/>
              <w:spacing w:after="0"/>
              <w:rPr>
                <w:sz w:val="20"/>
                <w:szCs w:val="20"/>
                <w:color w:val="auto"/>
              </w:rPr>
            </w:pPr>
            <w:r>
              <w:rPr>
                <w:rFonts w:ascii="Arial" w:cs="Arial" w:eastAsia="Arial" w:hAnsi="Arial"/>
                <w:sz w:val="16"/>
                <w:szCs w:val="16"/>
                <w:b w:val="1"/>
                <w:bCs w:val="1"/>
                <w:color w:val="FFFFFF"/>
              </w:rPr>
              <w:t>Frequency (if</w:t>
            </w:r>
          </w:p>
        </w:tc>
        <w:tc>
          <w:tcPr>
            <w:tcW w:w="1480" w:type="dxa"/>
            <w:vAlign w:val="bottom"/>
            <w:shd w:val="clear" w:color="auto" w:fill="1D2758"/>
          </w:tcPr>
          <w:p>
            <w:pPr>
              <w:jc w:val="center"/>
              <w:spacing w:after="0"/>
              <w:rPr>
                <w:sz w:val="20"/>
                <w:szCs w:val="20"/>
                <w:color w:val="auto"/>
              </w:rPr>
            </w:pPr>
            <w:r>
              <w:rPr>
                <w:rFonts w:ascii="Arial" w:cs="Arial" w:eastAsia="Arial" w:hAnsi="Arial"/>
                <w:sz w:val="16"/>
                <w:szCs w:val="16"/>
                <w:b w:val="1"/>
                <w:bCs w:val="1"/>
                <w:color w:val="FFFFFF"/>
              </w:rPr>
              <w:t>Redemption</w:t>
            </w:r>
          </w:p>
        </w:tc>
      </w:tr>
      <w:tr>
        <w:trPr>
          <w:trHeight w:val="230"/>
        </w:trPr>
        <w:tc>
          <w:tcPr>
            <w:tcW w:w="2980" w:type="dxa"/>
            <w:vAlign w:val="bottom"/>
            <w:tcBorders>
              <w:bottom w:val="single" w:sz="8" w:color="1D2758"/>
            </w:tcBorders>
            <w:shd w:val="clear" w:color="auto" w:fill="1D2758"/>
          </w:tcPr>
          <w:p>
            <w:pPr>
              <w:ind w:left="1100"/>
              <w:spacing w:after="0"/>
              <w:rPr>
                <w:sz w:val="20"/>
                <w:szCs w:val="20"/>
                <w:color w:val="auto"/>
              </w:rPr>
            </w:pPr>
            <w:r>
              <w:rPr>
                <w:rFonts w:ascii="Arial" w:cs="Arial" w:eastAsia="Arial" w:hAnsi="Arial"/>
                <w:sz w:val="16"/>
                <w:szCs w:val="16"/>
                <w:color w:val="FFFFFF"/>
              </w:rPr>
              <w:t>Investment</w:t>
            </w:r>
          </w:p>
        </w:tc>
        <w:tc>
          <w:tcPr>
            <w:tcW w:w="380" w:type="dxa"/>
            <w:vAlign w:val="bottom"/>
            <w:tcBorders>
              <w:bottom w:val="single" w:sz="8" w:color="1D2758"/>
            </w:tcBorders>
            <w:shd w:val="clear" w:color="auto" w:fill="1D2758"/>
          </w:tcPr>
          <w:p>
            <w:pPr>
              <w:spacing w:after="0"/>
              <w:rPr>
                <w:sz w:val="19"/>
                <w:szCs w:val="19"/>
                <w:color w:val="auto"/>
              </w:rPr>
            </w:pPr>
          </w:p>
        </w:tc>
        <w:tc>
          <w:tcPr>
            <w:tcW w:w="1280" w:type="dxa"/>
            <w:vAlign w:val="bottom"/>
            <w:tcBorders>
              <w:bottom w:val="single" w:sz="8" w:color="1D2758"/>
            </w:tcBorders>
            <w:shd w:val="clear" w:color="auto" w:fill="1D2758"/>
          </w:tcPr>
          <w:p>
            <w:pPr>
              <w:jc w:val="right"/>
              <w:ind w:right="579"/>
              <w:spacing w:after="0"/>
              <w:rPr>
                <w:sz w:val="20"/>
                <w:szCs w:val="20"/>
                <w:color w:val="auto"/>
              </w:rPr>
            </w:pPr>
            <w:r>
              <w:rPr>
                <w:rFonts w:ascii="Arial" w:cs="Arial" w:eastAsia="Arial" w:hAnsi="Arial"/>
                <w:sz w:val="16"/>
                <w:szCs w:val="16"/>
                <w:b w:val="1"/>
                <w:bCs w:val="1"/>
                <w:color w:val="FFFFFF"/>
              </w:rPr>
              <w:t>2025</w:t>
            </w:r>
          </w:p>
        </w:tc>
        <w:tc>
          <w:tcPr>
            <w:tcW w:w="440" w:type="dxa"/>
            <w:vAlign w:val="bottom"/>
            <w:tcBorders>
              <w:bottom w:val="single" w:sz="8" w:color="1D2758"/>
            </w:tcBorders>
            <w:shd w:val="clear" w:color="auto" w:fill="1D2758"/>
          </w:tcPr>
          <w:p>
            <w:pPr>
              <w:spacing w:after="0"/>
              <w:rPr>
                <w:sz w:val="19"/>
                <w:szCs w:val="19"/>
                <w:color w:val="auto"/>
              </w:rPr>
            </w:pPr>
          </w:p>
        </w:tc>
        <w:tc>
          <w:tcPr>
            <w:tcW w:w="1400" w:type="dxa"/>
            <w:vAlign w:val="bottom"/>
            <w:tcBorders>
              <w:bottom w:val="single" w:sz="8" w:color="1D2758"/>
            </w:tcBorders>
            <w:shd w:val="clear" w:color="auto" w:fill="1D2758"/>
          </w:tcPr>
          <w:p>
            <w:pPr>
              <w:jc w:val="right"/>
              <w:ind w:right="699"/>
              <w:spacing w:after="0"/>
              <w:rPr>
                <w:sz w:val="20"/>
                <w:szCs w:val="20"/>
                <w:color w:val="auto"/>
              </w:rPr>
            </w:pPr>
            <w:r>
              <w:rPr>
                <w:rFonts w:ascii="Arial" w:cs="Arial" w:eastAsia="Arial" w:hAnsi="Arial"/>
                <w:sz w:val="16"/>
                <w:szCs w:val="16"/>
                <w:b w:val="1"/>
                <w:bCs w:val="1"/>
                <w:color w:val="FFFFFF"/>
              </w:rPr>
              <w:t>2024</w:t>
            </w:r>
          </w:p>
        </w:tc>
        <w:tc>
          <w:tcPr>
            <w:tcW w:w="1460" w:type="dxa"/>
            <w:vAlign w:val="bottom"/>
            <w:tcBorders>
              <w:bottom w:val="single" w:sz="8" w:color="1D2758"/>
            </w:tcBorders>
            <w:shd w:val="clear" w:color="auto" w:fill="1D2758"/>
          </w:tcPr>
          <w:p>
            <w:pPr>
              <w:jc w:val="center"/>
              <w:spacing w:after="0"/>
              <w:rPr>
                <w:sz w:val="20"/>
                <w:szCs w:val="20"/>
                <w:color w:val="auto"/>
              </w:rPr>
            </w:pPr>
            <w:r>
              <w:rPr>
                <w:rFonts w:ascii="Arial" w:cs="Arial" w:eastAsia="Arial" w:hAnsi="Arial"/>
                <w:sz w:val="16"/>
                <w:szCs w:val="16"/>
                <w:b w:val="1"/>
                <w:bCs w:val="1"/>
                <w:color w:val="FFFFFF"/>
              </w:rPr>
              <w:t>Commitment</w:t>
            </w:r>
          </w:p>
        </w:tc>
        <w:tc>
          <w:tcPr>
            <w:tcW w:w="1840" w:type="dxa"/>
            <w:vAlign w:val="bottom"/>
            <w:tcBorders>
              <w:bottom w:val="single" w:sz="8" w:color="1D2758"/>
            </w:tcBorders>
            <w:shd w:val="clear" w:color="auto" w:fill="1D2758"/>
          </w:tcPr>
          <w:p>
            <w:pPr>
              <w:jc w:val="center"/>
              <w:spacing w:after="0"/>
              <w:rPr>
                <w:sz w:val="20"/>
                <w:szCs w:val="20"/>
                <w:color w:val="auto"/>
              </w:rPr>
            </w:pPr>
            <w:r>
              <w:rPr>
                <w:rFonts w:ascii="Arial" w:cs="Arial" w:eastAsia="Arial" w:hAnsi="Arial"/>
                <w:sz w:val="16"/>
                <w:szCs w:val="16"/>
                <w:b w:val="1"/>
                <w:bCs w:val="1"/>
                <w:color w:val="FFFFFF"/>
              </w:rPr>
              <w:t>currently eligible)</w:t>
            </w:r>
          </w:p>
        </w:tc>
        <w:tc>
          <w:tcPr>
            <w:tcW w:w="1480" w:type="dxa"/>
            <w:vAlign w:val="bottom"/>
            <w:tcBorders>
              <w:bottom w:val="single" w:sz="8" w:color="1D2758"/>
            </w:tcBorders>
            <w:shd w:val="clear" w:color="auto" w:fill="1D2758"/>
          </w:tcPr>
          <w:p>
            <w:pPr>
              <w:jc w:val="center"/>
              <w:spacing w:after="0"/>
              <w:rPr>
                <w:sz w:val="20"/>
                <w:szCs w:val="20"/>
                <w:color w:val="auto"/>
              </w:rPr>
            </w:pPr>
            <w:r>
              <w:rPr>
                <w:rFonts w:ascii="Arial" w:cs="Arial" w:eastAsia="Arial" w:hAnsi="Arial"/>
                <w:sz w:val="16"/>
                <w:szCs w:val="16"/>
                <w:b w:val="1"/>
                <w:bCs w:val="1"/>
                <w:color w:val="FFFFFF"/>
              </w:rPr>
              <w:t>Notice Period</w:t>
            </w:r>
          </w:p>
        </w:tc>
      </w:tr>
      <w:tr>
        <w:trPr>
          <w:trHeight w:val="243"/>
        </w:trPr>
        <w:tc>
          <w:tcPr>
            <w:tcW w:w="2980" w:type="dxa"/>
            <w:vAlign w:val="bottom"/>
            <w:shd w:val="clear" w:color="auto" w:fill="DBDBDB"/>
          </w:tcPr>
          <w:p>
            <w:pPr>
              <w:ind w:left="20"/>
              <w:spacing w:after="0"/>
              <w:rPr>
                <w:sz w:val="20"/>
                <w:szCs w:val="20"/>
                <w:color w:val="auto"/>
              </w:rPr>
            </w:pPr>
            <w:r>
              <w:rPr>
                <w:rFonts w:ascii="Arial" w:cs="Arial" w:eastAsia="Arial" w:hAnsi="Arial"/>
                <w:sz w:val="16"/>
                <w:szCs w:val="16"/>
                <w:color w:val="auto"/>
              </w:rPr>
              <w:t xml:space="preserve">Great Gray Stable Value Fund </w:t>
            </w:r>
            <w:r>
              <w:rPr>
                <w:rFonts w:ascii="Arial" w:cs="Arial" w:eastAsia="Arial" w:hAnsi="Arial"/>
                <w:sz w:val="21"/>
                <w:szCs w:val="21"/>
                <w:color w:val="auto"/>
                <w:vertAlign w:val="superscript"/>
              </w:rPr>
              <w:t>(a)</w:t>
            </w:r>
          </w:p>
        </w:tc>
        <w:tc>
          <w:tcPr>
            <w:tcW w:w="380" w:type="dxa"/>
            <w:vAlign w:val="bottom"/>
            <w:shd w:val="clear" w:color="auto" w:fill="DBDBDB"/>
          </w:tcPr>
          <w:p>
            <w:pPr>
              <w:jc w:val="right"/>
              <w:ind w:right="179"/>
              <w:spacing w:after="0"/>
              <w:rPr>
                <w:sz w:val="20"/>
                <w:szCs w:val="20"/>
                <w:color w:val="auto"/>
              </w:rPr>
            </w:pPr>
            <w:r>
              <w:rPr>
                <w:rFonts w:ascii="Arial" w:cs="Arial" w:eastAsia="Arial" w:hAnsi="Arial"/>
                <w:sz w:val="16"/>
                <w:szCs w:val="16"/>
                <w:color w:val="auto"/>
              </w:rPr>
              <w:t>$</w:t>
            </w:r>
          </w:p>
        </w:tc>
        <w:tc>
          <w:tcPr>
            <w:tcW w:w="1280" w:type="dxa"/>
            <w:vAlign w:val="bottom"/>
            <w:shd w:val="clear" w:color="auto" w:fill="DBDBDB"/>
          </w:tcPr>
          <w:p>
            <w:pPr>
              <w:jc w:val="right"/>
              <w:ind w:right="19"/>
              <w:spacing w:after="0"/>
              <w:rPr>
                <w:sz w:val="20"/>
                <w:szCs w:val="20"/>
                <w:color w:val="auto"/>
              </w:rPr>
            </w:pPr>
            <w:r>
              <w:rPr>
                <w:rFonts w:ascii="Arial" w:cs="Arial" w:eastAsia="Arial" w:hAnsi="Arial"/>
                <w:sz w:val="16"/>
                <w:szCs w:val="16"/>
                <w:color w:val="auto"/>
              </w:rPr>
              <w:t>5,325,780</w:t>
            </w:r>
          </w:p>
        </w:tc>
        <w:tc>
          <w:tcPr>
            <w:tcW w:w="440" w:type="dxa"/>
            <w:vAlign w:val="bottom"/>
            <w:shd w:val="clear" w:color="auto" w:fill="DBDBDB"/>
          </w:tcPr>
          <w:p>
            <w:pPr>
              <w:jc w:val="right"/>
              <w:ind w:right="179"/>
              <w:spacing w:after="0"/>
              <w:rPr>
                <w:sz w:val="20"/>
                <w:szCs w:val="20"/>
                <w:color w:val="auto"/>
              </w:rPr>
            </w:pPr>
            <w:r>
              <w:rPr>
                <w:rFonts w:ascii="Arial" w:cs="Arial" w:eastAsia="Arial" w:hAnsi="Arial"/>
                <w:sz w:val="16"/>
                <w:szCs w:val="16"/>
                <w:color w:val="auto"/>
              </w:rPr>
              <w:t>$</w:t>
            </w:r>
          </w:p>
        </w:tc>
        <w:tc>
          <w:tcPr>
            <w:tcW w:w="1400" w:type="dxa"/>
            <w:vAlign w:val="bottom"/>
            <w:shd w:val="clear" w:color="auto" w:fill="DBDBDB"/>
          </w:tcPr>
          <w:p>
            <w:pPr>
              <w:jc w:val="right"/>
              <w:ind w:right="139"/>
              <w:spacing w:after="0"/>
              <w:rPr>
                <w:sz w:val="20"/>
                <w:szCs w:val="20"/>
                <w:color w:val="auto"/>
              </w:rPr>
            </w:pPr>
            <w:r>
              <w:rPr>
                <w:rFonts w:ascii="Arial" w:cs="Arial" w:eastAsia="Arial" w:hAnsi="Arial"/>
                <w:sz w:val="16"/>
                <w:szCs w:val="16"/>
                <w:color w:val="auto"/>
              </w:rPr>
              <w:t>5,657,154</w:t>
            </w:r>
          </w:p>
        </w:tc>
        <w:tc>
          <w:tcPr>
            <w:tcW w:w="1460" w:type="dxa"/>
            <w:vAlign w:val="bottom"/>
            <w:shd w:val="clear" w:color="auto" w:fill="DBDBDB"/>
          </w:tcPr>
          <w:p>
            <w:pPr>
              <w:jc w:val="center"/>
              <w:spacing w:after="0"/>
              <w:rPr>
                <w:sz w:val="20"/>
                <w:szCs w:val="20"/>
                <w:color w:val="auto"/>
              </w:rPr>
            </w:pPr>
            <w:r>
              <w:rPr>
                <w:rFonts w:ascii="Arial" w:cs="Arial" w:eastAsia="Arial" w:hAnsi="Arial"/>
                <w:sz w:val="16"/>
                <w:szCs w:val="16"/>
                <w:color w:val="auto"/>
                <w:w w:val="99"/>
              </w:rPr>
              <w:t>None</w:t>
            </w:r>
          </w:p>
        </w:tc>
        <w:tc>
          <w:tcPr>
            <w:tcW w:w="1840" w:type="dxa"/>
            <w:vAlign w:val="bottom"/>
            <w:shd w:val="clear" w:color="auto" w:fill="DBDBDB"/>
          </w:tcPr>
          <w:p>
            <w:pPr>
              <w:jc w:val="center"/>
              <w:spacing w:after="0"/>
              <w:rPr>
                <w:sz w:val="20"/>
                <w:szCs w:val="20"/>
                <w:color w:val="auto"/>
              </w:rPr>
            </w:pPr>
            <w:r>
              <w:rPr>
                <w:rFonts w:ascii="Arial" w:cs="Arial" w:eastAsia="Arial" w:hAnsi="Arial"/>
                <w:sz w:val="16"/>
                <w:szCs w:val="16"/>
                <w:color w:val="auto"/>
              </w:rPr>
              <w:t>Daily</w:t>
            </w:r>
          </w:p>
        </w:tc>
        <w:tc>
          <w:tcPr>
            <w:tcW w:w="1480" w:type="dxa"/>
            <w:vAlign w:val="bottom"/>
            <w:shd w:val="clear" w:color="auto" w:fill="DBDBDB"/>
          </w:tcPr>
          <w:p>
            <w:pPr>
              <w:jc w:val="center"/>
              <w:spacing w:after="0"/>
              <w:rPr>
                <w:sz w:val="20"/>
                <w:szCs w:val="20"/>
                <w:color w:val="auto"/>
              </w:rPr>
            </w:pPr>
            <w:r>
              <w:rPr>
                <w:rFonts w:ascii="Arial" w:cs="Arial" w:eastAsia="Arial" w:hAnsi="Arial"/>
                <w:sz w:val="16"/>
                <w:szCs w:val="16"/>
                <w:color w:val="auto"/>
                <w:w w:val="99"/>
              </w:rPr>
              <w:t>None</w:t>
            </w:r>
          </w:p>
        </w:tc>
      </w:tr>
      <w:tr>
        <w:trPr>
          <w:trHeight w:val="203"/>
        </w:trPr>
        <w:tc>
          <w:tcPr>
            <w:tcW w:w="2980" w:type="dxa"/>
            <w:vAlign w:val="bottom"/>
          </w:tcPr>
          <w:p>
            <w:pPr>
              <w:ind w:left="20"/>
              <w:spacing w:after="0"/>
              <w:rPr>
                <w:sz w:val="20"/>
                <w:szCs w:val="20"/>
                <w:color w:val="auto"/>
              </w:rPr>
            </w:pPr>
            <w:r>
              <w:rPr>
                <w:rFonts w:ascii="Arial" w:cs="Arial" w:eastAsia="Arial" w:hAnsi="Arial"/>
                <w:sz w:val="16"/>
                <w:szCs w:val="16"/>
                <w:color w:val="auto"/>
              </w:rPr>
              <w:t>John Hancock Disciplined Value Mid Cap</w:t>
            </w:r>
          </w:p>
        </w:tc>
        <w:tc>
          <w:tcPr>
            <w:tcW w:w="3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84"/>
        </w:trPr>
        <w:tc>
          <w:tcPr>
            <w:tcW w:w="2980" w:type="dxa"/>
            <w:vAlign w:val="bottom"/>
          </w:tcPr>
          <w:p>
            <w:pPr>
              <w:ind w:left="20"/>
              <w:spacing w:after="0"/>
              <w:rPr>
                <w:sz w:val="20"/>
                <w:szCs w:val="20"/>
                <w:color w:val="auto"/>
              </w:rPr>
            </w:pPr>
            <w:r>
              <w:rPr>
                <w:rFonts w:ascii="Arial" w:cs="Arial" w:eastAsia="Arial" w:hAnsi="Arial"/>
                <w:sz w:val="16"/>
                <w:szCs w:val="16"/>
                <w:color w:val="auto"/>
              </w:rPr>
              <w:t xml:space="preserve">Trust </w:t>
            </w:r>
            <w:r>
              <w:rPr>
                <w:rFonts w:ascii="Arial" w:cs="Arial" w:eastAsia="Arial" w:hAnsi="Arial"/>
                <w:sz w:val="21"/>
                <w:szCs w:val="21"/>
                <w:color w:val="auto"/>
                <w:vertAlign w:val="superscript"/>
              </w:rPr>
              <w:t>(b)</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2,171,203</w:t>
            </w:r>
          </w:p>
        </w:tc>
        <w:tc>
          <w:tcPr>
            <w:tcW w:w="44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460" w:type="dxa"/>
            <w:vAlign w:val="bottom"/>
          </w:tcPr>
          <w:p>
            <w:pPr>
              <w:jc w:val="center"/>
              <w:spacing w:after="0"/>
              <w:rPr>
                <w:sz w:val="20"/>
                <w:szCs w:val="20"/>
                <w:color w:val="auto"/>
              </w:rPr>
            </w:pPr>
            <w:r>
              <w:rPr>
                <w:rFonts w:ascii="Arial" w:cs="Arial" w:eastAsia="Arial" w:hAnsi="Arial"/>
                <w:sz w:val="16"/>
                <w:szCs w:val="16"/>
                <w:color w:val="auto"/>
                <w:w w:val="99"/>
              </w:rPr>
              <w:t>None</w:t>
            </w:r>
          </w:p>
        </w:tc>
        <w:tc>
          <w:tcPr>
            <w:tcW w:w="1840" w:type="dxa"/>
            <w:vAlign w:val="bottom"/>
          </w:tcPr>
          <w:p>
            <w:pPr>
              <w:jc w:val="center"/>
              <w:spacing w:after="0"/>
              <w:rPr>
                <w:sz w:val="20"/>
                <w:szCs w:val="20"/>
                <w:color w:val="auto"/>
              </w:rPr>
            </w:pPr>
            <w:r>
              <w:rPr>
                <w:rFonts w:ascii="Arial" w:cs="Arial" w:eastAsia="Arial" w:hAnsi="Arial"/>
                <w:sz w:val="16"/>
                <w:szCs w:val="16"/>
                <w:color w:val="auto"/>
              </w:rPr>
              <w:t>Daily</w:t>
            </w:r>
          </w:p>
        </w:tc>
        <w:tc>
          <w:tcPr>
            <w:tcW w:w="1480" w:type="dxa"/>
            <w:vAlign w:val="bottom"/>
          </w:tcPr>
          <w:p>
            <w:pPr>
              <w:jc w:val="center"/>
              <w:spacing w:after="0"/>
              <w:rPr>
                <w:sz w:val="20"/>
                <w:szCs w:val="20"/>
                <w:color w:val="auto"/>
              </w:rPr>
            </w:pPr>
            <w:r>
              <w:rPr>
                <w:rFonts w:ascii="Arial" w:cs="Arial" w:eastAsia="Arial" w:hAnsi="Arial"/>
                <w:sz w:val="16"/>
                <w:szCs w:val="16"/>
                <w:color w:val="auto"/>
                <w:w w:val="99"/>
              </w:rPr>
              <w:t>None</w:t>
            </w:r>
          </w:p>
        </w:tc>
      </w:tr>
    </w:tbl>
    <w:p>
      <w:pPr>
        <w:spacing w:after="0" w:line="93" w:lineRule="exact"/>
        <w:rPr>
          <w:sz w:val="20"/>
          <w:szCs w:val="20"/>
          <w:color w:val="auto"/>
        </w:rPr>
      </w:pPr>
    </w:p>
    <w:p>
      <w:pPr>
        <w:jc w:val="both"/>
        <w:ind w:left="420" w:right="20" w:hanging="409"/>
        <w:spacing w:after="0" w:line="276" w:lineRule="auto"/>
        <w:tabs>
          <w:tab w:leader="none" w:pos="42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Great Gray Trust Stable Value Fund Class R1 seeks to achieve its objective by investing in the Putnam Stable Value Fund which consists of a variety of high-quality guaranteed investment contracts and similar contracts issued by insurance companies, banks and other financial institutions The fund also invests up to 75% of its assets in security-backed investment contracts, including separate account products of insurance companies.</w:t>
      </w:r>
    </w:p>
    <w:p>
      <w:pPr>
        <w:spacing w:after="0" w:line="11" w:lineRule="exact"/>
        <w:rPr>
          <w:rFonts w:ascii="Arial" w:cs="Arial" w:eastAsia="Arial" w:hAnsi="Arial"/>
          <w:sz w:val="14"/>
          <w:szCs w:val="14"/>
          <w:color w:val="auto"/>
        </w:rPr>
      </w:pPr>
    </w:p>
    <w:p>
      <w:pPr>
        <w:jc w:val="both"/>
        <w:ind w:left="420" w:right="20" w:hanging="409"/>
        <w:spacing w:after="0" w:line="286" w:lineRule="auto"/>
        <w:tabs>
          <w:tab w:leader="none" w:pos="42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John Hancock Disciplined Mid Cap Trust Class B4 Fund seeks to achieve its objective by investing in equity securities of U.S. and non U.S. issuers, including, without limitation, American depositary receipts ("ADRs") of non U.S. issuers, that are denominated in dollars and trade in U.S. markets, including, without limitation, on U.S. exchanges or in the over the counter market.</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Transfers Between Levels</w:t>
      </w:r>
    </w:p>
    <w:p>
      <w:pPr>
        <w:spacing w:after="0" w:line="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6"/>
          <w:szCs w:val="16"/>
          <w:color w:val="auto"/>
        </w:rPr>
        <w:t>The availability of observable market data is monitored to assess the appropriate classification of financial instruments within the fair value hierarchy. Changes in economic conditions or model-based valuation techniques may require the transfer of financial instruments from one fair value level to another. In such instances, the transfer is reported at the beginning of the reporting period.</w:t>
      </w:r>
    </w:p>
    <w:p>
      <w:pPr>
        <w:spacing w:after="0" w:line="179" w:lineRule="exact"/>
        <w:rPr>
          <w:sz w:val="20"/>
          <w:szCs w:val="20"/>
          <w:color w:val="auto"/>
        </w:rPr>
      </w:pPr>
    </w:p>
    <w:p>
      <w:pPr>
        <w:spacing w:after="0"/>
        <w:rPr>
          <w:sz w:val="20"/>
          <w:szCs w:val="20"/>
          <w:color w:val="auto"/>
        </w:rPr>
      </w:pPr>
      <w:r>
        <w:rPr>
          <w:rFonts w:ascii="Arial" w:cs="Arial" w:eastAsia="Arial" w:hAnsi="Arial"/>
          <w:sz w:val="23"/>
          <w:szCs w:val="23"/>
          <w:color w:val="1D2758"/>
        </w:rPr>
        <w:t>NOTE 4 - Parties in Interest and Related Party Transactions</w:t>
      </w:r>
    </w:p>
    <w:p>
      <w:pPr>
        <w:spacing w:after="0" w:line="13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6"/>
          <w:szCs w:val="16"/>
          <w:color w:val="auto"/>
        </w:rPr>
        <w:t>The Plan holds investments in common stock of WillScot Holdings Corporation, the ultimate parent of the Plan Sponsor, and in funds managed by affiliates of Fidelity Management Trust Company ("Fidelity"), the custodial trustee of the Plan. Income on investments in Fidelity funds are at the same rates as non-affiliated holders of these securities and, as such, these transactions qualify as exempt party-in-interest.</w:t>
      </w:r>
    </w:p>
    <w:p>
      <w:pPr>
        <w:spacing w:after="0" w:line="179" w:lineRule="exact"/>
        <w:rPr>
          <w:sz w:val="20"/>
          <w:szCs w:val="20"/>
          <w:color w:val="auto"/>
        </w:rPr>
      </w:pPr>
    </w:p>
    <w:p>
      <w:pPr>
        <w:spacing w:after="0"/>
        <w:rPr>
          <w:sz w:val="20"/>
          <w:szCs w:val="20"/>
          <w:color w:val="auto"/>
        </w:rPr>
      </w:pPr>
      <w:r>
        <w:rPr>
          <w:rFonts w:ascii="Arial" w:cs="Arial" w:eastAsia="Arial" w:hAnsi="Arial"/>
          <w:sz w:val="23"/>
          <w:szCs w:val="23"/>
          <w:color w:val="1D2758"/>
        </w:rPr>
        <w:t>NOTE 5 - Income Tax Status</w:t>
      </w:r>
    </w:p>
    <w:p>
      <w:pPr>
        <w:spacing w:after="0" w:line="13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6"/>
          <w:szCs w:val="16"/>
          <w:color w:val="auto"/>
        </w:rPr>
        <w:t>The Plan was designed using a pre-approved plan document which received an opinion letter from the IRS dated June 30, 2020, that the Plan and related trust were designed in accordance with applicable sections of the Internal Revenue Code ("IRC"). Although the Plan has been amended since receiving the determination letter, the Plan Administrator believes that the Plan is designed, and is currently being operated, in compliance with the applicable requirements of the IRC, and the Plan is qualified, and the related trust is tax-exempt. Therefore, no provision for income taxes has been included in the Plan's financial statements.</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70485</wp:posOffset>
            </wp:positionV>
            <wp:extent cx="71831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134" w:right="318" w:bottom="1440" w:gutter="0" w:footer="0" w:header="0"/>
        </w:sectPr>
      </w:pPr>
    </w:p>
    <w:bookmarkStart w:id="9" w:name="page10"/>
    <w:bookmarkEnd w:id="9"/>
    <w:p>
      <w:pPr>
        <w:jc w:val="both"/>
        <w:ind w:firstLine="648"/>
        <w:spacing w:after="0" w:line="267" w:lineRule="auto"/>
        <w:rPr>
          <w:sz w:val="20"/>
          <w:szCs w:val="20"/>
          <w:color w:val="auto"/>
        </w:rPr>
      </w:pPr>
      <w:r>
        <w:rPr>
          <w:rFonts w:ascii="Arial" w:cs="Arial" w:eastAsia="Arial" w:hAnsi="Arial"/>
          <w:sz w:val="16"/>
          <w:szCs w:val="16"/>
          <w:color w:val="auto"/>
        </w:rPr>
        <w:t>Accounting principles generally accepted in the U.S. require Plan management to evaluate tax positions taken by the Plan and recognize a tax liability if the Plan has taken an uncertain tax position that more likely than not would not be sustained upon examination by the IRS and state jurisdictions. The Plan is subject to routine audits by taxing jurisdictions; however, there are currently no audits for any tax periods in progress. The Plan administrator believes it is no longer subject to income tax examinations for years prior to 2022.</w:t>
      </w:r>
    </w:p>
    <w:p>
      <w:pPr>
        <w:spacing w:after="0" w:line="200" w:lineRule="exact"/>
        <w:rPr>
          <w:sz w:val="20"/>
          <w:szCs w:val="20"/>
          <w:color w:val="auto"/>
        </w:rPr>
      </w:pPr>
    </w:p>
    <w:p>
      <w:pPr>
        <w:spacing w:after="0"/>
        <w:rPr>
          <w:sz w:val="20"/>
          <w:szCs w:val="20"/>
          <w:color w:val="auto"/>
        </w:rPr>
      </w:pPr>
      <w:r>
        <w:rPr>
          <w:rFonts w:ascii="Arial" w:cs="Arial" w:eastAsia="Arial" w:hAnsi="Arial"/>
          <w:sz w:val="23"/>
          <w:szCs w:val="23"/>
          <w:color w:val="1D2758"/>
        </w:rPr>
        <w:t>NOTE 6 - SECURE 2.0</w:t>
      </w:r>
    </w:p>
    <w:p>
      <w:pPr>
        <w:spacing w:after="0" w:line="12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6"/>
          <w:szCs w:val="16"/>
          <w:color w:val="auto"/>
        </w:rPr>
        <w:t>In December 2022, the Setting Every Community Up for Retirement Enhancement Act (“SECURE 2.0”) introduced a series of mandatory and optional changes affecting qualified retirement plans. Several of these provisions became or were already operationally effective for the Plan during the 2025 plan year, including an increase to the Plan's maximum catch-up contribution limit for participants attaining ages 60 to 63. Formal Plan amendments reflecting these changes are not required until December 31, 2026. The Plan Sponsor intends to adopt all required amendments within the prescribed timeframe.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70485</wp:posOffset>
            </wp:positionV>
            <wp:extent cx="71831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0"/>
          </w:cols>
          <w:pgMar w:left="340" w:top="1088" w:right="318" w:bottom="1440" w:gutter="0" w:footer="0" w:header="0"/>
        </w:sectPr>
      </w:pPr>
    </w:p>
    <w:bookmarkStart w:id="10" w:name="page11"/>
    <w:bookmarkEnd w:id="10"/>
    <w:p>
      <w:pPr>
        <w:jc w:val="center"/>
        <w:ind w:right="-6"/>
        <w:spacing w:after="0"/>
        <w:rPr>
          <w:sz w:val="20"/>
          <w:szCs w:val="20"/>
          <w:color w:val="auto"/>
        </w:rPr>
      </w:pPr>
      <w:r>
        <w:rPr>
          <w:rFonts w:ascii="Arial" w:cs="Arial" w:eastAsia="Arial" w:hAnsi="Arial"/>
          <w:sz w:val="23"/>
          <w:szCs w:val="23"/>
          <w:color w:val="1D2758"/>
        </w:rPr>
        <w:t>WillScot 401(k) Plan</w:t>
      </w:r>
    </w:p>
    <w:p>
      <w:pPr>
        <w:jc w:val="center"/>
        <w:ind w:right="-6"/>
        <w:spacing w:after="0" w:line="220" w:lineRule="auto"/>
        <w:rPr>
          <w:sz w:val="20"/>
          <w:szCs w:val="20"/>
          <w:color w:val="auto"/>
        </w:rPr>
      </w:pPr>
      <w:r>
        <w:rPr>
          <w:rFonts w:ascii="Arial" w:cs="Arial" w:eastAsia="Arial" w:hAnsi="Arial"/>
          <w:sz w:val="23"/>
          <w:szCs w:val="23"/>
          <w:color w:val="1D2758"/>
        </w:rPr>
        <w:t>Schedule H, Line 4i- Schedule of Assets (Held at End of Year)</w:t>
      </w:r>
    </w:p>
    <w:p>
      <w:pPr>
        <w:spacing w:after="0" w:line="1" w:lineRule="exact"/>
        <w:rPr>
          <w:sz w:val="20"/>
          <w:szCs w:val="20"/>
          <w:color w:val="auto"/>
        </w:rPr>
      </w:pPr>
    </w:p>
    <w:p>
      <w:pPr>
        <w:jc w:val="center"/>
        <w:ind w:right="-6"/>
        <w:spacing w:after="0"/>
        <w:rPr>
          <w:sz w:val="20"/>
          <w:szCs w:val="20"/>
          <w:color w:val="auto"/>
        </w:rPr>
      </w:pPr>
      <w:r>
        <w:rPr>
          <w:rFonts w:ascii="Arial" w:cs="Arial" w:eastAsia="Arial" w:hAnsi="Arial"/>
          <w:sz w:val="23"/>
          <w:szCs w:val="23"/>
          <w:color w:val="1D2758"/>
        </w:rPr>
        <w:t>As of December 31, 2025</w:t>
      </w:r>
    </w:p>
    <w:p>
      <w:pPr>
        <w:spacing w:after="0" w:line="22" w:lineRule="exact"/>
        <w:rPr>
          <w:sz w:val="20"/>
          <w:szCs w:val="20"/>
          <w:color w:val="auto"/>
        </w:rPr>
      </w:pPr>
    </w:p>
    <w:p>
      <w:pPr>
        <w:ind w:left="7"/>
        <w:spacing w:after="0"/>
        <w:rPr>
          <w:sz w:val="20"/>
          <w:szCs w:val="20"/>
          <w:color w:val="auto"/>
        </w:rPr>
      </w:pPr>
      <w:r>
        <w:rPr>
          <w:rFonts w:ascii="Arial" w:cs="Arial" w:eastAsia="Arial" w:hAnsi="Arial"/>
          <w:sz w:val="16"/>
          <w:szCs w:val="16"/>
          <w:b w:val="1"/>
          <w:bCs w:val="1"/>
          <w:color w:val="auto"/>
        </w:rPr>
        <w:t>EIN: 52-0665775, Plan Number: 002</w:t>
      </w:r>
    </w:p>
    <w:p>
      <w:pPr>
        <w:spacing w:after="0" w:line="65" w:lineRule="exact"/>
        <w:rPr>
          <w:sz w:val="20"/>
          <w:szCs w:val="20"/>
          <w:color w:val="auto"/>
        </w:rPr>
      </w:pPr>
    </w:p>
    <w:tbl>
      <w:tblPr>
        <w:tblLayout w:type="fixed"/>
        <w:tblInd w:w="7" w:type="dxa"/>
        <w:tblCellMar>
          <w:top w:w="0" w:type="dxa"/>
          <w:left w:w="0" w:type="dxa"/>
          <w:bottom w:w="0" w:type="dxa"/>
          <w:right w:w="0" w:type="dxa"/>
        </w:tblCellMar>
      </w:tblPr>
      <w:tr>
        <w:trPr>
          <w:trHeight w:val="244"/>
        </w:trPr>
        <w:tc>
          <w:tcPr>
            <w:tcW w:w="400" w:type="dxa"/>
            <w:vAlign w:val="bottom"/>
            <w:shd w:val="clear" w:color="auto" w:fill="1D2758"/>
          </w:tcPr>
          <w:p>
            <w:pPr>
              <w:jc w:val="center"/>
              <w:spacing w:after="0"/>
              <w:rPr>
                <w:sz w:val="20"/>
                <w:szCs w:val="20"/>
                <w:color w:val="auto"/>
              </w:rPr>
            </w:pPr>
            <w:r>
              <w:rPr>
                <w:rFonts w:ascii="Arial" w:cs="Arial" w:eastAsia="Arial" w:hAnsi="Arial"/>
                <w:sz w:val="16"/>
                <w:szCs w:val="16"/>
                <w:b w:val="1"/>
                <w:bCs w:val="1"/>
                <w:color w:val="FFFFFF"/>
              </w:rPr>
              <w:t>(a)</w:t>
            </w:r>
          </w:p>
        </w:tc>
        <w:tc>
          <w:tcPr>
            <w:tcW w:w="2900" w:type="dxa"/>
            <w:vAlign w:val="bottom"/>
            <w:shd w:val="clear" w:color="auto" w:fill="1D2758"/>
          </w:tcPr>
          <w:p>
            <w:pPr>
              <w:ind w:left="1340"/>
              <w:spacing w:after="0"/>
              <w:rPr>
                <w:sz w:val="20"/>
                <w:szCs w:val="20"/>
                <w:color w:val="auto"/>
              </w:rPr>
            </w:pPr>
            <w:r>
              <w:rPr>
                <w:rFonts w:ascii="Arial" w:cs="Arial" w:eastAsia="Arial" w:hAnsi="Arial"/>
                <w:sz w:val="16"/>
                <w:szCs w:val="16"/>
                <w:b w:val="1"/>
                <w:bCs w:val="1"/>
                <w:color w:val="FFFFFF"/>
              </w:rPr>
              <w:t>(b)</w:t>
            </w:r>
          </w:p>
        </w:tc>
        <w:tc>
          <w:tcPr>
            <w:tcW w:w="6300" w:type="dxa"/>
            <w:vAlign w:val="bottom"/>
            <w:shd w:val="clear" w:color="auto" w:fill="1D2758"/>
          </w:tcPr>
          <w:p>
            <w:pPr>
              <w:ind w:left="3060"/>
              <w:spacing w:after="0"/>
              <w:rPr>
                <w:sz w:val="20"/>
                <w:szCs w:val="20"/>
                <w:color w:val="auto"/>
              </w:rPr>
            </w:pPr>
            <w:r>
              <w:rPr>
                <w:rFonts w:ascii="Arial" w:cs="Arial" w:eastAsia="Arial" w:hAnsi="Arial"/>
                <w:sz w:val="16"/>
                <w:szCs w:val="16"/>
                <w:b w:val="1"/>
                <w:bCs w:val="1"/>
                <w:color w:val="FFFFFF"/>
              </w:rPr>
              <w:t>(c)</w:t>
            </w:r>
          </w:p>
        </w:tc>
        <w:tc>
          <w:tcPr>
            <w:tcW w:w="220" w:type="dxa"/>
            <w:vAlign w:val="bottom"/>
            <w:shd w:val="clear" w:color="auto" w:fill="1D2758"/>
          </w:tcPr>
          <w:p>
            <w:pPr>
              <w:spacing w:after="0"/>
              <w:rPr>
                <w:sz w:val="21"/>
                <w:szCs w:val="21"/>
                <w:color w:val="auto"/>
              </w:rPr>
            </w:pPr>
          </w:p>
        </w:tc>
        <w:tc>
          <w:tcPr>
            <w:tcW w:w="1440" w:type="dxa"/>
            <w:vAlign w:val="bottom"/>
            <w:shd w:val="clear" w:color="auto" w:fill="1D2758"/>
          </w:tcPr>
          <w:p>
            <w:pPr>
              <w:jc w:val="right"/>
              <w:ind w:right="639"/>
              <w:spacing w:after="0"/>
              <w:rPr>
                <w:sz w:val="20"/>
                <w:szCs w:val="20"/>
                <w:color w:val="auto"/>
              </w:rPr>
            </w:pPr>
            <w:r>
              <w:rPr>
                <w:rFonts w:ascii="Arial" w:cs="Arial" w:eastAsia="Arial" w:hAnsi="Arial"/>
                <w:sz w:val="16"/>
                <w:szCs w:val="16"/>
                <w:b w:val="1"/>
                <w:bCs w:val="1"/>
                <w:color w:val="FFFFFF"/>
              </w:rPr>
              <w:t>(e)</w:t>
            </w:r>
          </w:p>
        </w:tc>
      </w:tr>
      <w:tr>
        <w:trPr>
          <w:trHeight w:val="243"/>
        </w:trPr>
        <w:tc>
          <w:tcPr>
            <w:tcW w:w="400" w:type="dxa"/>
            <w:vAlign w:val="bottom"/>
            <w:shd w:val="clear" w:color="auto" w:fill="1D2758"/>
          </w:tcPr>
          <w:p>
            <w:pPr>
              <w:spacing w:after="0"/>
              <w:rPr>
                <w:sz w:val="21"/>
                <w:szCs w:val="21"/>
                <w:color w:val="auto"/>
              </w:rPr>
            </w:pPr>
          </w:p>
        </w:tc>
        <w:tc>
          <w:tcPr>
            <w:tcW w:w="2900" w:type="dxa"/>
            <w:vAlign w:val="bottom"/>
            <w:shd w:val="clear" w:color="auto" w:fill="1D2758"/>
          </w:tcPr>
          <w:p>
            <w:pPr>
              <w:ind w:left="820"/>
              <w:spacing w:after="0"/>
              <w:rPr>
                <w:sz w:val="20"/>
                <w:szCs w:val="20"/>
                <w:color w:val="auto"/>
              </w:rPr>
            </w:pPr>
            <w:r>
              <w:rPr>
                <w:rFonts w:ascii="Arial" w:cs="Arial" w:eastAsia="Arial" w:hAnsi="Arial"/>
                <w:sz w:val="16"/>
                <w:szCs w:val="16"/>
                <w:b w:val="1"/>
                <w:bCs w:val="1"/>
                <w:color w:val="FFFFFF"/>
              </w:rPr>
              <w:t>Identity of issue</w:t>
            </w:r>
          </w:p>
        </w:tc>
        <w:tc>
          <w:tcPr>
            <w:tcW w:w="6300" w:type="dxa"/>
            <w:vAlign w:val="bottom"/>
            <w:shd w:val="clear" w:color="auto" w:fill="1D2758"/>
          </w:tcPr>
          <w:p>
            <w:pPr>
              <w:ind w:left="2140"/>
              <w:spacing w:after="0"/>
              <w:rPr>
                <w:sz w:val="20"/>
                <w:szCs w:val="20"/>
                <w:color w:val="auto"/>
              </w:rPr>
            </w:pPr>
            <w:r>
              <w:rPr>
                <w:rFonts w:ascii="Arial" w:cs="Arial" w:eastAsia="Arial" w:hAnsi="Arial"/>
                <w:sz w:val="16"/>
                <w:szCs w:val="16"/>
                <w:b w:val="1"/>
                <w:bCs w:val="1"/>
                <w:color w:val="FFFFFF"/>
              </w:rPr>
              <w:t>Description of investments</w:t>
            </w:r>
          </w:p>
        </w:tc>
        <w:tc>
          <w:tcPr>
            <w:tcW w:w="220" w:type="dxa"/>
            <w:vAlign w:val="bottom"/>
            <w:shd w:val="clear" w:color="auto" w:fill="1D2758"/>
          </w:tcPr>
          <w:p>
            <w:pPr>
              <w:spacing w:after="0"/>
              <w:rPr>
                <w:sz w:val="21"/>
                <w:szCs w:val="21"/>
                <w:color w:val="auto"/>
              </w:rPr>
            </w:pPr>
          </w:p>
        </w:tc>
        <w:tc>
          <w:tcPr>
            <w:tcW w:w="1440" w:type="dxa"/>
            <w:vAlign w:val="bottom"/>
            <w:shd w:val="clear" w:color="auto" w:fill="1D2758"/>
          </w:tcPr>
          <w:p>
            <w:pPr>
              <w:jc w:val="right"/>
              <w:ind w:right="219"/>
              <w:spacing w:after="0"/>
              <w:rPr>
                <w:sz w:val="20"/>
                <w:szCs w:val="20"/>
                <w:color w:val="auto"/>
              </w:rPr>
            </w:pPr>
            <w:r>
              <w:rPr>
                <w:rFonts w:ascii="Arial" w:cs="Arial" w:eastAsia="Arial" w:hAnsi="Arial"/>
                <w:sz w:val="16"/>
                <w:szCs w:val="16"/>
                <w:b w:val="1"/>
                <w:bCs w:val="1"/>
                <w:color w:val="FFFFFF"/>
              </w:rPr>
              <w:t>Current value</w:t>
            </w:r>
          </w:p>
        </w:tc>
      </w:tr>
      <w:tr>
        <w:trPr>
          <w:trHeight w:val="237"/>
        </w:trPr>
        <w:tc>
          <w:tcPr>
            <w:tcW w:w="400" w:type="dxa"/>
            <w:vAlign w:val="bottom"/>
            <w:tcBorders>
              <w:bottom w:val="single" w:sz="8" w:color="DBDBDB"/>
            </w:tcBorders>
            <w:shd w:val="clear" w:color="auto" w:fill="DBDBDB"/>
          </w:tcPr>
          <w:p>
            <w:pPr>
              <w:spacing w:after="0"/>
              <w:rPr>
                <w:sz w:val="20"/>
                <w:szCs w:val="20"/>
                <w:color w:val="auto"/>
              </w:rPr>
            </w:pPr>
          </w:p>
        </w:tc>
        <w:tc>
          <w:tcPr>
            <w:tcW w:w="29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Mutual Funds and Money Market Funds</w:t>
            </w:r>
          </w:p>
        </w:tc>
        <w:tc>
          <w:tcPr>
            <w:tcW w:w="6300" w:type="dxa"/>
            <w:vAlign w:val="bottom"/>
            <w:tcBorders>
              <w:bottom w:val="single" w:sz="8" w:color="DBDBDB"/>
            </w:tcBorders>
            <w:shd w:val="clear" w:color="auto" w:fill="DBDBDB"/>
          </w:tcPr>
          <w:p>
            <w:pPr>
              <w:spacing w:after="0"/>
              <w:rPr>
                <w:sz w:val="20"/>
                <w:szCs w:val="20"/>
                <w:color w:val="auto"/>
              </w:rPr>
            </w:pPr>
          </w:p>
        </w:tc>
        <w:tc>
          <w:tcPr>
            <w:tcW w:w="220" w:type="dxa"/>
            <w:vAlign w:val="bottom"/>
            <w:tcBorders>
              <w:bottom w:val="single" w:sz="8" w:color="DBDBDB"/>
            </w:tcBorders>
            <w:shd w:val="clear" w:color="auto" w:fill="DBDBDB"/>
          </w:tcPr>
          <w:p>
            <w:pPr>
              <w:spacing w:after="0"/>
              <w:rPr>
                <w:sz w:val="20"/>
                <w:szCs w:val="20"/>
                <w:color w:val="auto"/>
              </w:rPr>
            </w:pPr>
          </w:p>
        </w:tc>
        <w:tc>
          <w:tcPr>
            <w:tcW w:w="1440" w:type="dxa"/>
            <w:vAlign w:val="bottom"/>
            <w:tcBorders>
              <w:bottom w:val="single" w:sz="8" w:color="DBDBDB"/>
            </w:tcBorders>
            <w:shd w:val="clear" w:color="auto" w:fill="DBDBDB"/>
          </w:tcPr>
          <w:p>
            <w:pPr>
              <w:spacing w:after="0"/>
              <w:rPr>
                <w:sz w:val="20"/>
                <w:szCs w:val="20"/>
                <w:color w:val="auto"/>
              </w:rPr>
            </w:pPr>
          </w:p>
        </w:tc>
      </w:tr>
      <w:tr>
        <w:trPr>
          <w:trHeight w:val="235"/>
        </w:trPr>
        <w:tc>
          <w:tcPr>
            <w:tcW w:w="400" w:type="dxa"/>
            <w:vAlign w:val="bottom"/>
          </w:tcPr>
          <w:p>
            <w:pPr>
              <w:spacing w:after="0"/>
              <w:rPr>
                <w:sz w:val="20"/>
                <w:szCs w:val="20"/>
                <w:color w:val="auto"/>
              </w:rPr>
            </w:pPr>
          </w:p>
        </w:tc>
        <w:tc>
          <w:tcPr>
            <w:tcW w:w="2900" w:type="dxa"/>
            <w:vAlign w:val="bottom"/>
          </w:tcPr>
          <w:p>
            <w:pPr>
              <w:ind w:left="120"/>
              <w:spacing w:after="0"/>
              <w:rPr>
                <w:sz w:val="20"/>
                <w:szCs w:val="20"/>
                <w:color w:val="auto"/>
              </w:rPr>
            </w:pPr>
            <w:r>
              <w:rPr>
                <w:rFonts w:ascii="Arial" w:cs="Arial" w:eastAsia="Arial" w:hAnsi="Arial"/>
                <w:sz w:val="16"/>
                <w:szCs w:val="16"/>
                <w:color w:val="auto"/>
              </w:rPr>
              <w:t>American Funds</w:t>
            </w:r>
          </w:p>
        </w:tc>
        <w:tc>
          <w:tcPr>
            <w:tcW w:w="6300" w:type="dxa"/>
            <w:vAlign w:val="bottom"/>
          </w:tcPr>
          <w:p>
            <w:pPr>
              <w:spacing w:after="0"/>
              <w:rPr>
                <w:sz w:val="20"/>
                <w:szCs w:val="20"/>
                <w:color w:val="auto"/>
              </w:rPr>
            </w:pPr>
            <w:r>
              <w:rPr>
                <w:rFonts w:ascii="Arial" w:cs="Arial" w:eastAsia="Arial" w:hAnsi="Arial"/>
                <w:sz w:val="16"/>
                <w:szCs w:val="16"/>
                <w:color w:val="auto"/>
              </w:rPr>
              <w:t>American Funds New Perspective R6 Fund</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59"/>
              <w:spacing w:after="0"/>
              <w:rPr>
                <w:sz w:val="20"/>
                <w:szCs w:val="20"/>
                <w:color w:val="auto"/>
              </w:rPr>
            </w:pPr>
            <w:r>
              <w:rPr>
                <w:rFonts w:ascii="Arial" w:cs="Arial" w:eastAsia="Arial" w:hAnsi="Arial"/>
                <w:sz w:val="16"/>
                <w:szCs w:val="16"/>
                <w:color w:val="auto"/>
              </w:rPr>
              <w:t>2,487,443</w:t>
            </w:r>
          </w:p>
        </w:tc>
      </w:tr>
      <w:tr>
        <w:trPr>
          <w:trHeight w:val="251"/>
        </w:trPr>
        <w:tc>
          <w:tcPr>
            <w:tcW w:w="400" w:type="dxa"/>
            <w:vAlign w:val="bottom"/>
            <w:shd w:val="clear" w:color="auto" w:fill="DBDBDB"/>
          </w:tcPr>
          <w:p>
            <w:pPr>
              <w:spacing w:after="0"/>
              <w:rPr>
                <w:sz w:val="21"/>
                <w:szCs w:val="21"/>
                <w:color w:val="auto"/>
              </w:rPr>
            </w:pPr>
          </w:p>
        </w:tc>
        <w:tc>
          <w:tcPr>
            <w:tcW w:w="2900" w:type="dxa"/>
            <w:vAlign w:val="bottom"/>
            <w:shd w:val="clear" w:color="auto" w:fill="DBDBDB"/>
          </w:tcPr>
          <w:p>
            <w:pPr>
              <w:ind w:left="120"/>
              <w:spacing w:after="0"/>
              <w:rPr>
                <w:sz w:val="20"/>
                <w:szCs w:val="20"/>
                <w:color w:val="auto"/>
              </w:rPr>
            </w:pPr>
            <w:r>
              <w:rPr>
                <w:rFonts w:ascii="Arial" w:cs="Arial" w:eastAsia="Arial" w:hAnsi="Arial"/>
                <w:sz w:val="16"/>
                <w:szCs w:val="16"/>
                <w:color w:val="auto"/>
              </w:rPr>
              <w:t>DFA</w:t>
            </w:r>
          </w:p>
        </w:tc>
        <w:tc>
          <w:tcPr>
            <w:tcW w:w="6300" w:type="dxa"/>
            <w:vAlign w:val="bottom"/>
            <w:shd w:val="clear" w:color="auto" w:fill="DBDBDB"/>
          </w:tcPr>
          <w:p>
            <w:pPr>
              <w:spacing w:after="0"/>
              <w:rPr>
                <w:sz w:val="20"/>
                <w:szCs w:val="20"/>
                <w:color w:val="auto"/>
              </w:rPr>
            </w:pPr>
            <w:r>
              <w:rPr>
                <w:rFonts w:ascii="Arial" w:cs="Arial" w:eastAsia="Arial" w:hAnsi="Arial"/>
                <w:sz w:val="16"/>
                <w:szCs w:val="16"/>
                <w:color w:val="auto"/>
              </w:rPr>
              <w:t>DFA International Core Equity Portfolio Institutional Class</w:t>
            </w:r>
          </w:p>
        </w:tc>
        <w:tc>
          <w:tcPr>
            <w:tcW w:w="220" w:type="dxa"/>
            <w:vAlign w:val="bottom"/>
            <w:shd w:val="clear" w:color="auto" w:fill="DBDBDB"/>
          </w:tcPr>
          <w:p>
            <w:pPr>
              <w:spacing w:after="0"/>
              <w:rPr>
                <w:sz w:val="21"/>
                <w:szCs w:val="21"/>
                <w:color w:val="auto"/>
              </w:rPr>
            </w:pPr>
          </w:p>
        </w:tc>
        <w:tc>
          <w:tcPr>
            <w:tcW w:w="1440" w:type="dxa"/>
            <w:vAlign w:val="bottom"/>
            <w:shd w:val="clear" w:color="auto" w:fill="DBDBDB"/>
          </w:tcPr>
          <w:p>
            <w:pPr>
              <w:jc w:val="right"/>
              <w:ind w:right="59"/>
              <w:spacing w:after="0"/>
              <w:rPr>
                <w:sz w:val="20"/>
                <w:szCs w:val="20"/>
                <w:color w:val="auto"/>
              </w:rPr>
            </w:pPr>
            <w:r>
              <w:rPr>
                <w:rFonts w:ascii="Arial" w:cs="Arial" w:eastAsia="Arial" w:hAnsi="Arial"/>
                <w:sz w:val="16"/>
                <w:szCs w:val="16"/>
                <w:color w:val="auto"/>
              </w:rPr>
              <w:t>5,680,996</w:t>
            </w:r>
          </w:p>
        </w:tc>
      </w:tr>
      <w:tr>
        <w:trPr>
          <w:trHeight w:val="228"/>
        </w:trPr>
        <w:tc>
          <w:tcPr>
            <w:tcW w:w="400" w:type="dxa"/>
            <w:vAlign w:val="bottom"/>
          </w:tcPr>
          <w:p>
            <w:pPr>
              <w:spacing w:after="0"/>
              <w:rPr>
                <w:sz w:val="19"/>
                <w:szCs w:val="19"/>
                <w:color w:val="auto"/>
              </w:rPr>
            </w:pPr>
          </w:p>
        </w:tc>
        <w:tc>
          <w:tcPr>
            <w:tcW w:w="2900" w:type="dxa"/>
            <w:vAlign w:val="bottom"/>
          </w:tcPr>
          <w:p>
            <w:pPr>
              <w:ind w:left="120"/>
              <w:spacing w:after="0"/>
              <w:rPr>
                <w:sz w:val="20"/>
                <w:szCs w:val="20"/>
                <w:color w:val="auto"/>
              </w:rPr>
            </w:pPr>
            <w:r>
              <w:rPr>
                <w:rFonts w:ascii="Arial" w:cs="Arial" w:eastAsia="Arial" w:hAnsi="Arial"/>
                <w:sz w:val="16"/>
                <w:szCs w:val="16"/>
                <w:color w:val="auto"/>
              </w:rPr>
              <w:t>DFA</w:t>
            </w:r>
          </w:p>
        </w:tc>
        <w:tc>
          <w:tcPr>
            <w:tcW w:w="6300" w:type="dxa"/>
            <w:vAlign w:val="bottom"/>
          </w:tcPr>
          <w:p>
            <w:pPr>
              <w:spacing w:after="0"/>
              <w:rPr>
                <w:sz w:val="20"/>
                <w:szCs w:val="20"/>
                <w:color w:val="auto"/>
              </w:rPr>
            </w:pPr>
            <w:r>
              <w:rPr>
                <w:rFonts w:ascii="Arial" w:cs="Arial" w:eastAsia="Arial" w:hAnsi="Arial"/>
                <w:sz w:val="16"/>
                <w:szCs w:val="16"/>
                <w:color w:val="auto"/>
              </w:rPr>
              <w:t>DFA U.S. Targeted Value Portfolio Institutional Class</w:t>
            </w:r>
          </w:p>
        </w:tc>
        <w:tc>
          <w:tcPr>
            <w:tcW w:w="220" w:type="dxa"/>
            <w:vAlign w:val="bottom"/>
          </w:tcPr>
          <w:p>
            <w:pPr>
              <w:spacing w:after="0"/>
              <w:rPr>
                <w:sz w:val="19"/>
                <w:szCs w:val="19"/>
                <w:color w:val="auto"/>
              </w:rPr>
            </w:pPr>
          </w:p>
        </w:tc>
        <w:tc>
          <w:tcPr>
            <w:tcW w:w="1440" w:type="dxa"/>
            <w:vAlign w:val="bottom"/>
          </w:tcPr>
          <w:p>
            <w:pPr>
              <w:jc w:val="right"/>
              <w:ind w:right="59"/>
              <w:spacing w:after="0"/>
              <w:rPr>
                <w:sz w:val="20"/>
                <w:szCs w:val="20"/>
                <w:color w:val="auto"/>
              </w:rPr>
            </w:pPr>
            <w:r>
              <w:rPr>
                <w:rFonts w:ascii="Arial" w:cs="Arial" w:eastAsia="Arial" w:hAnsi="Arial"/>
                <w:sz w:val="16"/>
                <w:szCs w:val="16"/>
                <w:color w:val="auto"/>
              </w:rPr>
              <w:t>1,288,308</w:t>
            </w:r>
          </w:p>
        </w:tc>
      </w:tr>
      <w:tr>
        <w:trPr>
          <w:trHeight w:val="29"/>
        </w:trPr>
        <w:tc>
          <w:tcPr>
            <w:tcW w:w="400" w:type="dxa"/>
            <w:vAlign w:val="bottom"/>
          </w:tcPr>
          <w:p>
            <w:pPr>
              <w:spacing w:after="0"/>
              <w:rPr>
                <w:sz w:val="2"/>
                <w:szCs w:val="2"/>
                <w:color w:val="auto"/>
              </w:rPr>
            </w:pPr>
          </w:p>
        </w:tc>
        <w:tc>
          <w:tcPr>
            <w:tcW w:w="2900" w:type="dxa"/>
            <w:vAlign w:val="bottom"/>
          </w:tcPr>
          <w:p>
            <w:pPr>
              <w:spacing w:after="0"/>
              <w:rPr>
                <w:sz w:val="2"/>
                <w:szCs w:val="2"/>
                <w:color w:val="auto"/>
              </w:rPr>
            </w:pPr>
          </w:p>
        </w:tc>
        <w:tc>
          <w:tcPr>
            <w:tcW w:w="6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43"/>
        </w:trPr>
        <w:tc>
          <w:tcPr>
            <w:tcW w:w="400" w:type="dxa"/>
            <w:vAlign w:val="bottom"/>
            <w:shd w:val="clear" w:color="auto" w:fill="DBDBDB"/>
          </w:tcPr>
          <w:p>
            <w:pPr>
              <w:spacing w:after="0"/>
              <w:rPr>
                <w:sz w:val="21"/>
                <w:szCs w:val="21"/>
                <w:color w:val="auto"/>
              </w:rPr>
            </w:pPr>
          </w:p>
        </w:tc>
        <w:tc>
          <w:tcPr>
            <w:tcW w:w="2900" w:type="dxa"/>
            <w:vAlign w:val="bottom"/>
            <w:shd w:val="clear" w:color="auto" w:fill="DBDBDB"/>
          </w:tcPr>
          <w:p>
            <w:pPr>
              <w:ind w:left="120"/>
              <w:spacing w:after="0"/>
              <w:rPr>
                <w:sz w:val="20"/>
                <w:szCs w:val="20"/>
                <w:color w:val="auto"/>
              </w:rPr>
            </w:pPr>
            <w:r>
              <w:rPr>
                <w:rFonts w:ascii="Arial" w:cs="Arial" w:eastAsia="Arial" w:hAnsi="Arial"/>
                <w:sz w:val="16"/>
                <w:szCs w:val="16"/>
                <w:color w:val="auto"/>
              </w:rPr>
              <w:t>DFA</w:t>
            </w:r>
          </w:p>
        </w:tc>
        <w:tc>
          <w:tcPr>
            <w:tcW w:w="6300" w:type="dxa"/>
            <w:vAlign w:val="bottom"/>
            <w:shd w:val="clear" w:color="auto" w:fill="DBDBDB"/>
          </w:tcPr>
          <w:p>
            <w:pPr>
              <w:spacing w:after="0"/>
              <w:rPr>
                <w:sz w:val="20"/>
                <w:szCs w:val="20"/>
                <w:color w:val="auto"/>
              </w:rPr>
            </w:pPr>
            <w:r>
              <w:rPr>
                <w:rFonts w:ascii="Arial" w:cs="Arial" w:eastAsia="Arial" w:hAnsi="Arial"/>
                <w:sz w:val="16"/>
                <w:szCs w:val="16"/>
                <w:color w:val="auto"/>
              </w:rPr>
              <w:t>DFA Emerging Markets Core Equity Fund</w:t>
            </w:r>
          </w:p>
        </w:tc>
        <w:tc>
          <w:tcPr>
            <w:tcW w:w="220" w:type="dxa"/>
            <w:vAlign w:val="bottom"/>
            <w:shd w:val="clear" w:color="auto" w:fill="DBDBDB"/>
          </w:tcPr>
          <w:p>
            <w:pPr>
              <w:spacing w:after="0"/>
              <w:rPr>
                <w:sz w:val="21"/>
                <w:szCs w:val="21"/>
                <w:color w:val="auto"/>
              </w:rPr>
            </w:pPr>
          </w:p>
        </w:tc>
        <w:tc>
          <w:tcPr>
            <w:tcW w:w="1440" w:type="dxa"/>
            <w:vAlign w:val="bottom"/>
            <w:shd w:val="clear" w:color="auto" w:fill="DBDBDB"/>
          </w:tcPr>
          <w:p>
            <w:pPr>
              <w:jc w:val="right"/>
              <w:ind w:right="59"/>
              <w:spacing w:after="0"/>
              <w:rPr>
                <w:sz w:val="20"/>
                <w:szCs w:val="20"/>
                <w:color w:val="auto"/>
              </w:rPr>
            </w:pPr>
            <w:r>
              <w:rPr>
                <w:rFonts w:ascii="Arial" w:cs="Arial" w:eastAsia="Arial" w:hAnsi="Arial"/>
                <w:sz w:val="16"/>
                <w:szCs w:val="16"/>
                <w:color w:val="auto"/>
              </w:rPr>
              <w:t>2,692,141</w:t>
            </w:r>
          </w:p>
        </w:tc>
      </w:tr>
      <w:tr>
        <w:trPr>
          <w:trHeight w:val="227"/>
        </w:trPr>
        <w:tc>
          <w:tcPr>
            <w:tcW w:w="400" w:type="dxa"/>
            <w:vAlign w:val="bottom"/>
          </w:tcPr>
          <w:p>
            <w:pPr>
              <w:spacing w:after="0"/>
              <w:rPr>
                <w:sz w:val="19"/>
                <w:szCs w:val="19"/>
                <w:color w:val="auto"/>
              </w:rPr>
            </w:pPr>
          </w:p>
        </w:tc>
        <w:tc>
          <w:tcPr>
            <w:tcW w:w="2900" w:type="dxa"/>
            <w:vAlign w:val="bottom"/>
          </w:tcPr>
          <w:p>
            <w:pPr>
              <w:ind w:left="120"/>
              <w:spacing w:after="0"/>
              <w:rPr>
                <w:sz w:val="20"/>
                <w:szCs w:val="20"/>
                <w:color w:val="auto"/>
              </w:rPr>
            </w:pPr>
            <w:r>
              <w:rPr>
                <w:rFonts w:ascii="Arial" w:cs="Arial" w:eastAsia="Arial" w:hAnsi="Arial"/>
                <w:sz w:val="16"/>
                <w:szCs w:val="16"/>
                <w:color w:val="auto"/>
              </w:rPr>
              <w:t>Dodge &amp; Cox</w:t>
            </w:r>
          </w:p>
        </w:tc>
        <w:tc>
          <w:tcPr>
            <w:tcW w:w="6300" w:type="dxa"/>
            <w:vAlign w:val="bottom"/>
          </w:tcPr>
          <w:p>
            <w:pPr>
              <w:spacing w:after="0"/>
              <w:rPr>
                <w:sz w:val="20"/>
                <w:szCs w:val="20"/>
                <w:color w:val="auto"/>
              </w:rPr>
            </w:pPr>
            <w:r>
              <w:rPr>
                <w:rFonts w:ascii="Arial" w:cs="Arial" w:eastAsia="Arial" w:hAnsi="Arial"/>
                <w:sz w:val="16"/>
                <w:szCs w:val="16"/>
                <w:color w:val="auto"/>
              </w:rPr>
              <w:t>Dodge &amp; Cox Income Fund Class X</w:t>
            </w:r>
          </w:p>
        </w:tc>
        <w:tc>
          <w:tcPr>
            <w:tcW w:w="220" w:type="dxa"/>
            <w:vAlign w:val="bottom"/>
          </w:tcPr>
          <w:p>
            <w:pPr>
              <w:spacing w:after="0"/>
              <w:rPr>
                <w:sz w:val="19"/>
                <w:szCs w:val="19"/>
                <w:color w:val="auto"/>
              </w:rPr>
            </w:pPr>
          </w:p>
        </w:tc>
        <w:tc>
          <w:tcPr>
            <w:tcW w:w="1440" w:type="dxa"/>
            <w:vAlign w:val="bottom"/>
          </w:tcPr>
          <w:p>
            <w:pPr>
              <w:jc w:val="right"/>
              <w:ind w:right="59"/>
              <w:spacing w:after="0"/>
              <w:rPr>
                <w:sz w:val="20"/>
                <w:szCs w:val="20"/>
                <w:color w:val="auto"/>
              </w:rPr>
            </w:pPr>
            <w:r>
              <w:rPr>
                <w:rFonts w:ascii="Arial" w:cs="Arial" w:eastAsia="Arial" w:hAnsi="Arial"/>
                <w:sz w:val="16"/>
                <w:szCs w:val="16"/>
                <w:color w:val="auto"/>
              </w:rPr>
              <w:t>5,643,641</w:t>
            </w:r>
          </w:p>
        </w:tc>
      </w:tr>
      <w:tr>
        <w:trPr>
          <w:trHeight w:val="29"/>
        </w:trPr>
        <w:tc>
          <w:tcPr>
            <w:tcW w:w="400" w:type="dxa"/>
            <w:vAlign w:val="bottom"/>
          </w:tcPr>
          <w:p>
            <w:pPr>
              <w:spacing w:after="0"/>
              <w:rPr>
                <w:sz w:val="2"/>
                <w:szCs w:val="2"/>
                <w:color w:val="auto"/>
              </w:rPr>
            </w:pPr>
          </w:p>
        </w:tc>
        <w:tc>
          <w:tcPr>
            <w:tcW w:w="2900" w:type="dxa"/>
            <w:vAlign w:val="bottom"/>
          </w:tcPr>
          <w:p>
            <w:pPr>
              <w:spacing w:after="0"/>
              <w:rPr>
                <w:sz w:val="2"/>
                <w:szCs w:val="2"/>
                <w:color w:val="auto"/>
              </w:rPr>
            </w:pPr>
          </w:p>
        </w:tc>
        <w:tc>
          <w:tcPr>
            <w:tcW w:w="6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43"/>
        </w:trPr>
        <w:tc>
          <w:tcPr>
            <w:tcW w:w="400" w:type="dxa"/>
            <w:vAlign w:val="bottom"/>
            <w:shd w:val="clear" w:color="auto" w:fill="DBDBDB"/>
          </w:tcPr>
          <w:p>
            <w:pPr>
              <w:jc w:val="center"/>
              <w:spacing w:after="0"/>
              <w:rPr>
                <w:sz w:val="20"/>
                <w:szCs w:val="20"/>
                <w:color w:val="auto"/>
              </w:rPr>
            </w:pPr>
            <w:r>
              <w:rPr>
                <w:rFonts w:ascii="Arial" w:cs="Arial" w:eastAsia="Arial" w:hAnsi="Arial"/>
                <w:sz w:val="16"/>
                <w:szCs w:val="16"/>
                <w:color w:val="auto"/>
              </w:rPr>
              <w:t>*</w:t>
            </w:r>
          </w:p>
        </w:tc>
        <w:tc>
          <w:tcPr>
            <w:tcW w:w="2900" w:type="dxa"/>
            <w:vAlign w:val="bottom"/>
            <w:shd w:val="clear" w:color="auto" w:fill="DBDBDB"/>
          </w:tcPr>
          <w:p>
            <w:pPr>
              <w:ind w:left="120"/>
              <w:spacing w:after="0"/>
              <w:rPr>
                <w:sz w:val="20"/>
                <w:szCs w:val="20"/>
                <w:color w:val="auto"/>
              </w:rPr>
            </w:pPr>
            <w:r>
              <w:rPr>
                <w:rFonts w:ascii="Arial" w:cs="Arial" w:eastAsia="Arial" w:hAnsi="Arial"/>
                <w:sz w:val="16"/>
                <w:szCs w:val="16"/>
                <w:color w:val="auto"/>
              </w:rPr>
              <w:t>Fidelity</w:t>
            </w:r>
          </w:p>
        </w:tc>
        <w:tc>
          <w:tcPr>
            <w:tcW w:w="6300" w:type="dxa"/>
            <w:vAlign w:val="bottom"/>
            <w:shd w:val="clear" w:color="auto" w:fill="DBDBDB"/>
          </w:tcPr>
          <w:p>
            <w:pPr>
              <w:spacing w:after="0"/>
              <w:rPr>
                <w:sz w:val="20"/>
                <w:szCs w:val="20"/>
                <w:color w:val="auto"/>
              </w:rPr>
            </w:pPr>
            <w:r>
              <w:rPr>
                <w:rFonts w:ascii="Arial" w:cs="Arial" w:eastAsia="Arial" w:hAnsi="Arial"/>
                <w:sz w:val="16"/>
                <w:szCs w:val="16"/>
                <w:color w:val="auto"/>
              </w:rPr>
              <w:t>Fidelity 500 Index</w:t>
            </w:r>
          </w:p>
        </w:tc>
        <w:tc>
          <w:tcPr>
            <w:tcW w:w="220" w:type="dxa"/>
            <w:vAlign w:val="bottom"/>
            <w:shd w:val="clear" w:color="auto" w:fill="DBDBDB"/>
          </w:tcPr>
          <w:p>
            <w:pPr>
              <w:spacing w:after="0"/>
              <w:rPr>
                <w:sz w:val="21"/>
                <w:szCs w:val="21"/>
                <w:color w:val="auto"/>
              </w:rPr>
            </w:pPr>
          </w:p>
        </w:tc>
        <w:tc>
          <w:tcPr>
            <w:tcW w:w="1440" w:type="dxa"/>
            <w:vAlign w:val="bottom"/>
            <w:shd w:val="clear" w:color="auto" w:fill="DBDBDB"/>
          </w:tcPr>
          <w:p>
            <w:pPr>
              <w:jc w:val="right"/>
              <w:ind w:right="59"/>
              <w:spacing w:after="0"/>
              <w:rPr>
                <w:sz w:val="20"/>
                <w:szCs w:val="20"/>
                <w:color w:val="auto"/>
              </w:rPr>
            </w:pPr>
            <w:r>
              <w:rPr>
                <w:rFonts w:ascii="Arial" w:cs="Arial" w:eastAsia="Arial" w:hAnsi="Arial"/>
                <w:sz w:val="16"/>
                <w:szCs w:val="16"/>
                <w:color w:val="auto"/>
              </w:rPr>
              <w:t>24,058,436</w:t>
            </w:r>
          </w:p>
        </w:tc>
      </w:tr>
      <w:tr>
        <w:trPr>
          <w:trHeight w:val="235"/>
        </w:trPr>
        <w:tc>
          <w:tcPr>
            <w:tcW w:w="400" w:type="dxa"/>
            <w:vAlign w:val="bottom"/>
          </w:tcPr>
          <w:p>
            <w:pPr>
              <w:jc w:val="center"/>
              <w:spacing w:after="0"/>
              <w:rPr>
                <w:sz w:val="20"/>
                <w:szCs w:val="20"/>
                <w:color w:val="auto"/>
              </w:rPr>
            </w:pPr>
            <w:r>
              <w:rPr>
                <w:rFonts w:ascii="Arial" w:cs="Arial" w:eastAsia="Arial" w:hAnsi="Arial"/>
                <w:sz w:val="16"/>
                <w:szCs w:val="16"/>
                <w:color w:val="auto"/>
              </w:rPr>
              <w:t>*</w:t>
            </w:r>
          </w:p>
        </w:tc>
        <w:tc>
          <w:tcPr>
            <w:tcW w:w="2900" w:type="dxa"/>
            <w:vAlign w:val="bottom"/>
          </w:tcPr>
          <w:p>
            <w:pPr>
              <w:ind w:left="120"/>
              <w:spacing w:after="0"/>
              <w:rPr>
                <w:sz w:val="20"/>
                <w:szCs w:val="20"/>
                <w:color w:val="auto"/>
              </w:rPr>
            </w:pPr>
            <w:r>
              <w:rPr>
                <w:rFonts w:ascii="Arial" w:cs="Arial" w:eastAsia="Arial" w:hAnsi="Arial"/>
                <w:sz w:val="16"/>
                <w:szCs w:val="16"/>
                <w:color w:val="auto"/>
              </w:rPr>
              <w:t>Fidelity</w:t>
            </w:r>
          </w:p>
        </w:tc>
        <w:tc>
          <w:tcPr>
            <w:tcW w:w="6300" w:type="dxa"/>
            <w:vAlign w:val="bottom"/>
          </w:tcPr>
          <w:p>
            <w:pPr>
              <w:spacing w:after="0"/>
              <w:rPr>
                <w:sz w:val="20"/>
                <w:szCs w:val="20"/>
                <w:color w:val="auto"/>
              </w:rPr>
            </w:pPr>
            <w:r>
              <w:rPr>
                <w:rFonts w:ascii="Arial" w:cs="Arial" w:eastAsia="Arial" w:hAnsi="Arial"/>
                <w:sz w:val="16"/>
                <w:szCs w:val="16"/>
                <w:color w:val="auto"/>
              </w:rPr>
              <w:t>Fidelity Contrafund K6 Fund</w:t>
            </w:r>
          </w:p>
        </w:tc>
        <w:tc>
          <w:tcPr>
            <w:tcW w:w="220" w:type="dxa"/>
            <w:vAlign w:val="bottom"/>
          </w:tcPr>
          <w:p>
            <w:pPr>
              <w:spacing w:after="0"/>
              <w:rPr>
                <w:sz w:val="20"/>
                <w:szCs w:val="20"/>
                <w:color w:val="auto"/>
              </w:rPr>
            </w:pPr>
          </w:p>
        </w:tc>
        <w:tc>
          <w:tcPr>
            <w:tcW w:w="1440" w:type="dxa"/>
            <w:vAlign w:val="bottom"/>
          </w:tcPr>
          <w:p>
            <w:pPr>
              <w:jc w:val="right"/>
              <w:ind w:right="59"/>
              <w:spacing w:after="0"/>
              <w:rPr>
                <w:sz w:val="20"/>
                <w:szCs w:val="20"/>
                <w:color w:val="auto"/>
              </w:rPr>
            </w:pPr>
            <w:r>
              <w:rPr>
                <w:rFonts w:ascii="Arial" w:cs="Arial" w:eastAsia="Arial" w:hAnsi="Arial"/>
                <w:sz w:val="16"/>
                <w:szCs w:val="16"/>
                <w:color w:val="auto"/>
              </w:rPr>
              <w:t>8,718,585</w:t>
            </w:r>
          </w:p>
        </w:tc>
      </w:tr>
      <w:tr>
        <w:trPr>
          <w:trHeight w:val="244"/>
        </w:trPr>
        <w:tc>
          <w:tcPr>
            <w:tcW w:w="40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6"/>
                <w:szCs w:val="16"/>
                <w:color w:val="auto"/>
              </w:rPr>
              <w:t>*</w:t>
            </w:r>
          </w:p>
        </w:tc>
        <w:tc>
          <w:tcPr>
            <w:tcW w:w="2900" w:type="dxa"/>
            <w:vAlign w:val="bottom"/>
            <w:tcBorders>
              <w:bottom w:val="single" w:sz="8" w:color="DBDBDB"/>
            </w:tcBorders>
            <w:shd w:val="clear" w:color="auto" w:fill="DBDBDB"/>
          </w:tcPr>
          <w:p>
            <w:pPr>
              <w:ind w:left="120"/>
              <w:spacing w:after="0"/>
              <w:rPr>
                <w:sz w:val="20"/>
                <w:szCs w:val="20"/>
                <w:color w:val="auto"/>
              </w:rPr>
            </w:pPr>
            <w:r>
              <w:rPr>
                <w:rFonts w:ascii="Arial" w:cs="Arial" w:eastAsia="Arial" w:hAnsi="Arial"/>
                <w:sz w:val="16"/>
                <w:szCs w:val="16"/>
                <w:color w:val="auto"/>
              </w:rPr>
              <w:t>Fidelity</w:t>
            </w:r>
          </w:p>
        </w:tc>
        <w:tc>
          <w:tcPr>
            <w:tcW w:w="6300" w:type="dxa"/>
            <w:vAlign w:val="bottom"/>
            <w:tcBorders>
              <w:bottom w:val="single" w:sz="8" w:color="DBDBDB"/>
            </w:tcBorders>
            <w:shd w:val="clear" w:color="auto" w:fill="DBDBDB"/>
          </w:tcPr>
          <w:p>
            <w:pPr>
              <w:spacing w:after="0"/>
              <w:rPr>
                <w:sz w:val="20"/>
                <w:szCs w:val="20"/>
                <w:color w:val="auto"/>
              </w:rPr>
            </w:pPr>
            <w:r>
              <w:rPr>
                <w:rFonts w:ascii="Arial" w:cs="Arial" w:eastAsia="Arial" w:hAnsi="Arial"/>
                <w:sz w:val="16"/>
                <w:szCs w:val="16"/>
                <w:color w:val="auto"/>
              </w:rPr>
              <w:t>Fidelity Mid Cap Index Fund</w:t>
            </w:r>
          </w:p>
        </w:tc>
        <w:tc>
          <w:tcPr>
            <w:tcW w:w="220" w:type="dxa"/>
            <w:vAlign w:val="bottom"/>
            <w:tcBorders>
              <w:bottom w:val="single" w:sz="8" w:color="DBDBDB"/>
            </w:tcBorders>
            <w:shd w:val="clear" w:color="auto" w:fill="DBDBDB"/>
          </w:tcPr>
          <w:p>
            <w:pPr>
              <w:spacing w:after="0"/>
              <w:rPr>
                <w:sz w:val="21"/>
                <w:szCs w:val="21"/>
                <w:color w:val="auto"/>
              </w:rPr>
            </w:pPr>
          </w:p>
        </w:tc>
        <w:tc>
          <w:tcPr>
            <w:tcW w:w="1440" w:type="dxa"/>
            <w:vAlign w:val="bottom"/>
            <w:tcBorders>
              <w:bottom w:val="single" w:sz="8" w:color="DBDBDB"/>
            </w:tcBorders>
            <w:shd w:val="clear" w:color="auto" w:fill="DBDBDB"/>
          </w:tcPr>
          <w:p>
            <w:pPr>
              <w:jc w:val="right"/>
              <w:ind w:right="59"/>
              <w:spacing w:after="0"/>
              <w:rPr>
                <w:sz w:val="20"/>
                <w:szCs w:val="20"/>
                <w:color w:val="auto"/>
              </w:rPr>
            </w:pPr>
            <w:r>
              <w:rPr>
                <w:rFonts w:ascii="Arial" w:cs="Arial" w:eastAsia="Arial" w:hAnsi="Arial"/>
                <w:sz w:val="16"/>
                <w:szCs w:val="16"/>
                <w:color w:val="auto"/>
              </w:rPr>
              <w:t>6,319,993</w:t>
            </w:r>
          </w:p>
        </w:tc>
      </w:tr>
      <w:tr>
        <w:trPr>
          <w:trHeight w:val="235"/>
        </w:trPr>
        <w:tc>
          <w:tcPr>
            <w:tcW w:w="400" w:type="dxa"/>
            <w:vAlign w:val="bottom"/>
          </w:tcPr>
          <w:p>
            <w:pPr>
              <w:jc w:val="center"/>
              <w:spacing w:after="0"/>
              <w:rPr>
                <w:sz w:val="20"/>
                <w:szCs w:val="20"/>
                <w:color w:val="auto"/>
              </w:rPr>
            </w:pPr>
            <w:r>
              <w:rPr>
                <w:rFonts w:ascii="Arial" w:cs="Arial" w:eastAsia="Arial" w:hAnsi="Arial"/>
                <w:sz w:val="16"/>
                <w:szCs w:val="16"/>
                <w:color w:val="auto"/>
              </w:rPr>
              <w:t>*</w:t>
            </w:r>
          </w:p>
        </w:tc>
        <w:tc>
          <w:tcPr>
            <w:tcW w:w="2900" w:type="dxa"/>
            <w:vAlign w:val="bottom"/>
          </w:tcPr>
          <w:p>
            <w:pPr>
              <w:ind w:left="120"/>
              <w:spacing w:after="0"/>
              <w:rPr>
                <w:sz w:val="20"/>
                <w:szCs w:val="20"/>
                <w:color w:val="auto"/>
              </w:rPr>
            </w:pPr>
            <w:r>
              <w:rPr>
                <w:rFonts w:ascii="Arial" w:cs="Arial" w:eastAsia="Arial" w:hAnsi="Arial"/>
                <w:sz w:val="16"/>
                <w:szCs w:val="16"/>
                <w:color w:val="auto"/>
              </w:rPr>
              <w:t>Fidelity</w:t>
            </w:r>
          </w:p>
        </w:tc>
        <w:tc>
          <w:tcPr>
            <w:tcW w:w="6300" w:type="dxa"/>
            <w:vAlign w:val="bottom"/>
          </w:tcPr>
          <w:p>
            <w:pPr>
              <w:spacing w:after="0"/>
              <w:rPr>
                <w:sz w:val="20"/>
                <w:szCs w:val="20"/>
                <w:color w:val="auto"/>
              </w:rPr>
            </w:pPr>
            <w:r>
              <w:rPr>
                <w:rFonts w:ascii="Arial" w:cs="Arial" w:eastAsia="Arial" w:hAnsi="Arial"/>
                <w:sz w:val="16"/>
                <w:szCs w:val="16"/>
                <w:color w:val="auto"/>
              </w:rPr>
              <w:t>Fidelity Real Estate Index</w:t>
            </w:r>
          </w:p>
        </w:tc>
        <w:tc>
          <w:tcPr>
            <w:tcW w:w="220" w:type="dxa"/>
            <w:vAlign w:val="bottom"/>
          </w:tcPr>
          <w:p>
            <w:pPr>
              <w:spacing w:after="0"/>
              <w:rPr>
                <w:sz w:val="20"/>
                <w:szCs w:val="20"/>
                <w:color w:val="auto"/>
              </w:rPr>
            </w:pPr>
          </w:p>
        </w:tc>
        <w:tc>
          <w:tcPr>
            <w:tcW w:w="1440" w:type="dxa"/>
            <w:vAlign w:val="bottom"/>
          </w:tcPr>
          <w:p>
            <w:pPr>
              <w:jc w:val="right"/>
              <w:ind w:right="59"/>
              <w:spacing w:after="0"/>
              <w:rPr>
                <w:sz w:val="20"/>
                <w:szCs w:val="20"/>
                <w:color w:val="auto"/>
              </w:rPr>
            </w:pPr>
            <w:r>
              <w:rPr>
                <w:rFonts w:ascii="Arial" w:cs="Arial" w:eastAsia="Arial" w:hAnsi="Arial"/>
                <w:sz w:val="16"/>
                <w:szCs w:val="16"/>
                <w:color w:val="auto"/>
              </w:rPr>
              <w:t>525,608</w:t>
            </w:r>
          </w:p>
        </w:tc>
      </w:tr>
      <w:tr>
        <w:trPr>
          <w:trHeight w:val="244"/>
        </w:trPr>
        <w:tc>
          <w:tcPr>
            <w:tcW w:w="40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6"/>
                <w:szCs w:val="16"/>
                <w:color w:val="auto"/>
              </w:rPr>
              <w:t>*</w:t>
            </w:r>
          </w:p>
        </w:tc>
        <w:tc>
          <w:tcPr>
            <w:tcW w:w="2900" w:type="dxa"/>
            <w:vAlign w:val="bottom"/>
            <w:tcBorders>
              <w:bottom w:val="single" w:sz="8" w:color="DBDBDB"/>
            </w:tcBorders>
            <w:shd w:val="clear" w:color="auto" w:fill="DBDBDB"/>
          </w:tcPr>
          <w:p>
            <w:pPr>
              <w:ind w:left="120"/>
              <w:spacing w:after="0"/>
              <w:rPr>
                <w:sz w:val="20"/>
                <w:szCs w:val="20"/>
                <w:color w:val="auto"/>
              </w:rPr>
            </w:pPr>
            <w:r>
              <w:rPr>
                <w:rFonts w:ascii="Arial" w:cs="Arial" w:eastAsia="Arial" w:hAnsi="Arial"/>
                <w:sz w:val="16"/>
                <w:szCs w:val="16"/>
                <w:color w:val="auto"/>
              </w:rPr>
              <w:t>Fidelity</w:t>
            </w:r>
          </w:p>
        </w:tc>
        <w:tc>
          <w:tcPr>
            <w:tcW w:w="6300" w:type="dxa"/>
            <w:vAlign w:val="bottom"/>
            <w:tcBorders>
              <w:bottom w:val="single" w:sz="8" w:color="DBDBDB"/>
            </w:tcBorders>
            <w:shd w:val="clear" w:color="auto" w:fill="DBDBDB"/>
          </w:tcPr>
          <w:p>
            <w:pPr>
              <w:spacing w:after="0"/>
              <w:rPr>
                <w:sz w:val="20"/>
                <w:szCs w:val="20"/>
                <w:color w:val="auto"/>
              </w:rPr>
            </w:pPr>
            <w:r>
              <w:rPr>
                <w:rFonts w:ascii="Arial" w:cs="Arial" w:eastAsia="Arial" w:hAnsi="Arial"/>
                <w:sz w:val="16"/>
                <w:szCs w:val="16"/>
                <w:color w:val="auto"/>
              </w:rPr>
              <w:t>Fidelity Small Cap Index</w:t>
            </w:r>
          </w:p>
        </w:tc>
        <w:tc>
          <w:tcPr>
            <w:tcW w:w="220" w:type="dxa"/>
            <w:vAlign w:val="bottom"/>
            <w:tcBorders>
              <w:bottom w:val="single" w:sz="8" w:color="DBDBDB"/>
            </w:tcBorders>
            <w:shd w:val="clear" w:color="auto" w:fill="DBDBDB"/>
          </w:tcPr>
          <w:p>
            <w:pPr>
              <w:spacing w:after="0"/>
              <w:rPr>
                <w:sz w:val="21"/>
                <w:szCs w:val="21"/>
                <w:color w:val="auto"/>
              </w:rPr>
            </w:pPr>
          </w:p>
        </w:tc>
        <w:tc>
          <w:tcPr>
            <w:tcW w:w="1440" w:type="dxa"/>
            <w:vAlign w:val="bottom"/>
            <w:tcBorders>
              <w:bottom w:val="single" w:sz="8" w:color="DBDBDB"/>
            </w:tcBorders>
            <w:shd w:val="clear" w:color="auto" w:fill="DBDBDB"/>
          </w:tcPr>
          <w:p>
            <w:pPr>
              <w:jc w:val="right"/>
              <w:ind w:right="59"/>
              <w:spacing w:after="0"/>
              <w:rPr>
                <w:sz w:val="20"/>
                <w:szCs w:val="20"/>
                <w:color w:val="auto"/>
              </w:rPr>
            </w:pPr>
            <w:r>
              <w:rPr>
                <w:rFonts w:ascii="Arial" w:cs="Arial" w:eastAsia="Arial" w:hAnsi="Arial"/>
                <w:sz w:val="16"/>
                <w:szCs w:val="16"/>
                <w:color w:val="auto"/>
              </w:rPr>
              <w:t>1,540,599</w:t>
            </w:r>
          </w:p>
        </w:tc>
      </w:tr>
      <w:tr>
        <w:trPr>
          <w:trHeight w:val="235"/>
        </w:trPr>
        <w:tc>
          <w:tcPr>
            <w:tcW w:w="400" w:type="dxa"/>
            <w:vAlign w:val="bottom"/>
          </w:tcPr>
          <w:p>
            <w:pPr>
              <w:jc w:val="center"/>
              <w:spacing w:after="0"/>
              <w:rPr>
                <w:sz w:val="20"/>
                <w:szCs w:val="20"/>
                <w:color w:val="auto"/>
              </w:rPr>
            </w:pPr>
            <w:r>
              <w:rPr>
                <w:rFonts w:ascii="Arial" w:cs="Arial" w:eastAsia="Arial" w:hAnsi="Arial"/>
                <w:sz w:val="16"/>
                <w:szCs w:val="16"/>
                <w:color w:val="auto"/>
              </w:rPr>
              <w:t>*</w:t>
            </w:r>
          </w:p>
        </w:tc>
        <w:tc>
          <w:tcPr>
            <w:tcW w:w="2900" w:type="dxa"/>
            <w:vAlign w:val="bottom"/>
          </w:tcPr>
          <w:p>
            <w:pPr>
              <w:ind w:left="120"/>
              <w:spacing w:after="0"/>
              <w:rPr>
                <w:sz w:val="20"/>
                <w:szCs w:val="20"/>
                <w:color w:val="auto"/>
              </w:rPr>
            </w:pPr>
            <w:r>
              <w:rPr>
                <w:rFonts w:ascii="Arial" w:cs="Arial" w:eastAsia="Arial" w:hAnsi="Arial"/>
                <w:sz w:val="16"/>
                <w:szCs w:val="16"/>
                <w:color w:val="auto"/>
              </w:rPr>
              <w:t>Fidelity</w:t>
            </w:r>
          </w:p>
        </w:tc>
        <w:tc>
          <w:tcPr>
            <w:tcW w:w="6300" w:type="dxa"/>
            <w:vAlign w:val="bottom"/>
          </w:tcPr>
          <w:p>
            <w:pPr>
              <w:spacing w:after="0"/>
              <w:rPr>
                <w:sz w:val="20"/>
                <w:szCs w:val="20"/>
                <w:color w:val="auto"/>
              </w:rPr>
            </w:pPr>
            <w:r>
              <w:rPr>
                <w:rFonts w:ascii="Arial" w:cs="Arial" w:eastAsia="Arial" w:hAnsi="Arial"/>
                <w:sz w:val="16"/>
                <w:szCs w:val="16"/>
                <w:color w:val="auto"/>
              </w:rPr>
              <w:t>Fidelity Total International Index</w:t>
            </w:r>
          </w:p>
        </w:tc>
        <w:tc>
          <w:tcPr>
            <w:tcW w:w="220" w:type="dxa"/>
            <w:vAlign w:val="bottom"/>
          </w:tcPr>
          <w:p>
            <w:pPr>
              <w:spacing w:after="0"/>
              <w:rPr>
                <w:sz w:val="20"/>
                <w:szCs w:val="20"/>
                <w:color w:val="auto"/>
              </w:rPr>
            </w:pPr>
          </w:p>
        </w:tc>
        <w:tc>
          <w:tcPr>
            <w:tcW w:w="1440" w:type="dxa"/>
            <w:vAlign w:val="bottom"/>
          </w:tcPr>
          <w:p>
            <w:pPr>
              <w:jc w:val="right"/>
              <w:ind w:right="59"/>
              <w:spacing w:after="0"/>
              <w:rPr>
                <w:sz w:val="20"/>
                <w:szCs w:val="20"/>
                <w:color w:val="auto"/>
              </w:rPr>
            </w:pPr>
            <w:r>
              <w:rPr>
                <w:rFonts w:ascii="Arial" w:cs="Arial" w:eastAsia="Arial" w:hAnsi="Arial"/>
                <w:sz w:val="16"/>
                <w:szCs w:val="16"/>
                <w:color w:val="auto"/>
              </w:rPr>
              <w:t>1,460,395</w:t>
            </w:r>
          </w:p>
        </w:tc>
      </w:tr>
      <w:tr>
        <w:trPr>
          <w:trHeight w:val="251"/>
        </w:trPr>
        <w:tc>
          <w:tcPr>
            <w:tcW w:w="400" w:type="dxa"/>
            <w:vAlign w:val="bottom"/>
            <w:shd w:val="clear" w:color="auto" w:fill="DBDBDB"/>
          </w:tcPr>
          <w:p>
            <w:pPr>
              <w:jc w:val="center"/>
              <w:spacing w:after="0"/>
              <w:rPr>
                <w:sz w:val="20"/>
                <w:szCs w:val="20"/>
                <w:color w:val="auto"/>
              </w:rPr>
            </w:pPr>
            <w:r>
              <w:rPr>
                <w:rFonts w:ascii="Arial" w:cs="Arial" w:eastAsia="Arial" w:hAnsi="Arial"/>
                <w:sz w:val="16"/>
                <w:szCs w:val="16"/>
                <w:color w:val="auto"/>
              </w:rPr>
              <w:t>*</w:t>
            </w:r>
          </w:p>
        </w:tc>
        <w:tc>
          <w:tcPr>
            <w:tcW w:w="2900" w:type="dxa"/>
            <w:vAlign w:val="bottom"/>
            <w:shd w:val="clear" w:color="auto" w:fill="DBDBDB"/>
          </w:tcPr>
          <w:p>
            <w:pPr>
              <w:ind w:left="120"/>
              <w:spacing w:after="0"/>
              <w:rPr>
                <w:sz w:val="20"/>
                <w:szCs w:val="20"/>
                <w:color w:val="auto"/>
              </w:rPr>
            </w:pPr>
            <w:r>
              <w:rPr>
                <w:rFonts w:ascii="Arial" w:cs="Arial" w:eastAsia="Arial" w:hAnsi="Arial"/>
                <w:sz w:val="16"/>
                <w:szCs w:val="16"/>
                <w:color w:val="auto"/>
              </w:rPr>
              <w:t>Fidelity</w:t>
            </w:r>
          </w:p>
        </w:tc>
        <w:tc>
          <w:tcPr>
            <w:tcW w:w="6300" w:type="dxa"/>
            <w:vAlign w:val="bottom"/>
            <w:shd w:val="clear" w:color="auto" w:fill="DBDBDB"/>
          </w:tcPr>
          <w:p>
            <w:pPr>
              <w:spacing w:after="0"/>
              <w:rPr>
                <w:sz w:val="20"/>
                <w:szCs w:val="20"/>
                <w:color w:val="auto"/>
              </w:rPr>
            </w:pPr>
            <w:r>
              <w:rPr>
                <w:rFonts w:ascii="Arial" w:cs="Arial" w:eastAsia="Arial" w:hAnsi="Arial"/>
                <w:sz w:val="16"/>
                <w:szCs w:val="16"/>
                <w:color w:val="auto"/>
              </w:rPr>
              <w:t>Fidelity Large Cap Growth Index Fund</w:t>
            </w:r>
          </w:p>
        </w:tc>
        <w:tc>
          <w:tcPr>
            <w:tcW w:w="220" w:type="dxa"/>
            <w:vAlign w:val="bottom"/>
            <w:shd w:val="clear" w:color="auto" w:fill="DBDBDB"/>
          </w:tcPr>
          <w:p>
            <w:pPr>
              <w:spacing w:after="0"/>
              <w:rPr>
                <w:sz w:val="21"/>
                <w:szCs w:val="21"/>
                <w:color w:val="auto"/>
              </w:rPr>
            </w:pPr>
          </w:p>
        </w:tc>
        <w:tc>
          <w:tcPr>
            <w:tcW w:w="1440" w:type="dxa"/>
            <w:vAlign w:val="bottom"/>
            <w:shd w:val="clear" w:color="auto" w:fill="DBDBDB"/>
          </w:tcPr>
          <w:p>
            <w:pPr>
              <w:jc w:val="right"/>
              <w:ind w:right="59"/>
              <w:spacing w:after="0"/>
              <w:rPr>
                <w:sz w:val="20"/>
                <w:szCs w:val="20"/>
                <w:color w:val="auto"/>
              </w:rPr>
            </w:pPr>
            <w:r>
              <w:rPr>
                <w:rFonts w:ascii="Arial" w:cs="Arial" w:eastAsia="Arial" w:hAnsi="Arial"/>
                <w:sz w:val="16"/>
                <w:szCs w:val="16"/>
                <w:color w:val="auto"/>
              </w:rPr>
              <w:t>11,675,728</w:t>
            </w:r>
          </w:p>
        </w:tc>
      </w:tr>
      <w:tr>
        <w:trPr>
          <w:trHeight w:val="227"/>
        </w:trPr>
        <w:tc>
          <w:tcPr>
            <w:tcW w:w="400" w:type="dxa"/>
            <w:vAlign w:val="bottom"/>
          </w:tcPr>
          <w:p>
            <w:pPr>
              <w:jc w:val="center"/>
              <w:spacing w:after="0"/>
              <w:rPr>
                <w:sz w:val="20"/>
                <w:szCs w:val="20"/>
                <w:color w:val="auto"/>
              </w:rPr>
            </w:pPr>
            <w:r>
              <w:rPr>
                <w:rFonts w:ascii="Arial" w:cs="Arial" w:eastAsia="Arial" w:hAnsi="Arial"/>
                <w:sz w:val="16"/>
                <w:szCs w:val="16"/>
                <w:color w:val="auto"/>
              </w:rPr>
              <w:t>*</w:t>
            </w:r>
          </w:p>
        </w:tc>
        <w:tc>
          <w:tcPr>
            <w:tcW w:w="2900" w:type="dxa"/>
            <w:vAlign w:val="bottom"/>
          </w:tcPr>
          <w:p>
            <w:pPr>
              <w:ind w:left="120"/>
              <w:spacing w:after="0"/>
              <w:rPr>
                <w:sz w:val="20"/>
                <w:szCs w:val="20"/>
                <w:color w:val="auto"/>
              </w:rPr>
            </w:pPr>
            <w:r>
              <w:rPr>
                <w:rFonts w:ascii="Arial" w:cs="Arial" w:eastAsia="Arial" w:hAnsi="Arial"/>
                <w:sz w:val="16"/>
                <w:szCs w:val="16"/>
                <w:color w:val="auto"/>
              </w:rPr>
              <w:t>Fidelity</w:t>
            </w:r>
          </w:p>
        </w:tc>
        <w:tc>
          <w:tcPr>
            <w:tcW w:w="6300" w:type="dxa"/>
            <w:vAlign w:val="bottom"/>
          </w:tcPr>
          <w:p>
            <w:pPr>
              <w:spacing w:after="0"/>
              <w:rPr>
                <w:sz w:val="20"/>
                <w:szCs w:val="20"/>
                <w:color w:val="auto"/>
              </w:rPr>
            </w:pPr>
            <w:r>
              <w:rPr>
                <w:rFonts w:ascii="Arial" w:cs="Arial" w:eastAsia="Arial" w:hAnsi="Arial"/>
                <w:sz w:val="16"/>
                <w:szCs w:val="16"/>
                <w:color w:val="auto"/>
              </w:rPr>
              <w:t>Fidelity Government Money Market Fund Class K6</w:t>
            </w:r>
          </w:p>
        </w:tc>
        <w:tc>
          <w:tcPr>
            <w:tcW w:w="220" w:type="dxa"/>
            <w:vAlign w:val="bottom"/>
          </w:tcPr>
          <w:p>
            <w:pPr>
              <w:spacing w:after="0"/>
              <w:rPr>
                <w:sz w:val="19"/>
                <w:szCs w:val="19"/>
                <w:color w:val="auto"/>
              </w:rPr>
            </w:pPr>
          </w:p>
        </w:tc>
        <w:tc>
          <w:tcPr>
            <w:tcW w:w="1440" w:type="dxa"/>
            <w:vAlign w:val="bottom"/>
          </w:tcPr>
          <w:p>
            <w:pPr>
              <w:jc w:val="right"/>
              <w:ind w:right="59"/>
              <w:spacing w:after="0"/>
              <w:rPr>
                <w:sz w:val="20"/>
                <w:szCs w:val="20"/>
                <w:color w:val="auto"/>
              </w:rPr>
            </w:pPr>
            <w:r>
              <w:rPr>
                <w:rFonts w:ascii="Arial" w:cs="Arial" w:eastAsia="Arial" w:hAnsi="Arial"/>
                <w:sz w:val="16"/>
                <w:szCs w:val="16"/>
                <w:color w:val="auto"/>
              </w:rPr>
              <w:t>642,581</w:t>
            </w:r>
          </w:p>
        </w:tc>
      </w:tr>
      <w:tr>
        <w:trPr>
          <w:trHeight w:val="29"/>
        </w:trPr>
        <w:tc>
          <w:tcPr>
            <w:tcW w:w="400" w:type="dxa"/>
            <w:vAlign w:val="bottom"/>
          </w:tcPr>
          <w:p>
            <w:pPr>
              <w:spacing w:after="0"/>
              <w:rPr>
                <w:sz w:val="2"/>
                <w:szCs w:val="2"/>
                <w:color w:val="auto"/>
              </w:rPr>
            </w:pPr>
          </w:p>
        </w:tc>
        <w:tc>
          <w:tcPr>
            <w:tcW w:w="2900" w:type="dxa"/>
            <w:vAlign w:val="bottom"/>
          </w:tcPr>
          <w:p>
            <w:pPr>
              <w:spacing w:after="0"/>
              <w:rPr>
                <w:sz w:val="2"/>
                <w:szCs w:val="2"/>
                <w:color w:val="auto"/>
              </w:rPr>
            </w:pPr>
          </w:p>
        </w:tc>
        <w:tc>
          <w:tcPr>
            <w:tcW w:w="6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43"/>
        </w:trPr>
        <w:tc>
          <w:tcPr>
            <w:tcW w:w="400" w:type="dxa"/>
            <w:vAlign w:val="bottom"/>
            <w:shd w:val="clear" w:color="auto" w:fill="DBDBDB"/>
          </w:tcPr>
          <w:p>
            <w:pPr>
              <w:spacing w:after="0"/>
              <w:rPr>
                <w:sz w:val="21"/>
                <w:szCs w:val="21"/>
                <w:color w:val="auto"/>
              </w:rPr>
            </w:pPr>
          </w:p>
        </w:tc>
        <w:tc>
          <w:tcPr>
            <w:tcW w:w="2900" w:type="dxa"/>
            <w:vAlign w:val="bottom"/>
            <w:shd w:val="clear" w:color="auto" w:fill="DBDBDB"/>
          </w:tcPr>
          <w:p>
            <w:pPr>
              <w:ind w:left="120"/>
              <w:spacing w:after="0"/>
              <w:rPr>
                <w:sz w:val="20"/>
                <w:szCs w:val="20"/>
                <w:color w:val="auto"/>
              </w:rPr>
            </w:pPr>
            <w:r>
              <w:rPr>
                <w:rFonts w:ascii="Arial" w:cs="Arial" w:eastAsia="Arial" w:hAnsi="Arial"/>
                <w:sz w:val="16"/>
                <w:szCs w:val="16"/>
                <w:color w:val="auto"/>
              </w:rPr>
              <w:t>T. Rowe Price</w:t>
            </w:r>
          </w:p>
        </w:tc>
        <w:tc>
          <w:tcPr>
            <w:tcW w:w="6300" w:type="dxa"/>
            <w:vAlign w:val="bottom"/>
            <w:shd w:val="clear" w:color="auto" w:fill="DBDBDB"/>
          </w:tcPr>
          <w:p>
            <w:pPr>
              <w:spacing w:after="0"/>
              <w:rPr>
                <w:sz w:val="20"/>
                <w:szCs w:val="20"/>
                <w:color w:val="auto"/>
              </w:rPr>
            </w:pPr>
            <w:r>
              <w:rPr>
                <w:rFonts w:ascii="Arial" w:cs="Arial" w:eastAsia="Arial" w:hAnsi="Arial"/>
                <w:sz w:val="16"/>
                <w:szCs w:val="16"/>
                <w:color w:val="auto"/>
              </w:rPr>
              <w:t>T. Rowe Price Small-Cap Stock Fund</w:t>
            </w:r>
          </w:p>
        </w:tc>
        <w:tc>
          <w:tcPr>
            <w:tcW w:w="220" w:type="dxa"/>
            <w:vAlign w:val="bottom"/>
            <w:shd w:val="clear" w:color="auto" w:fill="DBDBDB"/>
          </w:tcPr>
          <w:p>
            <w:pPr>
              <w:spacing w:after="0"/>
              <w:rPr>
                <w:sz w:val="21"/>
                <w:szCs w:val="21"/>
                <w:color w:val="auto"/>
              </w:rPr>
            </w:pPr>
          </w:p>
        </w:tc>
        <w:tc>
          <w:tcPr>
            <w:tcW w:w="1440" w:type="dxa"/>
            <w:vAlign w:val="bottom"/>
            <w:shd w:val="clear" w:color="auto" w:fill="DBDBDB"/>
          </w:tcPr>
          <w:p>
            <w:pPr>
              <w:jc w:val="right"/>
              <w:ind w:right="59"/>
              <w:spacing w:after="0"/>
              <w:rPr>
                <w:sz w:val="20"/>
                <w:szCs w:val="20"/>
                <w:color w:val="auto"/>
              </w:rPr>
            </w:pPr>
            <w:r>
              <w:rPr>
                <w:rFonts w:ascii="Arial" w:cs="Arial" w:eastAsia="Arial" w:hAnsi="Arial"/>
                <w:sz w:val="16"/>
                <w:szCs w:val="16"/>
                <w:color w:val="auto"/>
              </w:rPr>
              <w:t>1,524,736</w:t>
            </w:r>
          </w:p>
        </w:tc>
      </w:tr>
      <w:tr>
        <w:trPr>
          <w:trHeight w:val="228"/>
        </w:trPr>
        <w:tc>
          <w:tcPr>
            <w:tcW w:w="400" w:type="dxa"/>
            <w:vAlign w:val="bottom"/>
          </w:tcPr>
          <w:p>
            <w:pPr>
              <w:spacing w:after="0"/>
              <w:rPr>
                <w:sz w:val="19"/>
                <w:szCs w:val="19"/>
                <w:color w:val="auto"/>
              </w:rPr>
            </w:pPr>
          </w:p>
        </w:tc>
        <w:tc>
          <w:tcPr>
            <w:tcW w:w="2900" w:type="dxa"/>
            <w:vAlign w:val="bottom"/>
          </w:tcPr>
          <w:p>
            <w:pPr>
              <w:ind w:left="120"/>
              <w:spacing w:after="0"/>
              <w:rPr>
                <w:sz w:val="20"/>
                <w:szCs w:val="20"/>
                <w:color w:val="auto"/>
              </w:rPr>
            </w:pPr>
            <w:r>
              <w:rPr>
                <w:rFonts w:ascii="Arial" w:cs="Arial" w:eastAsia="Arial" w:hAnsi="Arial"/>
                <w:sz w:val="16"/>
                <w:szCs w:val="16"/>
                <w:color w:val="auto"/>
              </w:rPr>
              <w:t>Vanguard</w:t>
            </w:r>
          </w:p>
        </w:tc>
        <w:tc>
          <w:tcPr>
            <w:tcW w:w="6300" w:type="dxa"/>
            <w:vAlign w:val="bottom"/>
          </w:tcPr>
          <w:p>
            <w:pPr>
              <w:spacing w:after="0"/>
              <w:rPr>
                <w:sz w:val="20"/>
                <w:szCs w:val="20"/>
                <w:color w:val="auto"/>
              </w:rPr>
            </w:pPr>
            <w:r>
              <w:rPr>
                <w:rFonts w:ascii="Arial" w:cs="Arial" w:eastAsia="Arial" w:hAnsi="Arial"/>
                <w:sz w:val="16"/>
                <w:szCs w:val="16"/>
                <w:color w:val="auto"/>
              </w:rPr>
              <w:t>Vanguard Equity Income Fund Admiral Shares</w:t>
            </w:r>
          </w:p>
        </w:tc>
        <w:tc>
          <w:tcPr>
            <w:tcW w:w="220" w:type="dxa"/>
            <w:vAlign w:val="bottom"/>
          </w:tcPr>
          <w:p>
            <w:pPr>
              <w:spacing w:after="0"/>
              <w:rPr>
                <w:sz w:val="19"/>
                <w:szCs w:val="19"/>
                <w:color w:val="auto"/>
              </w:rPr>
            </w:pPr>
          </w:p>
        </w:tc>
        <w:tc>
          <w:tcPr>
            <w:tcW w:w="1440" w:type="dxa"/>
            <w:vAlign w:val="bottom"/>
          </w:tcPr>
          <w:p>
            <w:pPr>
              <w:jc w:val="right"/>
              <w:ind w:right="59"/>
              <w:spacing w:after="0"/>
              <w:rPr>
                <w:sz w:val="20"/>
                <w:szCs w:val="20"/>
                <w:color w:val="auto"/>
              </w:rPr>
            </w:pPr>
            <w:r>
              <w:rPr>
                <w:rFonts w:ascii="Arial" w:cs="Arial" w:eastAsia="Arial" w:hAnsi="Arial"/>
                <w:sz w:val="16"/>
                <w:szCs w:val="16"/>
                <w:color w:val="auto"/>
              </w:rPr>
              <w:t>4,912,974</w:t>
            </w:r>
          </w:p>
        </w:tc>
      </w:tr>
      <w:tr>
        <w:trPr>
          <w:trHeight w:val="29"/>
        </w:trPr>
        <w:tc>
          <w:tcPr>
            <w:tcW w:w="400" w:type="dxa"/>
            <w:vAlign w:val="bottom"/>
          </w:tcPr>
          <w:p>
            <w:pPr>
              <w:spacing w:after="0"/>
              <w:rPr>
                <w:sz w:val="2"/>
                <w:szCs w:val="2"/>
                <w:color w:val="auto"/>
              </w:rPr>
            </w:pPr>
          </w:p>
        </w:tc>
        <w:tc>
          <w:tcPr>
            <w:tcW w:w="2900" w:type="dxa"/>
            <w:vAlign w:val="bottom"/>
          </w:tcPr>
          <w:p>
            <w:pPr>
              <w:spacing w:after="0"/>
              <w:rPr>
                <w:sz w:val="2"/>
                <w:szCs w:val="2"/>
                <w:color w:val="auto"/>
              </w:rPr>
            </w:pPr>
          </w:p>
        </w:tc>
        <w:tc>
          <w:tcPr>
            <w:tcW w:w="6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43"/>
        </w:trPr>
        <w:tc>
          <w:tcPr>
            <w:tcW w:w="400" w:type="dxa"/>
            <w:vAlign w:val="bottom"/>
            <w:shd w:val="clear" w:color="auto" w:fill="DBDBDB"/>
          </w:tcPr>
          <w:p>
            <w:pPr>
              <w:spacing w:after="0"/>
              <w:rPr>
                <w:sz w:val="21"/>
                <w:szCs w:val="21"/>
                <w:color w:val="auto"/>
              </w:rPr>
            </w:pPr>
          </w:p>
        </w:tc>
        <w:tc>
          <w:tcPr>
            <w:tcW w:w="2900" w:type="dxa"/>
            <w:vAlign w:val="bottom"/>
            <w:shd w:val="clear" w:color="auto" w:fill="DBDBDB"/>
          </w:tcPr>
          <w:p>
            <w:pPr>
              <w:ind w:left="120"/>
              <w:spacing w:after="0"/>
              <w:rPr>
                <w:sz w:val="20"/>
                <w:szCs w:val="20"/>
                <w:color w:val="auto"/>
              </w:rPr>
            </w:pPr>
            <w:r>
              <w:rPr>
                <w:rFonts w:ascii="Arial" w:cs="Arial" w:eastAsia="Arial" w:hAnsi="Arial"/>
                <w:sz w:val="16"/>
                <w:szCs w:val="16"/>
                <w:color w:val="auto"/>
              </w:rPr>
              <w:t>Vanguard</w:t>
            </w:r>
          </w:p>
        </w:tc>
        <w:tc>
          <w:tcPr>
            <w:tcW w:w="6300" w:type="dxa"/>
            <w:vAlign w:val="bottom"/>
            <w:shd w:val="clear" w:color="auto" w:fill="DBDBDB"/>
          </w:tcPr>
          <w:p>
            <w:pPr>
              <w:spacing w:after="0"/>
              <w:rPr>
                <w:sz w:val="20"/>
                <w:szCs w:val="20"/>
                <w:color w:val="auto"/>
              </w:rPr>
            </w:pPr>
            <w:r>
              <w:rPr>
                <w:rFonts w:ascii="Arial" w:cs="Arial" w:eastAsia="Arial" w:hAnsi="Arial"/>
                <w:sz w:val="16"/>
                <w:szCs w:val="16"/>
                <w:color w:val="auto"/>
              </w:rPr>
              <w:t>Vanguard Total Bond Market Index Fund Admiral Shares</w:t>
            </w:r>
          </w:p>
        </w:tc>
        <w:tc>
          <w:tcPr>
            <w:tcW w:w="220" w:type="dxa"/>
            <w:vAlign w:val="bottom"/>
            <w:shd w:val="clear" w:color="auto" w:fill="DBDBDB"/>
          </w:tcPr>
          <w:p>
            <w:pPr>
              <w:spacing w:after="0"/>
              <w:rPr>
                <w:sz w:val="21"/>
                <w:szCs w:val="21"/>
                <w:color w:val="auto"/>
              </w:rPr>
            </w:pPr>
          </w:p>
        </w:tc>
        <w:tc>
          <w:tcPr>
            <w:tcW w:w="1440" w:type="dxa"/>
            <w:vAlign w:val="bottom"/>
            <w:shd w:val="clear" w:color="auto" w:fill="DBDBDB"/>
          </w:tcPr>
          <w:p>
            <w:pPr>
              <w:jc w:val="right"/>
              <w:ind w:right="59"/>
              <w:spacing w:after="0"/>
              <w:rPr>
                <w:sz w:val="20"/>
                <w:szCs w:val="20"/>
                <w:color w:val="auto"/>
              </w:rPr>
            </w:pPr>
            <w:r>
              <w:rPr>
                <w:rFonts w:ascii="Arial" w:cs="Arial" w:eastAsia="Arial" w:hAnsi="Arial"/>
                <w:sz w:val="16"/>
                <w:szCs w:val="16"/>
                <w:color w:val="auto"/>
              </w:rPr>
              <w:t>1,469,271</w:t>
            </w:r>
          </w:p>
        </w:tc>
      </w:tr>
      <w:tr>
        <w:trPr>
          <w:trHeight w:val="228"/>
        </w:trPr>
        <w:tc>
          <w:tcPr>
            <w:tcW w:w="400" w:type="dxa"/>
            <w:vAlign w:val="bottom"/>
          </w:tcPr>
          <w:p>
            <w:pPr>
              <w:spacing w:after="0"/>
              <w:rPr>
                <w:sz w:val="19"/>
                <w:szCs w:val="19"/>
                <w:color w:val="auto"/>
              </w:rPr>
            </w:pPr>
          </w:p>
        </w:tc>
        <w:tc>
          <w:tcPr>
            <w:tcW w:w="2900" w:type="dxa"/>
            <w:vAlign w:val="bottom"/>
          </w:tcPr>
          <w:p>
            <w:pPr>
              <w:ind w:left="120"/>
              <w:spacing w:after="0"/>
              <w:rPr>
                <w:sz w:val="20"/>
                <w:szCs w:val="20"/>
                <w:color w:val="auto"/>
              </w:rPr>
            </w:pPr>
            <w:r>
              <w:rPr>
                <w:rFonts w:ascii="Arial" w:cs="Arial" w:eastAsia="Arial" w:hAnsi="Arial"/>
                <w:sz w:val="16"/>
                <w:szCs w:val="16"/>
                <w:color w:val="auto"/>
              </w:rPr>
              <w:t>Vanguard</w:t>
            </w:r>
          </w:p>
        </w:tc>
        <w:tc>
          <w:tcPr>
            <w:tcW w:w="6300" w:type="dxa"/>
            <w:vAlign w:val="bottom"/>
          </w:tcPr>
          <w:p>
            <w:pPr>
              <w:spacing w:after="0"/>
              <w:rPr>
                <w:sz w:val="20"/>
                <w:szCs w:val="20"/>
                <w:color w:val="auto"/>
              </w:rPr>
            </w:pPr>
            <w:r>
              <w:rPr>
                <w:rFonts w:ascii="Arial" w:cs="Arial" w:eastAsia="Arial" w:hAnsi="Arial"/>
                <w:sz w:val="16"/>
                <w:szCs w:val="16"/>
                <w:color w:val="auto"/>
              </w:rPr>
              <w:t>Vanguard Target Retirement Income Fund</w:t>
            </w:r>
          </w:p>
        </w:tc>
        <w:tc>
          <w:tcPr>
            <w:tcW w:w="220" w:type="dxa"/>
            <w:vAlign w:val="bottom"/>
          </w:tcPr>
          <w:p>
            <w:pPr>
              <w:spacing w:after="0"/>
              <w:rPr>
                <w:sz w:val="19"/>
                <w:szCs w:val="19"/>
                <w:color w:val="auto"/>
              </w:rPr>
            </w:pPr>
          </w:p>
        </w:tc>
        <w:tc>
          <w:tcPr>
            <w:tcW w:w="1440" w:type="dxa"/>
            <w:vAlign w:val="bottom"/>
          </w:tcPr>
          <w:p>
            <w:pPr>
              <w:jc w:val="right"/>
              <w:ind w:right="59"/>
              <w:spacing w:after="0"/>
              <w:rPr>
                <w:sz w:val="20"/>
                <w:szCs w:val="20"/>
                <w:color w:val="auto"/>
              </w:rPr>
            </w:pPr>
            <w:r>
              <w:rPr>
                <w:rFonts w:ascii="Arial" w:cs="Arial" w:eastAsia="Arial" w:hAnsi="Arial"/>
                <w:sz w:val="16"/>
                <w:szCs w:val="16"/>
                <w:color w:val="auto"/>
              </w:rPr>
              <w:t>1,863,831</w:t>
            </w:r>
          </w:p>
        </w:tc>
      </w:tr>
      <w:tr>
        <w:trPr>
          <w:trHeight w:val="29"/>
        </w:trPr>
        <w:tc>
          <w:tcPr>
            <w:tcW w:w="400" w:type="dxa"/>
            <w:vAlign w:val="bottom"/>
          </w:tcPr>
          <w:p>
            <w:pPr>
              <w:spacing w:after="0"/>
              <w:rPr>
                <w:sz w:val="2"/>
                <w:szCs w:val="2"/>
                <w:color w:val="auto"/>
              </w:rPr>
            </w:pPr>
          </w:p>
        </w:tc>
        <w:tc>
          <w:tcPr>
            <w:tcW w:w="2900" w:type="dxa"/>
            <w:vAlign w:val="bottom"/>
          </w:tcPr>
          <w:p>
            <w:pPr>
              <w:spacing w:after="0"/>
              <w:rPr>
                <w:sz w:val="2"/>
                <w:szCs w:val="2"/>
                <w:color w:val="auto"/>
              </w:rPr>
            </w:pPr>
          </w:p>
        </w:tc>
        <w:tc>
          <w:tcPr>
            <w:tcW w:w="6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43"/>
        </w:trPr>
        <w:tc>
          <w:tcPr>
            <w:tcW w:w="400" w:type="dxa"/>
            <w:vAlign w:val="bottom"/>
            <w:shd w:val="clear" w:color="auto" w:fill="DBDBDB"/>
          </w:tcPr>
          <w:p>
            <w:pPr>
              <w:spacing w:after="0"/>
              <w:rPr>
                <w:sz w:val="21"/>
                <w:szCs w:val="21"/>
                <w:color w:val="auto"/>
              </w:rPr>
            </w:pPr>
          </w:p>
        </w:tc>
        <w:tc>
          <w:tcPr>
            <w:tcW w:w="2900" w:type="dxa"/>
            <w:vAlign w:val="bottom"/>
            <w:shd w:val="clear" w:color="auto" w:fill="DBDBDB"/>
          </w:tcPr>
          <w:p>
            <w:pPr>
              <w:ind w:left="120"/>
              <w:spacing w:after="0"/>
              <w:rPr>
                <w:sz w:val="20"/>
                <w:szCs w:val="20"/>
                <w:color w:val="auto"/>
              </w:rPr>
            </w:pPr>
            <w:r>
              <w:rPr>
                <w:rFonts w:ascii="Arial" w:cs="Arial" w:eastAsia="Arial" w:hAnsi="Arial"/>
                <w:sz w:val="16"/>
                <w:szCs w:val="16"/>
                <w:color w:val="auto"/>
              </w:rPr>
              <w:t>Vanguard</w:t>
            </w:r>
          </w:p>
        </w:tc>
        <w:tc>
          <w:tcPr>
            <w:tcW w:w="6300" w:type="dxa"/>
            <w:vAlign w:val="bottom"/>
            <w:shd w:val="clear" w:color="auto" w:fill="DBDBDB"/>
          </w:tcPr>
          <w:p>
            <w:pPr>
              <w:spacing w:after="0"/>
              <w:rPr>
                <w:sz w:val="20"/>
                <w:szCs w:val="20"/>
                <w:color w:val="auto"/>
              </w:rPr>
            </w:pPr>
            <w:r>
              <w:rPr>
                <w:rFonts w:ascii="Arial" w:cs="Arial" w:eastAsia="Arial" w:hAnsi="Arial"/>
                <w:sz w:val="16"/>
                <w:szCs w:val="16"/>
                <w:color w:val="auto"/>
              </w:rPr>
              <w:t>Vanguard Target Retirement 2020 Fund Investor Shares</w:t>
            </w:r>
          </w:p>
        </w:tc>
        <w:tc>
          <w:tcPr>
            <w:tcW w:w="220" w:type="dxa"/>
            <w:vAlign w:val="bottom"/>
            <w:shd w:val="clear" w:color="auto" w:fill="DBDBDB"/>
          </w:tcPr>
          <w:p>
            <w:pPr>
              <w:spacing w:after="0"/>
              <w:rPr>
                <w:sz w:val="21"/>
                <w:szCs w:val="21"/>
                <w:color w:val="auto"/>
              </w:rPr>
            </w:pPr>
          </w:p>
        </w:tc>
        <w:tc>
          <w:tcPr>
            <w:tcW w:w="1440" w:type="dxa"/>
            <w:vAlign w:val="bottom"/>
            <w:shd w:val="clear" w:color="auto" w:fill="DBDBDB"/>
          </w:tcPr>
          <w:p>
            <w:pPr>
              <w:jc w:val="right"/>
              <w:ind w:right="59"/>
              <w:spacing w:after="0"/>
              <w:rPr>
                <w:sz w:val="20"/>
                <w:szCs w:val="20"/>
                <w:color w:val="auto"/>
              </w:rPr>
            </w:pPr>
            <w:r>
              <w:rPr>
                <w:rFonts w:ascii="Arial" w:cs="Arial" w:eastAsia="Arial" w:hAnsi="Arial"/>
                <w:sz w:val="16"/>
                <w:szCs w:val="16"/>
                <w:color w:val="auto"/>
              </w:rPr>
              <w:t>6,013,861</w:t>
            </w:r>
          </w:p>
        </w:tc>
      </w:tr>
      <w:tr>
        <w:trPr>
          <w:trHeight w:val="235"/>
        </w:trPr>
        <w:tc>
          <w:tcPr>
            <w:tcW w:w="400" w:type="dxa"/>
            <w:vAlign w:val="bottom"/>
          </w:tcPr>
          <w:p>
            <w:pPr>
              <w:spacing w:after="0"/>
              <w:rPr>
                <w:sz w:val="20"/>
                <w:szCs w:val="20"/>
                <w:color w:val="auto"/>
              </w:rPr>
            </w:pPr>
          </w:p>
        </w:tc>
        <w:tc>
          <w:tcPr>
            <w:tcW w:w="2900" w:type="dxa"/>
            <w:vAlign w:val="bottom"/>
          </w:tcPr>
          <w:p>
            <w:pPr>
              <w:ind w:left="120"/>
              <w:spacing w:after="0"/>
              <w:rPr>
                <w:sz w:val="20"/>
                <w:szCs w:val="20"/>
                <w:color w:val="auto"/>
              </w:rPr>
            </w:pPr>
            <w:r>
              <w:rPr>
                <w:rFonts w:ascii="Arial" w:cs="Arial" w:eastAsia="Arial" w:hAnsi="Arial"/>
                <w:sz w:val="16"/>
                <w:szCs w:val="16"/>
                <w:color w:val="auto"/>
              </w:rPr>
              <w:t>Vanguard</w:t>
            </w:r>
          </w:p>
        </w:tc>
        <w:tc>
          <w:tcPr>
            <w:tcW w:w="6300" w:type="dxa"/>
            <w:vAlign w:val="bottom"/>
          </w:tcPr>
          <w:p>
            <w:pPr>
              <w:spacing w:after="0"/>
              <w:rPr>
                <w:sz w:val="20"/>
                <w:szCs w:val="20"/>
                <w:color w:val="auto"/>
              </w:rPr>
            </w:pPr>
            <w:r>
              <w:rPr>
                <w:rFonts w:ascii="Arial" w:cs="Arial" w:eastAsia="Arial" w:hAnsi="Arial"/>
                <w:sz w:val="16"/>
                <w:szCs w:val="16"/>
                <w:color w:val="auto"/>
              </w:rPr>
              <w:t>Vanguard Target Retirement 2025 Fund Investor Shares</w:t>
            </w:r>
          </w:p>
        </w:tc>
        <w:tc>
          <w:tcPr>
            <w:tcW w:w="220" w:type="dxa"/>
            <w:vAlign w:val="bottom"/>
          </w:tcPr>
          <w:p>
            <w:pPr>
              <w:spacing w:after="0"/>
              <w:rPr>
                <w:sz w:val="20"/>
                <w:szCs w:val="20"/>
                <w:color w:val="auto"/>
              </w:rPr>
            </w:pPr>
          </w:p>
        </w:tc>
        <w:tc>
          <w:tcPr>
            <w:tcW w:w="1440" w:type="dxa"/>
            <w:vAlign w:val="bottom"/>
          </w:tcPr>
          <w:p>
            <w:pPr>
              <w:jc w:val="right"/>
              <w:ind w:right="59"/>
              <w:spacing w:after="0"/>
              <w:rPr>
                <w:sz w:val="20"/>
                <w:szCs w:val="20"/>
                <w:color w:val="auto"/>
              </w:rPr>
            </w:pPr>
            <w:r>
              <w:rPr>
                <w:rFonts w:ascii="Arial" w:cs="Arial" w:eastAsia="Arial" w:hAnsi="Arial"/>
                <w:sz w:val="16"/>
                <w:szCs w:val="16"/>
                <w:color w:val="auto"/>
              </w:rPr>
              <w:t>20,141,923</w:t>
            </w:r>
          </w:p>
        </w:tc>
      </w:tr>
      <w:tr>
        <w:trPr>
          <w:trHeight w:val="244"/>
        </w:trPr>
        <w:tc>
          <w:tcPr>
            <w:tcW w:w="400" w:type="dxa"/>
            <w:vAlign w:val="bottom"/>
            <w:tcBorders>
              <w:bottom w:val="single" w:sz="8" w:color="DBDBDB"/>
            </w:tcBorders>
            <w:shd w:val="clear" w:color="auto" w:fill="DBDBDB"/>
          </w:tcPr>
          <w:p>
            <w:pPr>
              <w:spacing w:after="0"/>
              <w:rPr>
                <w:sz w:val="21"/>
                <w:szCs w:val="21"/>
                <w:color w:val="auto"/>
              </w:rPr>
            </w:pPr>
          </w:p>
        </w:tc>
        <w:tc>
          <w:tcPr>
            <w:tcW w:w="2900" w:type="dxa"/>
            <w:vAlign w:val="bottom"/>
            <w:tcBorders>
              <w:bottom w:val="single" w:sz="8" w:color="DBDBDB"/>
            </w:tcBorders>
            <w:shd w:val="clear" w:color="auto" w:fill="DBDBDB"/>
          </w:tcPr>
          <w:p>
            <w:pPr>
              <w:ind w:left="120"/>
              <w:spacing w:after="0"/>
              <w:rPr>
                <w:sz w:val="20"/>
                <w:szCs w:val="20"/>
                <w:color w:val="auto"/>
              </w:rPr>
            </w:pPr>
            <w:r>
              <w:rPr>
                <w:rFonts w:ascii="Arial" w:cs="Arial" w:eastAsia="Arial" w:hAnsi="Arial"/>
                <w:sz w:val="16"/>
                <w:szCs w:val="16"/>
                <w:color w:val="auto"/>
              </w:rPr>
              <w:t>Vanguard</w:t>
            </w:r>
          </w:p>
        </w:tc>
        <w:tc>
          <w:tcPr>
            <w:tcW w:w="6300" w:type="dxa"/>
            <w:vAlign w:val="bottom"/>
            <w:tcBorders>
              <w:bottom w:val="single" w:sz="8" w:color="DBDBDB"/>
            </w:tcBorders>
            <w:shd w:val="clear" w:color="auto" w:fill="DBDBDB"/>
          </w:tcPr>
          <w:p>
            <w:pPr>
              <w:spacing w:after="0"/>
              <w:rPr>
                <w:sz w:val="20"/>
                <w:szCs w:val="20"/>
                <w:color w:val="auto"/>
              </w:rPr>
            </w:pPr>
            <w:r>
              <w:rPr>
                <w:rFonts w:ascii="Arial" w:cs="Arial" w:eastAsia="Arial" w:hAnsi="Arial"/>
                <w:sz w:val="16"/>
                <w:szCs w:val="16"/>
                <w:color w:val="auto"/>
              </w:rPr>
              <w:t>Vanguard Target Retirement 2030 Fund Investor Shares</w:t>
            </w:r>
          </w:p>
        </w:tc>
        <w:tc>
          <w:tcPr>
            <w:tcW w:w="220" w:type="dxa"/>
            <w:vAlign w:val="bottom"/>
            <w:tcBorders>
              <w:bottom w:val="single" w:sz="8" w:color="DBDBDB"/>
            </w:tcBorders>
            <w:shd w:val="clear" w:color="auto" w:fill="DBDBDB"/>
          </w:tcPr>
          <w:p>
            <w:pPr>
              <w:spacing w:after="0"/>
              <w:rPr>
                <w:sz w:val="21"/>
                <w:szCs w:val="21"/>
                <w:color w:val="auto"/>
              </w:rPr>
            </w:pPr>
          </w:p>
        </w:tc>
        <w:tc>
          <w:tcPr>
            <w:tcW w:w="1440" w:type="dxa"/>
            <w:vAlign w:val="bottom"/>
            <w:tcBorders>
              <w:bottom w:val="single" w:sz="8" w:color="DBDBDB"/>
            </w:tcBorders>
            <w:shd w:val="clear" w:color="auto" w:fill="DBDBDB"/>
          </w:tcPr>
          <w:p>
            <w:pPr>
              <w:jc w:val="right"/>
              <w:ind w:right="59"/>
              <w:spacing w:after="0"/>
              <w:rPr>
                <w:sz w:val="20"/>
                <w:szCs w:val="20"/>
                <w:color w:val="auto"/>
              </w:rPr>
            </w:pPr>
            <w:r>
              <w:rPr>
                <w:rFonts w:ascii="Arial" w:cs="Arial" w:eastAsia="Arial" w:hAnsi="Arial"/>
                <w:sz w:val="16"/>
                <w:szCs w:val="16"/>
                <w:color w:val="auto"/>
              </w:rPr>
              <w:t>32,027,563</w:t>
            </w:r>
          </w:p>
        </w:tc>
      </w:tr>
      <w:tr>
        <w:trPr>
          <w:trHeight w:val="235"/>
        </w:trPr>
        <w:tc>
          <w:tcPr>
            <w:tcW w:w="400" w:type="dxa"/>
            <w:vAlign w:val="bottom"/>
          </w:tcPr>
          <w:p>
            <w:pPr>
              <w:spacing w:after="0"/>
              <w:rPr>
                <w:sz w:val="20"/>
                <w:szCs w:val="20"/>
                <w:color w:val="auto"/>
              </w:rPr>
            </w:pPr>
          </w:p>
        </w:tc>
        <w:tc>
          <w:tcPr>
            <w:tcW w:w="2900" w:type="dxa"/>
            <w:vAlign w:val="bottom"/>
          </w:tcPr>
          <w:p>
            <w:pPr>
              <w:ind w:left="120"/>
              <w:spacing w:after="0"/>
              <w:rPr>
                <w:sz w:val="20"/>
                <w:szCs w:val="20"/>
                <w:color w:val="auto"/>
              </w:rPr>
            </w:pPr>
            <w:r>
              <w:rPr>
                <w:rFonts w:ascii="Arial" w:cs="Arial" w:eastAsia="Arial" w:hAnsi="Arial"/>
                <w:sz w:val="16"/>
                <w:szCs w:val="16"/>
                <w:color w:val="auto"/>
              </w:rPr>
              <w:t>Vanguard</w:t>
            </w:r>
          </w:p>
        </w:tc>
        <w:tc>
          <w:tcPr>
            <w:tcW w:w="6300" w:type="dxa"/>
            <w:vAlign w:val="bottom"/>
          </w:tcPr>
          <w:p>
            <w:pPr>
              <w:spacing w:after="0"/>
              <w:rPr>
                <w:sz w:val="20"/>
                <w:szCs w:val="20"/>
                <w:color w:val="auto"/>
              </w:rPr>
            </w:pPr>
            <w:r>
              <w:rPr>
                <w:rFonts w:ascii="Arial" w:cs="Arial" w:eastAsia="Arial" w:hAnsi="Arial"/>
                <w:sz w:val="16"/>
                <w:szCs w:val="16"/>
                <w:color w:val="auto"/>
              </w:rPr>
              <w:t>Vanguard Target Retirement 2035 Fund Investor Shares</w:t>
            </w:r>
          </w:p>
        </w:tc>
        <w:tc>
          <w:tcPr>
            <w:tcW w:w="220" w:type="dxa"/>
            <w:vAlign w:val="bottom"/>
          </w:tcPr>
          <w:p>
            <w:pPr>
              <w:spacing w:after="0"/>
              <w:rPr>
                <w:sz w:val="20"/>
                <w:szCs w:val="20"/>
                <w:color w:val="auto"/>
              </w:rPr>
            </w:pPr>
          </w:p>
        </w:tc>
        <w:tc>
          <w:tcPr>
            <w:tcW w:w="1440" w:type="dxa"/>
            <w:vAlign w:val="bottom"/>
          </w:tcPr>
          <w:p>
            <w:pPr>
              <w:jc w:val="right"/>
              <w:ind w:right="59"/>
              <w:spacing w:after="0"/>
              <w:rPr>
                <w:sz w:val="20"/>
                <w:szCs w:val="20"/>
                <w:color w:val="auto"/>
              </w:rPr>
            </w:pPr>
            <w:r>
              <w:rPr>
                <w:rFonts w:ascii="Arial" w:cs="Arial" w:eastAsia="Arial" w:hAnsi="Arial"/>
                <w:sz w:val="16"/>
                <w:szCs w:val="16"/>
                <w:color w:val="auto"/>
              </w:rPr>
              <w:t>42,236,163</w:t>
            </w:r>
          </w:p>
        </w:tc>
      </w:tr>
      <w:tr>
        <w:trPr>
          <w:trHeight w:val="244"/>
        </w:trPr>
        <w:tc>
          <w:tcPr>
            <w:tcW w:w="400" w:type="dxa"/>
            <w:vAlign w:val="bottom"/>
            <w:tcBorders>
              <w:bottom w:val="single" w:sz="8" w:color="DBDBDB"/>
            </w:tcBorders>
            <w:shd w:val="clear" w:color="auto" w:fill="DBDBDB"/>
          </w:tcPr>
          <w:p>
            <w:pPr>
              <w:spacing w:after="0"/>
              <w:rPr>
                <w:sz w:val="21"/>
                <w:szCs w:val="21"/>
                <w:color w:val="auto"/>
              </w:rPr>
            </w:pPr>
          </w:p>
        </w:tc>
        <w:tc>
          <w:tcPr>
            <w:tcW w:w="2900" w:type="dxa"/>
            <w:vAlign w:val="bottom"/>
            <w:tcBorders>
              <w:bottom w:val="single" w:sz="8" w:color="DBDBDB"/>
            </w:tcBorders>
            <w:shd w:val="clear" w:color="auto" w:fill="DBDBDB"/>
          </w:tcPr>
          <w:p>
            <w:pPr>
              <w:ind w:left="120"/>
              <w:spacing w:after="0"/>
              <w:rPr>
                <w:sz w:val="20"/>
                <w:szCs w:val="20"/>
                <w:color w:val="auto"/>
              </w:rPr>
            </w:pPr>
            <w:r>
              <w:rPr>
                <w:rFonts w:ascii="Arial" w:cs="Arial" w:eastAsia="Arial" w:hAnsi="Arial"/>
                <w:sz w:val="16"/>
                <w:szCs w:val="16"/>
                <w:color w:val="auto"/>
              </w:rPr>
              <w:t>Vanguard</w:t>
            </w:r>
          </w:p>
        </w:tc>
        <w:tc>
          <w:tcPr>
            <w:tcW w:w="6300" w:type="dxa"/>
            <w:vAlign w:val="bottom"/>
            <w:tcBorders>
              <w:bottom w:val="single" w:sz="8" w:color="DBDBDB"/>
            </w:tcBorders>
            <w:shd w:val="clear" w:color="auto" w:fill="DBDBDB"/>
          </w:tcPr>
          <w:p>
            <w:pPr>
              <w:spacing w:after="0"/>
              <w:rPr>
                <w:sz w:val="20"/>
                <w:szCs w:val="20"/>
                <w:color w:val="auto"/>
              </w:rPr>
            </w:pPr>
            <w:r>
              <w:rPr>
                <w:rFonts w:ascii="Arial" w:cs="Arial" w:eastAsia="Arial" w:hAnsi="Arial"/>
                <w:sz w:val="16"/>
                <w:szCs w:val="16"/>
                <w:color w:val="auto"/>
              </w:rPr>
              <w:t>Vanguard Target Retirement 2040 Fund Investor Shares</w:t>
            </w:r>
          </w:p>
        </w:tc>
        <w:tc>
          <w:tcPr>
            <w:tcW w:w="220" w:type="dxa"/>
            <w:vAlign w:val="bottom"/>
            <w:tcBorders>
              <w:bottom w:val="single" w:sz="8" w:color="DBDBDB"/>
            </w:tcBorders>
            <w:shd w:val="clear" w:color="auto" w:fill="DBDBDB"/>
          </w:tcPr>
          <w:p>
            <w:pPr>
              <w:spacing w:after="0"/>
              <w:rPr>
                <w:sz w:val="21"/>
                <w:szCs w:val="21"/>
                <w:color w:val="auto"/>
              </w:rPr>
            </w:pPr>
          </w:p>
        </w:tc>
        <w:tc>
          <w:tcPr>
            <w:tcW w:w="1440" w:type="dxa"/>
            <w:vAlign w:val="bottom"/>
            <w:tcBorders>
              <w:bottom w:val="single" w:sz="8" w:color="DBDBDB"/>
            </w:tcBorders>
            <w:shd w:val="clear" w:color="auto" w:fill="DBDBDB"/>
          </w:tcPr>
          <w:p>
            <w:pPr>
              <w:jc w:val="right"/>
              <w:ind w:right="59"/>
              <w:spacing w:after="0"/>
              <w:rPr>
                <w:sz w:val="20"/>
                <w:szCs w:val="20"/>
                <w:color w:val="auto"/>
              </w:rPr>
            </w:pPr>
            <w:r>
              <w:rPr>
                <w:rFonts w:ascii="Arial" w:cs="Arial" w:eastAsia="Arial" w:hAnsi="Arial"/>
                <w:sz w:val="16"/>
                <w:szCs w:val="16"/>
                <w:color w:val="auto"/>
              </w:rPr>
              <w:t>33,198,072</w:t>
            </w:r>
          </w:p>
        </w:tc>
      </w:tr>
      <w:tr>
        <w:trPr>
          <w:trHeight w:val="235"/>
        </w:trPr>
        <w:tc>
          <w:tcPr>
            <w:tcW w:w="400" w:type="dxa"/>
            <w:vAlign w:val="bottom"/>
          </w:tcPr>
          <w:p>
            <w:pPr>
              <w:spacing w:after="0"/>
              <w:rPr>
                <w:sz w:val="20"/>
                <w:szCs w:val="20"/>
                <w:color w:val="auto"/>
              </w:rPr>
            </w:pPr>
          </w:p>
        </w:tc>
        <w:tc>
          <w:tcPr>
            <w:tcW w:w="2900" w:type="dxa"/>
            <w:vAlign w:val="bottom"/>
          </w:tcPr>
          <w:p>
            <w:pPr>
              <w:ind w:left="120"/>
              <w:spacing w:after="0"/>
              <w:rPr>
                <w:sz w:val="20"/>
                <w:szCs w:val="20"/>
                <w:color w:val="auto"/>
              </w:rPr>
            </w:pPr>
            <w:r>
              <w:rPr>
                <w:rFonts w:ascii="Arial" w:cs="Arial" w:eastAsia="Arial" w:hAnsi="Arial"/>
                <w:sz w:val="16"/>
                <w:szCs w:val="16"/>
                <w:color w:val="auto"/>
              </w:rPr>
              <w:t>Vanguard</w:t>
            </w:r>
          </w:p>
        </w:tc>
        <w:tc>
          <w:tcPr>
            <w:tcW w:w="6300" w:type="dxa"/>
            <w:vAlign w:val="bottom"/>
          </w:tcPr>
          <w:p>
            <w:pPr>
              <w:spacing w:after="0"/>
              <w:rPr>
                <w:sz w:val="20"/>
                <w:szCs w:val="20"/>
                <w:color w:val="auto"/>
              </w:rPr>
            </w:pPr>
            <w:r>
              <w:rPr>
                <w:rFonts w:ascii="Arial" w:cs="Arial" w:eastAsia="Arial" w:hAnsi="Arial"/>
                <w:sz w:val="16"/>
                <w:szCs w:val="16"/>
                <w:color w:val="auto"/>
              </w:rPr>
              <w:t>Vanguard Target Retirement 2045 Fund Investor Shares</w:t>
            </w:r>
          </w:p>
        </w:tc>
        <w:tc>
          <w:tcPr>
            <w:tcW w:w="220" w:type="dxa"/>
            <w:vAlign w:val="bottom"/>
          </w:tcPr>
          <w:p>
            <w:pPr>
              <w:spacing w:after="0"/>
              <w:rPr>
                <w:sz w:val="20"/>
                <w:szCs w:val="20"/>
                <w:color w:val="auto"/>
              </w:rPr>
            </w:pPr>
          </w:p>
        </w:tc>
        <w:tc>
          <w:tcPr>
            <w:tcW w:w="1440" w:type="dxa"/>
            <w:vAlign w:val="bottom"/>
          </w:tcPr>
          <w:p>
            <w:pPr>
              <w:jc w:val="right"/>
              <w:ind w:right="59"/>
              <w:spacing w:after="0"/>
              <w:rPr>
                <w:sz w:val="20"/>
                <w:szCs w:val="20"/>
                <w:color w:val="auto"/>
              </w:rPr>
            </w:pPr>
            <w:r>
              <w:rPr>
                <w:rFonts w:ascii="Arial" w:cs="Arial" w:eastAsia="Arial" w:hAnsi="Arial"/>
                <w:sz w:val="16"/>
                <w:szCs w:val="16"/>
                <w:color w:val="auto"/>
              </w:rPr>
              <w:t>33,214,631</w:t>
            </w:r>
          </w:p>
        </w:tc>
      </w:tr>
      <w:tr>
        <w:trPr>
          <w:trHeight w:val="251"/>
        </w:trPr>
        <w:tc>
          <w:tcPr>
            <w:tcW w:w="400" w:type="dxa"/>
            <w:vAlign w:val="bottom"/>
            <w:shd w:val="clear" w:color="auto" w:fill="DBDBDB"/>
          </w:tcPr>
          <w:p>
            <w:pPr>
              <w:spacing w:after="0"/>
              <w:rPr>
                <w:sz w:val="21"/>
                <w:szCs w:val="21"/>
                <w:color w:val="auto"/>
              </w:rPr>
            </w:pPr>
          </w:p>
        </w:tc>
        <w:tc>
          <w:tcPr>
            <w:tcW w:w="2900" w:type="dxa"/>
            <w:vAlign w:val="bottom"/>
            <w:shd w:val="clear" w:color="auto" w:fill="DBDBDB"/>
          </w:tcPr>
          <w:p>
            <w:pPr>
              <w:ind w:left="120"/>
              <w:spacing w:after="0"/>
              <w:rPr>
                <w:sz w:val="20"/>
                <w:szCs w:val="20"/>
                <w:color w:val="auto"/>
              </w:rPr>
            </w:pPr>
            <w:r>
              <w:rPr>
                <w:rFonts w:ascii="Arial" w:cs="Arial" w:eastAsia="Arial" w:hAnsi="Arial"/>
                <w:sz w:val="16"/>
                <w:szCs w:val="16"/>
                <w:color w:val="auto"/>
              </w:rPr>
              <w:t>Vanguard</w:t>
            </w:r>
          </w:p>
        </w:tc>
        <w:tc>
          <w:tcPr>
            <w:tcW w:w="6300" w:type="dxa"/>
            <w:vAlign w:val="bottom"/>
            <w:shd w:val="clear" w:color="auto" w:fill="DBDBDB"/>
          </w:tcPr>
          <w:p>
            <w:pPr>
              <w:spacing w:after="0"/>
              <w:rPr>
                <w:sz w:val="20"/>
                <w:szCs w:val="20"/>
                <w:color w:val="auto"/>
              </w:rPr>
            </w:pPr>
            <w:r>
              <w:rPr>
                <w:rFonts w:ascii="Arial" w:cs="Arial" w:eastAsia="Arial" w:hAnsi="Arial"/>
                <w:sz w:val="16"/>
                <w:szCs w:val="16"/>
                <w:color w:val="auto"/>
              </w:rPr>
              <w:t>Vanguard Target Retirement 2050 Fund Investor Shares</w:t>
            </w:r>
          </w:p>
        </w:tc>
        <w:tc>
          <w:tcPr>
            <w:tcW w:w="220" w:type="dxa"/>
            <w:vAlign w:val="bottom"/>
            <w:shd w:val="clear" w:color="auto" w:fill="DBDBDB"/>
          </w:tcPr>
          <w:p>
            <w:pPr>
              <w:spacing w:after="0"/>
              <w:rPr>
                <w:sz w:val="21"/>
                <w:szCs w:val="21"/>
                <w:color w:val="auto"/>
              </w:rPr>
            </w:pPr>
          </w:p>
        </w:tc>
        <w:tc>
          <w:tcPr>
            <w:tcW w:w="1440" w:type="dxa"/>
            <w:vAlign w:val="bottom"/>
            <w:shd w:val="clear" w:color="auto" w:fill="DBDBDB"/>
          </w:tcPr>
          <w:p>
            <w:pPr>
              <w:jc w:val="right"/>
              <w:ind w:right="59"/>
              <w:spacing w:after="0"/>
              <w:rPr>
                <w:sz w:val="20"/>
                <w:szCs w:val="20"/>
                <w:color w:val="auto"/>
              </w:rPr>
            </w:pPr>
            <w:r>
              <w:rPr>
                <w:rFonts w:ascii="Arial" w:cs="Arial" w:eastAsia="Arial" w:hAnsi="Arial"/>
                <w:sz w:val="16"/>
                <w:szCs w:val="16"/>
                <w:color w:val="auto"/>
              </w:rPr>
              <w:t>30,255,387</w:t>
            </w:r>
          </w:p>
        </w:tc>
      </w:tr>
      <w:tr>
        <w:trPr>
          <w:trHeight w:val="228"/>
        </w:trPr>
        <w:tc>
          <w:tcPr>
            <w:tcW w:w="400" w:type="dxa"/>
            <w:vAlign w:val="bottom"/>
          </w:tcPr>
          <w:p>
            <w:pPr>
              <w:spacing w:after="0"/>
              <w:rPr>
                <w:sz w:val="19"/>
                <w:szCs w:val="19"/>
                <w:color w:val="auto"/>
              </w:rPr>
            </w:pPr>
          </w:p>
        </w:tc>
        <w:tc>
          <w:tcPr>
            <w:tcW w:w="2900" w:type="dxa"/>
            <w:vAlign w:val="bottom"/>
          </w:tcPr>
          <w:p>
            <w:pPr>
              <w:ind w:left="120"/>
              <w:spacing w:after="0"/>
              <w:rPr>
                <w:sz w:val="20"/>
                <w:szCs w:val="20"/>
                <w:color w:val="auto"/>
              </w:rPr>
            </w:pPr>
            <w:r>
              <w:rPr>
                <w:rFonts w:ascii="Arial" w:cs="Arial" w:eastAsia="Arial" w:hAnsi="Arial"/>
                <w:sz w:val="16"/>
                <w:szCs w:val="16"/>
                <w:color w:val="auto"/>
              </w:rPr>
              <w:t>Vanguard</w:t>
            </w:r>
          </w:p>
        </w:tc>
        <w:tc>
          <w:tcPr>
            <w:tcW w:w="6300" w:type="dxa"/>
            <w:vAlign w:val="bottom"/>
          </w:tcPr>
          <w:p>
            <w:pPr>
              <w:spacing w:after="0"/>
              <w:rPr>
                <w:sz w:val="20"/>
                <w:szCs w:val="20"/>
                <w:color w:val="auto"/>
              </w:rPr>
            </w:pPr>
            <w:r>
              <w:rPr>
                <w:rFonts w:ascii="Arial" w:cs="Arial" w:eastAsia="Arial" w:hAnsi="Arial"/>
                <w:sz w:val="16"/>
                <w:szCs w:val="16"/>
                <w:color w:val="auto"/>
              </w:rPr>
              <w:t>Vanguard Target Retirement 2055 Fund Investor Shares</w:t>
            </w:r>
          </w:p>
        </w:tc>
        <w:tc>
          <w:tcPr>
            <w:tcW w:w="220" w:type="dxa"/>
            <w:vAlign w:val="bottom"/>
          </w:tcPr>
          <w:p>
            <w:pPr>
              <w:spacing w:after="0"/>
              <w:rPr>
                <w:sz w:val="19"/>
                <w:szCs w:val="19"/>
                <w:color w:val="auto"/>
              </w:rPr>
            </w:pPr>
          </w:p>
        </w:tc>
        <w:tc>
          <w:tcPr>
            <w:tcW w:w="1440" w:type="dxa"/>
            <w:vAlign w:val="bottom"/>
          </w:tcPr>
          <w:p>
            <w:pPr>
              <w:jc w:val="right"/>
              <w:ind w:right="59"/>
              <w:spacing w:after="0"/>
              <w:rPr>
                <w:sz w:val="20"/>
                <w:szCs w:val="20"/>
                <w:color w:val="auto"/>
              </w:rPr>
            </w:pPr>
            <w:r>
              <w:rPr>
                <w:rFonts w:ascii="Arial" w:cs="Arial" w:eastAsia="Arial" w:hAnsi="Arial"/>
                <w:sz w:val="16"/>
                <w:szCs w:val="16"/>
                <w:color w:val="auto"/>
              </w:rPr>
              <w:t>18,464,242</w:t>
            </w:r>
          </w:p>
        </w:tc>
      </w:tr>
      <w:tr>
        <w:trPr>
          <w:trHeight w:val="29"/>
        </w:trPr>
        <w:tc>
          <w:tcPr>
            <w:tcW w:w="400" w:type="dxa"/>
            <w:vAlign w:val="bottom"/>
          </w:tcPr>
          <w:p>
            <w:pPr>
              <w:spacing w:after="0"/>
              <w:rPr>
                <w:sz w:val="2"/>
                <w:szCs w:val="2"/>
                <w:color w:val="auto"/>
              </w:rPr>
            </w:pPr>
          </w:p>
        </w:tc>
        <w:tc>
          <w:tcPr>
            <w:tcW w:w="2900" w:type="dxa"/>
            <w:vAlign w:val="bottom"/>
          </w:tcPr>
          <w:p>
            <w:pPr>
              <w:spacing w:after="0"/>
              <w:rPr>
                <w:sz w:val="2"/>
                <w:szCs w:val="2"/>
                <w:color w:val="auto"/>
              </w:rPr>
            </w:pPr>
          </w:p>
        </w:tc>
        <w:tc>
          <w:tcPr>
            <w:tcW w:w="6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43"/>
        </w:trPr>
        <w:tc>
          <w:tcPr>
            <w:tcW w:w="400" w:type="dxa"/>
            <w:vAlign w:val="bottom"/>
            <w:shd w:val="clear" w:color="auto" w:fill="DBDBDB"/>
          </w:tcPr>
          <w:p>
            <w:pPr>
              <w:spacing w:after="0"/>
              <w:rPr>
                <w:sz w:val="21"/>
                <w:szCs w:val="21"/>
                <w:color w:val="auto"/>
              </w:rPr>
            </w:pPr>
          </w:p>
        </w:tc>
        <w:tc>
          <w:tcPr>
            <w:tcW w:w="2900" w:type="dxa"/>
            <w:vAlign w:val="bottom"/>
            <w:shd w:val="clear" w:color="auto" w:fill="DBDBDB"/>
          </w:tcPr>
          <w:p>
            <w:pPr>
              <w:ind w:left="120"/>
              <w:spacing w:after="0"/>
              <w:rPr>
                <w:sz w:val="20"/>
                <w:szCs w:val="20"/>
                <w:color w:val="auto"/>
              </w:rPr>
            </w:pPr>
            <w:r>
              <w:rPr>
                <w:rFonts w:ascii="Arial" w:cs="Arial" w:eastAsia="Arial" w:hAnsi="Arial"/>
                <w:sz w:val="16"/>
                <w:szCs w:val="16"/>
                <w:color w:val="auto"/>
              </w:rPr>
              <w:t>Vanguard</w:t>
            </w:r>
          </w:p>
        </w:tc>
        <w:tc>
          <w:tcPr>
            <w:tcW w:w="6300" w:type="dxa"/>
            <w:vAlign w:val="bottom"/>
            <w:shd w:val="clear" w:color="auto" w:fill="DBDBDB"/>
          </w:tcPr>
          <w:p>
            <w:pPr>
              <w:spacing w:after="0"/>
              <w:rPr>
                <w:sz w:val="20"/>
                <w:szCs w:val="20"/>
                <w:color w:val="auto"/>
              </w:rPr>
            </w:pPr>
            <w:r>
              <w:rPr>
                <w:rFonts w:ascii="Arial" w:cs="Arial" w:eastAsia="Arial" w:hAnsi="Arial"/>
                <w:sz w:val="16"/>
                <w:szCs w:val="16"/>
                <w:color w:val="auto"/>
              </w:rPr>
              <w:t>Vanguard Target Retirement 2060 Fund Investor Shares</w:t>
            </w:r>
          </w:p>
        </w:tc>
        <w:tc>
          <w:tcPr>
            <w:tcW w:w="220" w:type="dxa"/>
            <w:vAlign w:val="bottom"/>
            <w:shd w:val="clear" w:color="auto" w:fill="DBDBDB"/>
          </w:tcPr>
          <w:p>
            <w:pPr>
              <w:spacing w:after="0"/>
              <w:rPr>
                <w:sz w:val="21"/>
                <w:szCs w:val="21"/>
                <w:color w:val="auto"/>
              </w:rPr>
            </w:pPr>
          </w:p>
        </w:tc>
        <w:tc>
          <w:tcPr>
            <w:tcW w:w="1440" w:type="dxa"/>
            <w:vAlign w:val="bottom"/>
            <w:shd w:val="clear" w:color="auto" w:fill="DBDBDB"/>
          </w:tcPr>
          <w:p>
            <w:pPr>
              <w:jc w:val="right"/>
              <w:ind w:right="59"/>
              <w:spacing w:after="0"/>
              <w:rPr>
                <w:sz w:val="20"/>
                <w:szCs w:val="20"/>
                <w:color w:val="auto"/>
              </w:rPr>
            </w:pPr>
            <w:r>
              <w:rPr>
                <w:rFonts w:ascii="Arial" w:cs="Arial" w:eastAsia="Arial" w:hAnsi="Arial"/>
                <w:sz w:val="16"/>
                <w:szCs w:val="16"/>
                <w:color w:val="auto"/>
              </w:rPr>
              <w:t>13,815,086</w:t>
            </w:r>
          </w:p>
        </w:tc>
      </w:tr>
      <w:tr>
        <w:trPr>
          <w:trHeight w:val="228"/>
        </w:trPr>
        <w:tc>
          <w:tcPr>
            <w:tcW w:w="400" w:type="dxa"/>
            <w:vAlign w:val="bottom"/>
          </w:tcPr>
          <w:p>
            <w:pPr>
              <w:spacing w:after="0"/>
              <w:rPr>
                <w:sz w:val="19"/>
                <w:szCs w:val="19"/>
                <w:color w:val="auto"/>
              </w:rPr>
            </w:pPr>
          </w:p>
        </w:tc>
        <w:tc>
          <w:tcPr>
            <w:tcW w:w="2900" w:type="dxa"/>
            <w:vAlign w:val="bottom"/>
          </w:tcPr>
          <w:p>
            <w:pPr>
              <w:ind w:left="120"/>
              <w:spacing w:after="0"/>
              <w:rPr>
                <w:sz w:val="20"/>
                <w:szCs w:val="20"/>
                <w:color w:val="auto"/>
              </w:rPr>
            </w:pPr>
            <w:r>
              <w:rPr>
                <w:rFonts w:ascii="Arial" w:cs="Arial" w:eastAsia="Arial" w:hAnsi="Arial"/>
                <w:sz w:val="16"/>
                <w:szCs w:val="16"/>
                <w:color w:val="auto"/>
              </w:rPr>
              <w:t>Vanguard</w:t>
            </w:r>
          </w:p>
        </w:tc>
        <w:tc>
          <w:tcPr>
            <w:tcW w:w="6300" w:type="dxa"/>
            <w:vAlign w:val="bottom"/>
          </w:tcPr>
          <w:p>
            <w:pPr>
              <w:spacing w:after="0"/>
              <w:rPr>
                <w:sz w:val="20"/>
                <w:szCs w:val="20"/>
                <w:color w:val="auto"/>
              </w:rPr>
            </w:pPr>
            <w:r>
              <w:rPr>
                <w:rFonts w:ascii="Arial" w:cs="Arial" w:eastAsia="Arial" w:hAnsi="Arial"/>
                <w:sz w:val="16"/>
                <w:szCs w:val="16"/>
                <w:color w:val="auto"/>
              </w:rPr>
              <w:t>Vanguard Target Retirement 2065 Fund Investor Shares</w:t>
            </w:r>
          </w:p>
        </w:tc>
        <w:tc>
          <w:tcPr>
            <w:tcW w:w="220" w:type="dxa"/>
            <w:vAlign w:val="bottom"/>
          </w:tcPr>
          <w:p>
            <w:pPr>
              <w:spacing w:after="0"/>
              <w:rPr>
                <w:sz w:val="19"/>
                <w:szCs w:val="19"/>
                <w:color w:val="auto"/>
              </w:rPr>
            </w:pPr>
          </w:p>
        </w:tc>
        <w:tc>
          <w:tcPr>
            <w:tcW w:w="1440" w:type="dxa"/>
            <w:vAlign w:val="bottom"/>
          </w:tcPr>
          <w:p>
            <w:pPr>
              <w:jc w:val="right"/>
              <w:ind w:right="59"/>
              <w:spacing w:after="0"/>
              <w:rPr>
                <w:sz w:val="20"/>
                <w:szCs w:val="20"/>
                <w:color w:val="auto"/>
              </w:rPr>
            </w:pPr>
            <w:r>
              <w:rPr>
                <w:rFonts w:ascii="Arial" w:cs="Arial" w:eastAsia="Arial" w:hAnsi="Arial"/>
                <w:sz w:val="16"/>
                <w:szCs w:val="16"/>
                <w:color w:val="auto"/>
              </w:rPr>
              <w:t>4,629,738</w:t>
            </w:r>
          </w:p>
        </w:tc>
      </w:tr>
      <w:tr>
        <w:trPr>
          <w:trHeight w:val="29"/>
        </w:trPr>
        <w:tc>
          <w:tcPr>
            <w:tcW w:w="400" w:type="dxa"/>
            <w:vAlign w:val="bottom"/>
          </w:tcPr>
          <w:p>
            <w:pPr>
              <w:spacing w:after="0"/>
              <w:rPr>
                <w:sz w:val="2"/>
                <w:szCs w:val="2"/>
                <w:color w:val="auto"/>
              </w:rPr>
            </w:pPr>
          </w:p>
        </w:tc>
        <w:tc>
          <w:tcPr>
            <w:tcW w:w="2900" w:type="dxa"/>
            <w:vAlign w:val="bottom"/>
          </w:tcPr>
          <w:p>
            <w:pPr>
              <w:spacing w:after="0"/>
              <w:rPr>
                <w:sz w:val="2"/>
                <w:szCs w:val="2"/>
                <w:color w:val="auto"/>
              </w:rPr>
            </w:pPr>
          </w:p>
        </w:tc>
        <w:tc>
          <w:tcPr>
            <w:tcW w:w="6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37"/>
        </w:trPr>
        <w:tc>
          <w:tcPr>
            <w:tcW w:w="400" w:type="dxa"/>
            <w:vAlign w:val="bottom"/>
            <w:shd w:val="clear" w:color="auto" w:fill="DBDBDB"/>
          </w:tcPr>
          <w:p>
            <w:pPr>
              <w:spacing w:after="0"/>
              <w:rPr>
                <w:sz w:val="20"/>
                <w:szCs w:val="20"/>
                <w:color w:val="auto"/>
              </w:rPr>
            </w:pPr>
          </w:p>
        </w:tc>
        <w:tc>
          <w:tcPr>
            <w:tcW w:w="2900" w:type="dxa"/>
            <w:vAlign w:val="bottom"/>
            <w:shd w:val="clear" w:color="auto" w:fill="DBDBDB"/>
          </w:tcPr>
          <w:p>
            <w:pPr>
              <w:ind w:left="120"/>
              <w:spacing w:after="0"/>
              <w:rPr>
                <w:sz w:val="20"/>
                <w:szCs w:val="20"/>
                <w:color w:val="auto"/>
              </w:rPr>
            </w:pPr>
            <w:r>
              <w:rPr>
                <w:rFonts w:ascii="Arial" w:cs="Arial" w:eastAsia="Arial" w:hAnsi="Arial"/>
                <w:sz w:val="16"/>
                <w:szCs w:val="16"/>
                <w:color w:val="auto"/>
              </w:rPr>
              <w:t>Vanguard</w:t>
            </w:r>
          </w:p>
        </w:tc>
        <w:tc>
          <w:tcPr>
            <w:tcW w:w="6300" w:type="dxa"/>
            <w:vAlign w:val="bottom"/>
            <w:shd w:val="clear" w:color="auto" w:fill="DBDBDB"/>
          </w:tcPr>
          <w:p>
            <w:pPr>
              <w:spacing w:after="0"/>
              <w:rPr>
                <w:sz w:val="20"/>
                <w:szCs w:val="20"/>
                <w:color w:val="auto"/>
              </w:rPr>
            </w:pPr>
            <w:r>
              <w:rPr>
                <w:rFonts w:ascii="Arial" w:cs="Arial" w:eastAsia="Arial" w:hAnsi="Arial"/>
                <w:sz w:val="16"/>
                <w:szCs w:val="16"/>
                <w:color w:val="auto"/>
              </w:rPr>
              <w:t>Vanguard Target Retirement 2070 Fund Investor Shares</w:t>
            </w:r>
          </w:p>
        </w:tc>
        <w:tc>
          <w:tcPr>
            <w:tcW w:w="220" w:type="dxa"/>
            <w:vAlign w:val="bottom"/>
            <w:tcBorders>
              <w:bottom w:val="single" w:sz="8" w:color="auto"/>
            </w:tcBorders>
            <w:shd w:val="clear" w:color="auto" w:fill="DBDBDB"/>
          </w:tcPr>
          <w:p>
            <w:pPr>
              <w:spacing w:after="0"/>
              <w:rPr>
                <w:sz w:val="20"/>
                <w:szCs w:val="20"/>
                <w:color w:val="auto"/>
              </w:rPr>
            </w:pPr>
          </w:p>
        </w:tc>
        <w:tc>
          <w:tcPr>
            <w:tcW w:w="1440" w:type="dxa"/>
            <w:vAlign w:val="bottom"/>
            <w:tcBorders>
              <w:bottom w:val="single" w:sz="8" w:color="auto"/>
            </w:tcBorders>
            <w:shd w:val="clear" w:color="auto" w:fill="DBDBDB"/>
          </w:tcPr>
          <w:p>
            <w:pPr>
              <w:jc w:val="right"/>
              <w:ind w:right="59"/>
              <w:spacing w:after="0"/>
              <w:rPr>
                <w:sz w:val="20"/>
                <w:szCs w:val="20"/>
                <w:color w:val="auto"/>
              </w:rPr>
            </w:pPr>
            <w:r>
              <w:rPr>
                <w:rFonts w:ascii="Arial" w:cs="Arial" w:eastAsia="Arial" w:hAnsi="Arial"/>
                <w:sz w:val="16"/>
                <w:szCs w:val="16"/>
                <w:color w:val="auto"/>
              </w:rPr>
              <w:t>1,039,641</w:t>
            </w:r>
          </w:p>
        </w:tc>
      </w:tr>
      <w:tr>
        <w:trPr>
          <w:trHeight w:val="236"/>
        </w:trPr>
        <w:tc>
          <w:tcPr>
            <w:tcW w:w="400" w:type="dxa"/>
            <w:vAlign w:val="bottom"/>
          </w:tcPr>
          <w:p>
            <w:pPr>
              <w:spacing w:after="0"/>
              <w:rPr>
                <w:sz w:val="20"/>
                <w:szCs w:val="20"/>
                <w:color w:val="auto"/>
              </w:rPr>
            </w:pPr>
          </w:p>
        </w:tc>
        <w:tc>
          <w:tcPr>
            <w:tcW w:w="9200" w:type="dxa"/>
            <w:vAlign w:val="bottom"/>
            <w:gridSpan w:val="2"/>
          </w:tcPr>
          <w:p>
            <w:pPr>
              <w:ind w:left="20"/>
              <w:spacing w:after="0"/>
              <w:rPr>
                <w:sz w:val="20"/>
                <w:szCs w:val="20"/>
                <w:color w:val="auto"/>
              </w:rPr>
            </w:pPr>
            <w:r>
              <w:rPr>
                <w:rFonts w:ascii="Arial" w:cs="Arial" w:eastAsia="Arial" w:hAnsi="Arial"/>
                <w:sz w:val="16"/>
                <w:szCs w:val="16"/>
                <w:color w:val="auto"/>
              </w:rPr>
              <w:t>Total Mutual Funds and Money Market Funds</w:t>
            </w:r>
          </w:p>
        </w:tc>
        <w:tc>
          <w:tcPr>
            <w:tcW w:w="2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317,541,573</w:t>
            </w:r>
          </w:p>
        </w:tc>
      </w:tr>
      <w:tr>
        <w:trPr>
          <w:trHeight w:val="270"/>
        </w:trPr>
        <w:tc>
          <w:tcPr>
            <w:tcW w:w="400" w:type="dxa"/>
            <w:vAlign w:val="bottom"/>
            <w:shd w:val="clear" w:color="auto" w:fill="DBDBDB"/>
          </w:tcPr>
          <w:p>
            <w:pPr>
              <w:spacing w:after="0"/>
              <w:rPr>
                <w:sz w:val="23"/>
                <w:szCs w:val="23"/>
                <w:color w:val="auto"/>
              </w:rPr>
            </w:pPr>
          </w:p>
        </w:tc>
        <w:tc>
          <w:tcPr>
            <w:tcW w:w="2900" w:type="dxa"/>
            <w:vAlign w:val="bottom"/>
            <w:shd w:val="clear" w:color="auto" w:fill="DBDBDB"/>
          </w:tcPr>
          <w:p>
            <w:pPr>
              <w:spacing w:after="0"/>
              <w:rPr>
                <w:sz w:val="23"/>
                <w:szCs w:val="23"/>
                <w:color w:val="auto"/>
              </w:rPr>
            </w:pPr>
          </w:p>
        </w:tc>
        <w:tc>
          <w:tcPr>
            <w:tcW w:w="6300" w:type="dxa"/>
            <w:vAlign w:val="bottom"/>
            <w:shd w:val="clear" w:color="auto" w:fill="DBDBDB"/>
          </w:tcPr>
          <w:p>
            <w:pPr>
              <w:spacing w:after="0"/>
              <w:rPr>
                <w:sz w:val="23"/>
                <w:szCs w:val="23"/>
                <w:color w:val="auto"/>
              </w:rPr>
            </w:pPr>
          </w:p>
        </w:tc>
        <w:tc>
          <w:tcPr>
            <w:tcW w:w="220" w:type="dxa"/>
            <w:vAlign w:val="bottom"/>
            <w:shd w:val="clear" w:color="auto" w:fill="DBDBDB"/>
          </w:tcPr>
          <w:p>
            <w:pPr>
              <w:spacing w:after="0"/>
              <w:rPr>
                <w:sz w:val="23"/>
                <w:szCs w:val="23"/>
                <w:color w:val="auto"/>
              </w:rPr>
            </w:pPr>
          </w:p>
        </w:tc>
        <w:tc>
          <w:tcPr>
            <w:tcW w:w="1440" w:type="dxa"/>
            <w:vAlign w:val="bottom"/>
            <w:shd w:val="clear" w:color="auto" w:fill="DBDBDB"/>
          </w:tcPr>
          <w:p>
            <w:pPr>
              <w:spacing w:after="0"/>
              <w:rPr>
                <w:sz w:val="23"/>
                <w:szCs w:val="23"/>
                <w:color w:val="auto"/>
              </w:rPr>
            </w:pPr>
          </w:p>
        </w:tc>
      </w:tr>
      <w:tr>
        <w:trPr>
          <w:trHeight w:val="235"/>
        </w:trPr>
        <w:tc>
          <w:tcPr>
            <w:tcW w:w="400" w:type="dxa"/>
            <w:vAlign w:val="bottom"/>
          </w:tcPr>
          <w:p>
            <w:pPr>
              <w:spacing w:after="0"/>
              <w:rPr>
                <w:sz w:val="20"/>
                <w:szCs w:val="20"/>
                <w:color w:val="auto"/>
              </w:rPr>
            </w:pPr>
          </w:p>
        </w:tc>
        <w:tc>
          <w:tcPr>
            <w:tcW w:w="2900" w:type="dxa"/>
            <w:vAlign w:val="bottom"/>
          </w:tcPr>
          <w:p>
            <w:pPr>
              <w:ind w:left="20"/>
              <w:spacing w:after="0"/>
              <w:rPr>
                <w:sz w:val="20"/>
                <w:szCs w:val="20"/>
                <w:color w:val="auto"/>
              </w:rPr>
            </w:pPr>
            <w:r>
              <w:rPr>
                <w:rFonts w:ascii="Arial" w:cs="Arial" w:eastAsia="Arial" w:hAnsi="Arial"/>
                <w:sz w:val="16"/>
                <w:szCs w:val="16"/>
                <w:color w:val="auto"/>
              </w:rPr>
              <w:t>Collective Investment Trusts</w:t>
            </w:r>
          </w:p>
        </w:tc>
        <w:tc>
          <w:tcPr>
            <w:tcW w:w="6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44"/>
        </w:trPr>
        <w:tc>
          <w:tcPr>
            <w:tcW w:w="400" w:type="dxa"/>
            <w:vAlign w:val="bottom"/>
            <w:tcBorders>
              <w:bottom w:val="single" w:sz="8" w:color="DBDBDB"/>
            </w:tcBorders>
            <w:shd w:val="clear" w:color="auto" w:fill="DBDBDB"/>
          </w:tcPr>
          <w:p>
            <w:pPr>
              <w:spacing w:after="0"/>
              <w:rPr>
                <w:sz w:val="21"/>
                <w:szCs w:val="21"/>
                <w:color w:val="auto"/>
              </w:rPr>
            </w:pPr>
          </w:p>
        </w:tc>
        <w:tc>
          <w:tcPr>
            <w:tcW w:w="2900" w:type="dxa"/>
            <w:vAlign w:val="bottom"/>
            <w:tcBorders>
              <w:bottom w:val="single" w:sz="8" w:color="DBDBDB"/>
            </w:tcBorders>
            <w:shd w:val="clear" w:color="auto" w:fill="DBDBDB"/>
          </w:tcPr>
          <w:p>
            <w:pPr>
              <w:ind w:left="120"/>
              <w:spacing w:after="0"/>
              <w:rPr>
                <w:sz w:val="20"/>
                <w:szCs w:val="20"/>
                <w:color w:val="auto"/>
              </w:rPr>
            </w:pPr>
            <w:r>
              <w:rPr>
                <w:rFonts w:ascii="Arial" w:cs="Arial" w:eastAsia="Arial" w:hAnsi="Arial"/>
                <w:sz w:val="16"/>
                <w:szCs w:val="16"/>
                <w:color w:val="auto"/>
              </w:rPr>
              <w:t>Great Gray Trust Company</w:t>
            </w:r>
          </w:p>
        </w:tc>
        <w:tc>
          <w:tcPr>
            <w:tcW w:w="6300" w:type="dxa"/>
            <w:vAlign w:val="bottom"/>
            <w:tcBorders>
              <w:bottom w:val="single" w:sz="8" w:color="DBDBDB"/>
            </w:tcBorders>
            <w:shd w:val="clear" w:color="auto" w:fill="DBDBDB"/>
          </w:tcPr>
          <w:p>
            <w:pPr>
              <w:spacing w:after="0"/>
              <w:rPr>
                <w:sz w:val="20"/>
                <w:szCs w:val="20"/>
                <w:color w:val="auto"/>
              </w:rPr>
            </w:pPr>
            <w:r>
              <w:rPr>
                <w:rFonts w:ascii="Arial" w:cs="Arial" w:eastAsia="Arial" w:hAnsi="Arial"/>
                <w:sz w:val="16"/>
                <w:szCs w:val="16"/>
                <w:color w:val="auto"/>
              </w:rPr>
              <w:t>Great Gray Stable Value Fund Class R1</w:t>
            </w:r>
          </w:p>
        </w:tc>
        <w:tc>
          <w:tcPr>
            <w:tcW w:w="220" w:type="dxa"/>
            <w:vAlign w:val="bottom"/>
            <w:tcBorders>
              <w:bottom w:val="single" w:sz="8" w:color="DBDBDB"/>
            </w:tcBorders>
            <w:shd w:val="clear" w:color="auto" w:fill="DBDBDB"/>
          </w:tcPr>
          <w:p>
            <w:pPr>
              <w:spacing w:after="0"/>
              <w:rPr>
                <w:sz w:val="21"/>
                <w:szCs w:val="21"/>
                <w:color w:val="auto"/>
              </w:rPr>
            </w:pPr>
          </w:p>
        </w:tc>
        <w:tc>
          <w:tcPr>
            <w:tcW w:w="1440" w:type="dxa"/>
            <w:vAlign w:val="bottom"/>
            <w:tcBorders>
              <w:bottom w:val="single" w:sz="8" w:color="DBDBDB"/>
            </w:tcBorders>
            <w:shd w:val="clear" w:color="auto" w:fill="DBDBDB"/>
          </w:tcPr>
          <w:p>
            <w:pPr>
              <w:jc w:val="right"/>
              <w:ind w:right="59"/>
              <w:spacing w:after="0"/>
              <w:rPr>
                <w:sz w:val="20"/>
                <w:szCs w:val="20"/>
                <w:color w:val="auto"/>
              </w:rPr>
            </w:pPr>
            <w:r>
              <w:rPr>
                <w:rFonts w:ascii="Arial" w:cs="Arial" w:eastAsia="Arial" w:hAnsi="Arial"/>
                <w:sz w:val="16"/>
                <w:szCs w:val="16"/>
                <w:color w:val="auto"/>
              </w:rPr>
              <w:t>5,325,780</w:t>
            </w:r>
          </w:p>
        </w:tc>
      </w:tr>
      <w:tr>
        <w:trPr>
          <w:trHeight w:val="237"/>
        </w:trPr>
        <w:tc>
          <w:tcPr>
            <w:tcW w:w="400" w:type="dxa"/>
            <w:vAlign w:val="bottom"/>
          </w:tcPr>
          <w:p>
            <w:pPr>
              <w:spacing w:after="0"/>
              <w:rPr>
                <w:sz w:val="20"/>
                <w:szCs w:val="20"/>
                <w:color w:val="auto"/>
              </w:rPr>
            </w:pPr>
          </w:p>
        </w:tc>
        <w:tc>
          <w:tcPr>
            <w:tcW w:w="2900" w:type="dxa"/>
            <w:vAlign w:val="bottom"/>
          </w:tcPr>
          <w:p>
            <w:pPr>
              <w:ind w:left="120"/>
              <w:spacing w:after="0"/>
              <w:rPr>
                <w:sz w:val="20"/>
                <w:szCs w:val="20"/>
                <w:color w:val="auto"/>
              </w:rPr>
            </w:pPr>
            <w:r>
              <w:rPr>
                <w:rFonts w:ascii="Arial" w:cs="Arial" w:eastAsia="Arial" w:hAnsi="Arial"/>
                <w:sz w:val="16"/>
                <w:szCs w:val="16"/>
                <w:color w:val="auto"/>
              </w:rPr>
              <w:t>John Hancock</w:t>
            </w:r>
          </w:p>
        </w:tc>
        <w:tc>
          <w:tcPr>
            <w:tcW w:w="6300" w:type="dxa"/>
            <w:vAlign w:val="bottom"/>
          </w:tcPr>
          <w:p>
            <w:pPr>
              <w:spacing w:after="0"/>
              <w:rPr>
                <w:sz w:val="20"/>
                <w:szCs w:val="20"/>
                <w:color w:val="auto"/>
              </w:rPr>
            </w:pPr>
            <w:r>
              <w:rPr>
                <w:rFonts w:ascii="Arial" w:cs="Arial" w:eastAsia="Arial" w:hAnsi="Arial"/>
                <w:sz w:val="16"/>
                <w:szCs w:val="16"/>
                <w:color w:val="auto"/>
              </w:rPr>
              <w:t>John Hancock Disciplined Value Mid-Cap Trust Class B4</w:t>
            </w:r>
          </w:p>
        </w:tc>
        <w:tc>
          <w:tcPr>
            <w:tcW w:w="2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2,171,203</w:t>
            </w:r>
          </w:p>
        </w:tc>
      </w:tr>
      <w:tr>
        <w:trPr>
          <w:trHeight w:val="250"/>
        </w:trPr>
        <w:tc>
          <w:tcPr>
            <w:tcW w:w="400" w:type="dxa"/>
            <w:vAlign w:val="bottom"/>
            <w:shd w:val="clear" w:color="auto" w:fill="DBDBDB"/>
          </w:tcPr>
          <w:p>
            <w:pPr>
              <w:spacing w:after="0"/>
              <w:rPr>
                <w:sz w:val="21"/>
                <w:szCs w:val="21"/>
                <w:color w:val="auto"/>
              </w:rPr>
            </w:pPr>
          </w:p>
        </w:tc>
        <w:tc>
          <w:tcPr>
            <w:tcW w:w="2900" w:type="dxa"/>
            <w:vAlign w:val="bottom"/>
            <w:shd w:val="clear" w:color="auto" w:fill="DBDBDB"/>
          </w:tcPr>
          <w:p>
            <w:pPr>
              <w:ind w:left="20"/>
              <w:spacing w:after="0"/>
              <w:rPr>
                <w:sz w:val="20"/>
                <w:szCs w:val="20"/>
                <w:color w:val="auto"/>
              </w:rPr>
            </w:pPr>
            <w:r>
              <w:rPr>
                <w:rFonts w:ascii="Arial" w:cs="Arial" w:eastAsia="Arial" w:hAnsi="Arial"/>
                <w:sz w:val="16"/>
                <w:szCs w:val="16"/>
                <w:color w:val="auto"/>
              </w:rPr>
              <w:t>Total Collective Investment Trusts</w:t>
            </w:r>
          </w:p>
        </w:tc>
        <w:tc>
          <w:tcPr>
            <w:tcW w:w="6300" w:type="dxa"/>
            <w:vAlign w:val="bottom"/>
            <w:shd w:val="clear" w:color="auto" w:fill="DBDBDB"/>
          </w:tcPr>
          <w:p>
            <w:pPr>
              <w:spacing w:after="0"/>
              <w:rPr>
                <w:sz w:val="21"/>
                <w:szCs w:val="21"/>
                <w:color w:val="auto"/>
              </w:rPr>
            </w:pPr>
          </w:p>
        </w:tc>
        <w:tc>
          <w:tcPr>
            <w:tcW w:w="220" w:type="dxa"/>
            <w:vAlign w:val="bottom"/>
            <w:tcBorders>
              <w:bottom w:val="single" w:sz="8" w:color="auto"/>
            </w:tcBorders>
            <w:shd w:val="clear" w:color="auto" w:fill="DBDBDB"/>
          </w:tcPr>
          <w:p>
            <w:pPr>
              <w:spacing w:after="0"/>
              <w:rPr>
                <w:sz w:val="21"/>
                <w:szCs w:val="21"/>
                <w:color w:val="auto"/>
              </w:rPr>
            </w:pPr>
          </w:p>
        </w:tc>
        <w:tc>
          <w:tcPr>
            <w:tcW w:w="1440" w:type="dxa"/>
            <w:vAlign w:val="bottom"/>
            <w:tcBorders>
              <w:bottom w:val="single" w:sz="8" w:color="auto"/>
            </w:tcBorders>
            <w:shd w:val="clear" w:color="auto" w:fill="DBDBDB"/>
          </w:tcPr>
          <w:p>
            <w:pPr>
              <w:jc w:val="right"/>
              <w:ind w:right="59"/>
              <w:spacing w:after="0"/>
              <w:rPr>
                <w:sz w:val="20"/>
                <w:szCs w:val="20"/>
                <w:color w:val="auto"/>
              </w:rPr>
            </w:pPr>
            <w:r>
              <w:rPr>
                <w:rFonts w:ascii="Arial" w:cs="Arial" w:eastAsia="Arial" w:hAnsi="Arial"/>
                <w:sz w:val="16"/>
                <w:szCs w:val="16"/>
                <w:color w:val="auto"/>
              </w:rPr>
              <w:t>7,496,983</w:t>
            </w:r>
          </w:p>
        </w:tc>
      </w:tr>
      <w:tr>
        <w:trPr>
          <w:trHeight w:val="256"/>
        </w:trPr>
        <w:tc>
          <w:tcPr>
            <w:tcW w:w="400" w:type="dxa"/>
            <w:vAlign w:val="bottom"/>
          </w:tcPr>
          <w:p>
            <w:pPr>
              <w:spacing w:after="0"/>
              <w:rPr>
                <w:sz w:val="22"/>
                <w:szCs w:val="22"/>
                <w:color w:val="auto"/>
              </w:rPr>
            </w:pPr>
          </w:p>
        </w:tc>
        <w:tc>
          <w:tcPr>
            <w:tcW w:w="2900" w:type="dxa"/>
            <w:vAlign w:val="bottom"/>
          </w:tcPr>
          <w:p>
            <w:pPr>
              <w:spacing w:after="0"/>
              <w:rPr>
                <w:sz w:val="22"/>
                <w:szCs w:val="22"/>
                <w:color w:val="auto"/>
              </w:rPr>
            </w:pPr>
          </w:p>
        </w:tc>
        <w:tc>
          <w:tcPr>
            <w:tcW w:w="63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40" w:type="dxa"/>
            <w:vAlign w:val="bottom"/>
          </w:tcPr>
          <w:p>
            <w:pPr>
              <w:spacing w:after="0"/>
              <w:rPr>
                <w:sz w:val="22"/>
                <w:szCs w:val="22"/>
                <w:color w:val="auto"/>
              </w:rPr>
            </w:pPr>
          </w:p>
        </w:tc>
      </w:tr>
      <w:tr>
        <w:trPr>
          <w:trHeight w:val="243"/>
        </w:trPr>
        <w:tc>
          <w:tcPr>
            <w:tcW w:w="400" w:type="dxa"/>
            <w:vAlign w:val="bottom"/>
            <w:shd w:val="clear" w:color="auto" w:fill="DBDBDB"/>
          </w:tcPr>
          <w:p>
            <w:pPr>
              <w:spacing w:after="0"/>
              <w:rPr>
                <w:sz w:val="21"/>
                <w:szCs w:val="21"/>
                <w:color w:val="auto"/>
              </w:rPr>
            </w:pPr>
          </w:p>
        </w:tc>
        <w:tc>
          <w:tcPr>
            <w:tcW w:w="2900" w:type="dxa"/>
            <w:vAlign w:val="bottom"/>
            <w:shd w:val="clear" w:color="auto" w:fill="DBDBDB"/>
          </w:tcPr>
          <w:p>
            <w:pPr>
              <w:ind w:left="20"/>
              <w:spacing w:after="0"/>
              <w:rPr>
                <w:sz w:val="20"/>
                <w:szCs w:val="20"/>
                <w:color w:val="auto"/>
              </w:rPr>
            </w:pPr>
            <w:r>
              <w:rPr>
                <w:rFonts w:ascii="Arial" w:cs="Arial" w:eastAsia="Arial" w:hAnsi="Arial"/>
                <w:sz w:val="16"/>
                <w:szCs w:val="16"/>
                <w:color w:val="auto"/>
              </w:rPr>
              <w:t>Common Stock</w:t>
            </w:r>
          </w:p>
        </w:tc>
        <w:tc>
          <w:tcPr>
            <w:tcW w:w="6300" w:type="dxa"/>
            <w:vAlign w:val="bottom"/>
            <w:shd w:val="clear" w:color="auto" w:fill="DBDBDB"/>
          </w:tcPr>
          <w:p>
            <w:pPr>
              <w:spacing w:after="0"/>
              <w:rPr>
                <w:sz w:val="21"/>
                <w:szCs w:val="21"/>
                <w:color w:val="auto"/>
              </w:rPr>
            </w:pPr>
          </w:p>
        </w:tc>
        <w:tc>
          <w:tcPr>
            <w:tcW w:w="220" w:type="dxa"/>
            <w:vAlign w:val="bottom"/>
            <w:shd w:val="clear" w:color="auto" w:fill="DBDBDB"/>
          </w:tcPr>
          <w:p>
            <w:pPr>
              <w:spacing w:after="0"/>
              <w:rPr>
                <w:sz w:val="21"/>
                <w:szCs w:val="21"/>
                <w:color w:val="auto"/>
              </w:rPr>
            </w:pPr>
          </w:p>
        </w:tc>
        <w:tc>
          <w:tcPr>
            <w:tcW w:w="1440" w:type="dxa"/>
            <w:vAlign w:val="bottom"/>
            <w:shd w:val="clear" w:color="auto" w:fill="DBDBDB"/>
          </w:tcPr>
          <w:p>
            <w:pPr>
              <w:spacing w:after="0"/>
              <w:rPr>
                <w:sz w:val="21"/>
                <w:szCs w:val="21"/>
                <w:color w:val="auto"/>
              </w:rPr>
            </w:pPr>
          </w:p>
        </w:tc>
      </w:tr>
      <w:tr>
        <w:trPr>
          <w:trHeight w:val="228"/>
        </w:trPr>
        <w:tc>
          <w:tcPr>
            <w:tcW w:w="400" w:type="dxa"/>
            <w:vAlign w:val="bottom"/>
          </w:tcPr>
          <w:p>
            <w:pPr>
              <w:jc w:val="center"/>
              <w:spacing w:after="0"/>
              <w:rPr>
                <w:sz w:val="20"/>
                <w:szCs w:val="20"/>
                <w:color w:val="auto"/>
              </w:rPr>
            </w:pPr>
            <w:r>
              <w:rPr>
                <w:rFonts w:ascii="Arial" w:cs="Arial" w:eastAsia="Arial" w:hAnsi="Arial"/>
                <w:sz w:val="16"/>
                <w:szCs w:val="16"/>
                <w:color w:val="auto"/>
              </w:rPr>
              <w:t>*</w:t>
            </w:r>
          </w:p>
        </w:tc>
        <w:tc>
          <w:tcPr>
            <w:tcW w:w="2900" w:type="dxa"/>
            <w:vAlign w:val="bottom"/>
          </w:tcPr>
          <w:p>
            <w:pPr>
              <w:ind w:left="20"/>
              <w:spacing w:after="0"/>
              <w:rPr>
                <w:sz w:val="20"/>
                <w:szCs w:val="20"/>
                <w:color w:val="auto"/>
              </w:rPr>
            </w:pPr>
            <w:r>
              <w:rPr>
                <w:rFonts w:ascii="Arial" w:cs="Arial" w:eastAsia="Arial" w:hAnsi="Arial"/>
                <w:sz w:val="16"/>
                <w:szCs w:val="16"/>
                <w:color w:val="auto"/>
              </w:rPr>
              <w:t>WillScot Holdings Corporation</w:t>
            </w:r>
          </w:p>
        </w:tc>
        <w:tc>
          <w:tcPr>
            <w:tcW w:w="6300" w:type="dxa"/>
            <w:vAlign w:val="bottom"/>
          </w:tcPr>
          <w:p>
            <w:pPr>
              <w:spacing w:after="0"/>
              <w:rPr>
                <w:sz w:val="20"/>
                <w:szCs w:val="20"/>
                <w:color w:val="auto"/>
              </w:rPr>
            </w:pPr>
            <w:r>
              <w:rPr>
                <w:rFonts w:ascii="Arial" w:cs="Arial" w:eastAsia="Arial" w:hAnsi="Arial"/>
                <w:sz w:val="16"/>
                <w:szCs w:val="16"/>
                <w:color w:val="auto"/>
              </w:rPr>
              <w:t>WillScot Holdings Corporation Common Stock Fund</w:t>
            </w:r>
          </w:p>
        </w:tc>
        <w:tc>
          <w:tcPr>
            <w:tcW w:w="220" w:type="dxa"/>
            <w:vAlign w:val="bottom"/>
          </w:tcPr>
          <w:p>
            <w:pPr>
              <w:spacing w:after="0"/>
              <w:rPr>
                <w:sz w:val="19"/>
                <w:szCs w:val="19"/>
                <w:color w:val="auto"/>
              </w:rPr>
            </w:pPr>
          </w:p>
        </w:tc>
        <w:tc>
          <w:tcPr>
            <w:tcW w:w="1440" w:type="dxa"/>
            <w:vAlign w:val="bottom"/>
          </w:tcPr>
          <w:p>
            <w:pPr>
              <w:jc w:val="right"/>
              <w:ind w:right="59"/>
              <w:spacing w:after="0"/>
              <w:rPr>
                <w:sz w:val="20"/>
                <w:szCs w:val="20"/>
                <w:color w:val="auto"/>
              </w:rPr>
            </w:pPr>
            <w:r>
              <w:rPr>
                <w:rFonts w:ascii="Arial" w:cs="Arial" w:eastAsia="Arial" w:hAnsi="Arial"/>
                <w:sz w:val="16"/>
                <w:szCs w:val="16"/>
                <w:color w:val="auto"/>
              </w:rPr>
              <w:t>1,277,764</w:t>
            </w:r>
          </w:p>
        </w:tc>
      </w:tr>
      <w:tr>
        <w:trPr>
          <w:trHeight w:val="29"/>
        </w:trPr>
        <w:tc>
          <w:tcPr>
            <w:tcW w:w="400" w:type="dxa"/>
            <w:vAlign w:val="bottom"/>
          </w:tcPr>
          <w:p>
            <w:pPr>
              <w:spacing w:after="0"/>
              <w:rPr>
                <w:sz w:val="2"/>
                <w:szCs w:val="2"/>
                <w:color w:val="auto"/>
              </w:rPr>
            </w:pPr>
          </w:p>
        </w:tc>
        <w:tc>
          <w:tcPr>
            <w:tcW w:w="2900" w:type="dxa"/>
            <w:vAlign w:val="bottom"/>
          </w:tcPr>
          <w:p>
            <w:pPr>
              <w:spacing w:after="0"/>
              <w:rPr>
                <w:sz w:val="2"/>
                <w:szCs w:val="2"/>
                <w:color w:val="auto"/>
              </w:rPr>
            </w:pPr>
          </w:p>
        </w:tc>
        <w:tc>
          <w:tcPr>
            <w:tcW w:w="6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36"/>
        </w:trPr>
        <w:tc>
          <w:tcPr>
            <w:tcW w:w="40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6"/>
                <w:szCs w:val="16"/>
                <w:color w:val="auto"/>
              </w:rPr>
              <w:t>*</w:t>
            </w:r>
          </w:p>
        </w:tc>
        <w:tc>
          <w:tcPr>
            <w:tcW w:w="29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Participants</w:t>
            </w:r>
          </w:p>
        </w:tc>
        <w:tc>
          <w:tcPr>
            <w:tcW w:w="6300" w:type="dxa"/>
            <w:vAlign w:val="bottom"/>
            <w:tcBorders>
              <w:bottom w:val="single" w:sz="8" w:color="DBDBDB"/>
            </w:tcBorders>
            <w:shd w:val="clear" w:color="auto" w:fill="DBDBDB"/>
          </w:tcPr>
          <w:p>
            <w:pPr>
              <w:spacing w:after="0"/>
              <w:rPr>
                <w:sz w:val="20"/>
                <w:szCs w:val="20"/>
                <w:color w:val="auto"/>
              </w:rPr>
            </w:pPr>
            <w:r>
              <w:rPr>
                <w:rFonts w:ascii="Arial" w:cs="Arial" w:eastAsia="Arial" w:hAnsi="Arial"/>
                <w:sz w:val="16"/>
                <w:szCs w:val="16"/>
                <w:color w:val="auto"/>
              </w:rPr>
              <w:t>Participant Loans**</w:t>
            </w:r>
          </w:p>
        </w:tc>
        <w:tc>
          <w:tcPr>
            <w:tcW w:w="220" w:type="dxa"/>
            <w:vAlign w:val="bottom"/>
            <w:tcBorders>
              <w:bottom w:val="single" w:sz="8" w:color="auto"/>
            </w:tcBorders>
            <w:shd w:val="clear" w:color="auto" w:fill="DBDBDB"/>
          </w:tcPr>
          <w:p>
            <w:pPr>
              <w:spacing w:after="0"/>
              <w:rPr>
                <w:sz w:val="20"/>
                <w:szCs w:val="20"/>
                <w:color w:val="auto"/>
              </w:rPr>
            </w:pPr>
          </w:p>
        </w:tc>
        <w:tc>
          <w:tcPr>
            <w:tcW w:w="1440" w:type="dxa"/>
            <w:vAlign w:val="bottom"/>
            <w:tcBorders>
              <w:bottom w:val="single" w:sz="8" w:color="auto"/>
            </w:tcBorders>
            <w:shd w:val="clear" w:color="auto" w:fill="DBDBDB"/>
          </w:tcPr>
          <w:p>
            <w:pPr>
              <w:jc w:val="right"/>
              <w:ind w:right="59"/>
              <w:spacing w:after="0"/>
              <w:rPr>
                <w:sz w:val="20"/>
                <w:szCs w:val="20"/>
                <w:color w:val="auto"/>
              </w:rPr>
            </w:pPr>
            <w:r>
              <w:rPr>
                <w:rFonts w:ascii="Arial" w:cs="Arial" w:eastAsia="Arial" w:hAnsi="Arial"/>
                <w:sz w:val="16"/>
                <w:szCs w:val="16"/>
                <w:color w:val="auto"/>
              </w:rPr>
              <w:t>8,047,996</w:t>
            </w:r>
          </w:p>
        </w:tc>
      </w:tr>
      <w:tr>
        <w:trPr>
          <w:trHeight w:val="256"/>
        </w:trPr>
        <w:tc>
          <w:tcPr>
            <w:tcW w:w="400" w:type="dxa"/>
            <w:vAlign w:val="bottom"/>
          </w:tcPr>
          <w:p>
            <w:pPr>
              <w:spacing w:after="0"/>
              <w:rPr>
                <w:sz w:val="22"/>
                <w:szCs w:val="22"/>
                <w:color w:val="auto"/>
              </w:rPr>
            </w:pPr>
          </w:p>
        </w:tc>
        <w:tc>
          <w:tcPr>
            <w:tcW w:w="2900" w:type="dxa"/>
            <w:vAlign w:val="bottom"/>
          </w:tcPr>
          <w:p>
            <w:pPr>
              <w:ind w:left="20"/>
              <w:spacing w:after="0"/>
              <w:rPr>
                <w:sz w:val="20"/>
                <w:szCs w:val="20"/>
                <w:color w:val="auto"/>
              </w:rPr>
            </w:pPr>
            <w:r>
              <w:rPr>
                <w:rFonts w:ascii="Arial" w:cs="Arial" w:eastAsia="Arial" w:hAnsi="Arial"/>
                <w:sz w:val="16"/>
                <w:szCs w:val="16"/>
                <w:color w:val="auto"/>
              </w:rPr>
              <w:t>Total Investments at Fair Value</w:t>
            </w:r>
          </w:p>
        </w:tc>
        <w:tc>
          <w:tcPr>
            <w:tcW w:w="6300" w:type="dxa"/>
            <w:vAlign w:val="bottom"/>
          </w:tcPr>
          <w:p>
            <w:pPr>
              <w:spacing w:after="0"/>
              <w:rPr>
                <w:sz w:val="22"/>
                <w:szCs w:val="22"/>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334,364,316</w:t>
            </w:r>
          </w:p>
        </w:tc>
      </w:tr>
      <w:tr>
        <w:trPr>
          <w:trHeight w:val="21"/>
        </w:trPr>
        <w:tc>
          <w:tcPr>
            <w:tcW w:w="40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68" w:lineRule="exact"/>
        <w:rPr>
          <w:sz w:val="20"/>
          <w:szCs w:val="20"/>
          <w:color w:val="auto"/>
        </w:rPr>
      </w:pPr>
    </w:p>
    <w:p>
      <w:pPr>
        <w:ind w:left="7" w:right="6780" w:hanging="7"/>
        <w:spacing w:after="0" w:line="275" w:lineRule="auto"/>
        <w:tabs>
          <w:tab w:leader="none" w:pos="216" w:val="left"/>
        </w:tabs>
        <w:numPr>
          <w:ilvl w:val="0"/>
          <w:numId w:val="6"/>
        </w:numPr>
        <w:rPr>
          <w:rFonts w:ascii="Arial" w:cs="Arial" w:eastAsia="Arial" w:hAnsi="Arial"/>
          <w:sz w:val="14"/>
          <w:szCs w:val="14"/>
          <w:color w:val="auto"/>
        </w:rPr>
      </w:pPr>
      <w:r>
        <w:rPr>
          <w:rFonts w:ascii="Arial" w:cs="Arial" w:eastAsia="Arial" w:hAnsi="Arial"/>
          <w:sz w:val="14"/>
          <w:szCs w:val="14"/>
          <w:color w:val="auto"/>
        </w:rPr>
        <w:t>Historical cost is omitted as all investments are participant directed. * Indicates a party-in-interest in the Plan.</w:t>
      </w:r>
    </w:p>
    <w:p>
      <w:pPr>
        <w:ind w:left="7"/>
        <w:spacing w:after="0"/>
        <w:rPr>
          <w:rFonts w:ascii="Arial" w:cs="Arial" w:eastAsia="Arial" w:hAnsi="Arial"/>
          <w:sz w:val="14"/>
          <w:szCs w:val="14"/>
          <w:color w:val="auto"/>
        </w:rPr>
      </w:pPr>
      <w:r>
        <w:rPr>
          <w:rFonts w:ascii="Arial" w:cs="Arial" w:eastAsia="Arial" w:hAnsi="Arial"/>
          <w:sz w:val="14"/>
          <w:szCs w:val="14"/>
          <w:color w:val="auto"/>
        </w:rPr>
        <w:t>** Interest rates range from 4.25% through 9.50% with various maturity dates through November 2035.</w:t>
      </w:r>
    </w:p>
    <w:p>
      <w:pPr>
        <w:sectPr>
          <w:pgSz w:w="11920" w:h="16838" w:orient="portrait"/>
          <w:cols w:equalWidth="0" w:num="1">
            <w:col w:w="11267"/>
          </w:cols>
          <w:pgMar w:left="333" w:top="1049" w:right="318"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6"/>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79375</wp:posOffset>
            </wp:positionV>
            <wp:extent cx="71831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267"/>
          </w:cols>
          <w:pgMar w:left="333" w:top="1049" w:right="318" w:bottom="1440" w:gutter="0" w:footer="0" w:header="0"/>
          <w:type w:val="continuous"/>
        </w:sectPr>
      </w:pPr>
    </w:p>
    <w:bookmarkStart w:id="11" w:name="page12"/>
    <w:bookmarkEnd w:id="11"/>
    <w:tbl>
      <w:tblPr>
        <w:tblLayout w:type="fixed"/>
        <w:tblInd w:w="0" w:type="dxa"/>
        <w:tblCellMar>
          <w:top w:w="0" w:type="dxa"/>
          <w:left w:w="0" w:type="dxa"/>
          <w:bottom w:w="0" w:type="dxa"/>
          <w:right w:w="0" w:type="dxa"/>
        </w:tblCellMar>
      </w:tblPr>
      <w:tr>
        <w:trPr>
          <w:trHeight w:val="316"/>
        </w:trPr>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580" w:type="dxa"/>
            <w:vAlign w:val="bottom"/>
          </w:tcPr>
          <w:p>
            <w:pPr>
              <w:ind w:left="1180"/>
              <w:spacing w:after="0"/>
              <w:rPr>
                <w:sz w:val="20"/>
                <w:szCs w:val="20"/>
                <w:color w:val="auto"/>
              </w:rPr>
            </w:pPr>
            <w:r>
              <w:rPr>
                <w:rFonts w:ascii="Arial" w:cs="Arial" w:eastAsia="Arial" w:hAnsi="Arial"/>
                <w:sz w:val="23"/>
                <w:szCs w:val="23"/>
                <w:color w:val="1D2758"/>
              </w:rPr>
              <w:t>Exhibit Index</w:t>
            </w:r>
          </w:p>
        </w:tc>
      </w:tr>
      <w:tr>
        <w:trPr>
          <w:trHeight w:val="302"/>
        </w:trPr>
        <w:tc>
          <w:tcPr>
            <w:tcW w:w="300" w:type="dxa"/>
            <w:vAlign w:val="bottom"/>
          </w:tcPr>
          <w:p>
            <w:pPr>
              <w:spacing w:after="0"/>
              <w:rPr>
                <w:sz w:val="24"/>
                <w:szCs w:val="24"/>
                <w:color w:val="auto"/>
              </w:rPr>
            </w:pPr>
          </w:p>
        </w:tc>
        <w:tc>
          <w:tcPr>
            <w:tcW w:w="6360" w:type="dxa"/>
            <w:vAlign w:val="bottom"/>
            <w:gridSpan w:val="4"/>
          </w:tcPr>
          <w:p>
            <w:pPr>
              <w:ind w:left="320"/>
              <w:spacing w:after="0"/>
              <w:rPr>
                <w:sz w:val="20"/>
                <w:szCs w:val="20"/>
                <w:color w:val="auto"/>
              </w:rPr>
            </w:pPr>
            <w:r>
              <w:rPr>
                <w:rFonts w:ascii="Arial" w:cs="Arial" w:eastAsia="Arial" w:hAnsi="Arial"/>
                <w:sz w:val="16"/>
                <w:szCs w:val="16"/>
                <w:color w:val="auto"/>
              </w:rPr>
              <w:t>Exhibit filed with Form 11-K for the year ended December 31, 2025:</w:t>
            </w:r>
          </w:p>
        </w:tc>
      </w:tr>
      <w:tr>
        <w:trPr>
          <w:trHeight w:val="448"/>
        </w:trPr>
        <w:tc>
          <w:tcPr>
            <w:tcW w:w="84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w w:val="98"/>
              </w:rPr>
              <w:t>Exhibit No.</w:t>
            </w:r>
          </w:p>
        </w:tc>
        <w:tc>
          <w:tcPr>
            <w:tcW w:w="1560" w:type="dxa"/>
            <w:vAlign w:val="bottom"/>
          </w:tcPr>
          <w:p>
            <w:pPr>
              <w:spacing w:after="0"/>
              <w:rPr>
                <w:sz w:val="24"/>
                <w:szCs w:val="24"/>
                <w:color w:val="auto"/>
              </w:rPr>
            </w:pPr>
          </w:p>
        </w:tc>
        <w:tc>
          <w:tcPr>
            <w:tcW w:w="16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Description of Exhibit</w:t>
            </w:r>
          </w:p>
        </w:tc>
        <w:tc>
          <w:tcPr>
            <w:tcW w:w="2580" w:type="dxa"/>
            <w:vAlign w:val="bottom"/>
          </w:tcPr>
          <w:p>
            <w:pPr>
              <w:spacing w:after="0"/>
              <w:rPr>
                <w:sz w:val="24"/>
                <w:szCs w:val="24"/>
                <w:color w:val="auto"/>
              </w:rPr>
            </w:pPr>
          </w:p>
        </w:tc>
      </w:tr>
      <w:tr>
        <w:trPr>
          <w:trHeight w:val="236"/>
        </w:trPr>
        <w:tc>
          <w:tcPr>
            <w:tcW w:w="300" w:type="dxa"/>
            <w:vAlign w:val="bottom"/>
            <w:tcBorders>
              <w:bottom w:val="single" w:sz="8" w:color="0000FF"/>
            </w:tcBorders>
          </w:tcPr>
          <w:p>
            <w:pPr>
              <w:spacing w:after="0"/>
              <w:rPr>
                <w:sz w:val="20"/>
                <w:szCs w:val="20"/>
                <w:color w:val="auto"/>
              </w:rPr>
            </w:pPr>
            <w:r>
              <w:rPr>
                <w:rFonts w:ascii="Arial" w:cs="Arial" w:eastAsia="Arial" w:hAnsi="Arial"/>
                <w:sz w:val="16"/>
                <w:szCs w:val="16"/>
                <w:color w:val="0000FF"/>
                <w:w w:val="89"/>
              </w:rPr>
              <w:t>23.</w:t>
            </w:r>
            <w:r>
              <w:rPr>
                <w:rFonts w:ascii="Arial" w:cs="Arial" w:eastAsia="Arial" w:hAnsi="Arial"/>
                <w:sz w:val="16"/>
                <w:szCs w:val="16"/>
                <w:u w:val="single" w:color="auto"/>
                <w:color w:val="0000FF"/>
                <w:w w:val="89"/>
              </w:rPr>
              <w:t>1</w:t>
            </w:r>
          </w:p>
        </w:tc>
        <w:tc>
          <w:tcPr>
            <w:tcW w:w="5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4260" w:type="dxa"/>
            <w:vAlign w:val="bottom"/>
            <w:tcBorders>
              <w:bottom w:val="single" w:sz="8" w:color="0000FF"/>
            </w:tcBorders>
            <w:gridSpan w:val="2"/>
          </w:tcPr>
          <w:p>
            <w:pPr>
              <w:spacing w:after="0"/>
              <w:rPr>
                <w:sz w:val="20"/>
                <w:szCs w:val="20"/>
                <w:color w:val="auto"/>
              </w:rPr>
            </w:pPr>
            <w:r>
              <w:rPr>
                <w:rFonts w:ascii="Arial" w:cs="Arial" w:eastAsia="Arial" w:hAnsi="Arial"/>
                <w:sz w:val="16"/>
                <w:szCs w:val="16"/>
                <w:color w:val="0000FF"/>
              </w:rPr>
              <w:t>Consent of Independent Registered Public Accounting Firm</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5520"/>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79375</wp:posOffset>
            </wp:positionV>
            <wp:extent cx="71831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0118"/>
          </w:cols>
          <w:pgMar w:left="360" w:top="1081" w:right="1440" w:bottom="1440" w:gutter="0" w:footer="0" w:header="0"/>
        </w:sectPr>
      </w:pPr>
    </w:p>
    <w:bookmarkStart w:id="12" w:name="page13"/>
    <w:bookmarkEnd w:id="12"/>
    <w:p>
      <w:pPr>
        <w:jc w:val="center"/>
        <w:ind w:left="660"/>
        <w:spacing w:after="0"/>
        <w:rPr>
          <w:sz w:val="20"/>
          <w:szCs w:val="20"/>
          <w:color w:val="auto"/>
        </w:rPr>
      </w:pPr>
      <w:r>
        <w:rPr>
          <w:rFonts w:ascii="Arial" w:cs="Arial" w:eastAsia="Arial" w:hAnsi="Arial"/>
          <w:sz w:val="23"/>
          <w:szCs w:val="23"/>
          <w:color w:val="1D2758"/>
        </w:rPr>
        <w:t>Signature</w:t>
      </w:r>
    </w:p>
    <w:p>
      <w:pPr>
        <w:spacing w:after="0" w:line="135"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i w:val="1"/>
          <w:iCs w:val="1"/>
          <w:color w:val="auto"/>
        </w:rPr>
        <w:t xml:space="preserve">The Plan. </w:t>
      </w:r>
      <w:r>
        <w:rPr>
          <w:rFonts w:ascii="Arial" w:cs="Arial" w:eastAsia="Arial" w:hAnsi="Arial"/>
          <w:sz w:val="16"/>
          <w:szCs w:val="16"/>
          <w:color w:val="auto"/>
        </w:rPr>
        <w:t>Pursuant to the requirements of the Securities Exchange Act of 1934, the Plan Administrator has duly caused this annual report to be</w:t>
      </w:r>
      <w:r>
        <w:rPr>
          <w:rFonts w:ascii="Arial" w:cs="Arial" w:eastAsia="Arial" w:hAnsi="Arial"/>
          <w:sz w:val="16"/>
          <w:szCs w:val="16"/>
          <w:i w:val="1"/>
          <w:iCs w:val="1"/>
          <w:color w:val="auto"/>
        </w:rPr>
        <w:t xml:space="preserve"> </w:t>
      </w:r>
      <w:r>
        <w:rPr>
          <w:rFonts w:ascii="Arial" w:cs="Arial" w:eastAsia="Arial" w:hAnsi="Arial"/>
          <w:sz w:val="16"/>
          <w:szCs w:val="16"/>
          <w:color w:val="auto"/>
        </w:rPr>
        <w:t>signed on its behalf by the undersigned hereunto duly authorized.</w:t>
      </w:r>
    </w:p>
    <w:p>
      <w:pPr>
        <w:spacing w:after="0" w:line="186" w:lineRule="exact"/>
        <w:rPr>
          <w:sz w:val="20"/>
          <w:szCs w:val="20"/>
          <w:color w:val="auto"/>
        </w:rPr>
      </w:pPr>
    </w:p>
    <w:p>
      <w:pPr>
        <w:ind w:left="6260"/>
        <w:spacing w:after="0"/>
        <w:rPr>
          <w:sz w:val="20"/>
          <w:szCs w:val="20"/>
          <w:color w:val="auto"/>
        </w:rPr>
      </w:pPr>
      <w:r>
        <w:rPr>
          <w:rFonts w:ascii="Arial" w:cs="Arial" w:eastAsia="Arial" w:hAnsi="Arial"/>
          <w:sz w:val="16"/>
          <w:szCs w:val="16"/>
          <w:b w:val="1"/>
          <w:bCs w:val="1"/>
          <w:color w:val="auto"/>
        </w:rPr>
        <w:t>WillScot 401(k) Plan</w:t>
      </w:r>
    </w:p>
    <w:p>
      <w:pPr>
        <w:spacing w:after="0" w:line="277" w:lineRule="exact"/>
        <w:rPr>
          <w:sz w:val="20"/>
          <w:szCs w:val="20"/>
          <w:color w:val="auto"/>
        </w:rPr>
      </w:pPr>
    </w:p>
    <w:p>
      <w:pPr>
        <w:ind w:left="3700"/>
        <w:spacing w:after="0"/>
        <w:tabs>
          <w:tab w:leader="none" w:pos="6240" w:val="left"/>
          <w:tab w:leader="none" w:pos="6720" w:val="left"/>
        </w:tabs>
        <w:rPr>
          <w:sz w:val="20"/>
          <w:szCs w:val="20"/>
          <w:color w:val="auto"/>
        </w:rPr>
      </w:pPr>
      <w:r>
        <w:rPr>
          <w:rFonts w:ascii="Arial" w:cs="Arial" w:eastAsia="Arial" w:hAnsi="Arial"/>
          <w:sz w:val="16"/>
          <w:szCs w:val="16"/>
          <w:color w:val="auto"/>
        </w:rPr>
        <w:t>Date: June 25, 2026</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5"/>
          <w:szCs w:val="15"/>
          <w:color w:val="auto"/>
        </w:rPr>
        <w:t>/s/ MATTHEW T. JACOBSEN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4264660</wp:posOffset>
            </wp:positionH>
            <wp:positionV relativeFrom="paragraph">
              <wp:posOffset>40640</wp:posOffset>
            </wp:positionV>
            <wp:extent cx="288861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888615" cy="8255"/>
                    </a:xfrm>
                    <a:prstGeom prst="rect">
                      <a:avLst/>
                    </a:prstGeom>
                    <a:noFill/>
                  </pic:spPr>
                </pic:pic>
              </a:graphicData>
            </a:graphic>
          </wp:anchor>
        </w:drawing>
      </w:r>
    </w:p>
    <w:p>
      <w:pPr>
        <w:spacing w:after="0" w:line="66" w:lineRule="exact"/>
        <w:rPr>
          <w:sz w:val="20"/>
          <w:szCs w:val="20"/>
          <w:color w:val="auto"/>
        </w:rPr>
      </w:pPr>
    </w:p>
    <w:p>
      <w:pPr>
        <w:ind w:left="6740"/>
        <w:spacing w:after="0"/>
        <w:rPr>
          <w:sz w:val="20"/>
          <w:szCs w:val="20"/>
          <w:color w:val="auto"/>
        </w:rPr>
      </w:pPr>
      <w:r>
        <w:rPr>
          <w:rFonts w:ascii="Arial" w:cs="Arial" w:eastAsia="Arial" w:hAnsi="Arial"/>
          <w:sz w:val="16"/>
          <w:szCs w:val="16"/>
          <w:color w:val="auto"/>
        </w:rPr>
        <w:t>Matthew T. Jacobsen</w:t>
      </w:r>
    </w:p>
    <w:p>
      <w:pPr>
        <w:spacing w:after="0" w:line="59" w:lineRule="exact"/>
        <w:rPr>
          <w:sz w:val="20"/>
          <w:szCs w:val="20"/>
          <w:color w:val="auto"/>
        </w:rPr>
      </w:pPr>
    </w:p>
    <w:p>
      <w:pPr>
        <w:ind w:left="6740"/>
        <w:spacing w:after="0"/>
        <w:rPr>
          <w:sz w:val="20"/>
          <w:szCs w:val="20"/>
          <w:color w:val="auto"/>
        </w:rPr>
      </w:pPr>
      <w:r>
        <w:rPr>
          <w:rFonts w:ascii="Arial" w:cs="Arial" w:eastAsia="Arial" w:hAnsi="Arial"/>
          <w:sz w:val="16"/>
          <w:szCs w:val="16"/>
          <w:color w:val="auto"/>
        </w:rPr>
        <w:t>Chief Financial Officer</w:t>
      </w:r>
    </w:p>
    <w:p>
      <w:pPr>
        <w:spacing w:after="0" w:line="35" w:lineRule="exact"/>
        <w:rPr>
          <w:sz w:val="20"/>
          <w:szCs w:val="20"/>
          <w:color w:val="auto"/>
        </w:rPr>
      </w:pPr>
    </w:p>
    <w:p>
      <w:pPr>
        <w:ind w:left="6740"/>
        <w:spacing w:after="0"/>
        <w:rPr>
          <w:sz w:val="20"/>
          <w:szCs w:val="20"/>
          <w:color w:val="auto"/>
        </w:rPr>
      </w:pPr>
      <w:r>
        <w:rPr>
          <w:rFonts w:ascii="Arial" w:cs="Arial" w:eastAsia="Arial" w:hAnsi="Arial"/>
          <w:sz w:val="16"/>
          <w:szCs w:val="16"/>
          <w:color w:val="auto"/>
        </w:rPr>
        <w:t>(Principal Financial Officer and Duly Authorized Signing</w:t>
      </w:r>
    </w:p>
    <w:p>
      <w:pPr>
        <w:spacing w:after="0" w:line="9" w:lineRule="exact"/>
        <w:rPr>
          <w:sz w:val="20"/>
          <w:szCs w:val="20"/>
          <w:color w:val="auto"/>
        </w:rPr>
      </w:pPr>
    </w:p>
    <w:p>
      <w:pPr>
        <w:ind w:left="6740"/>
        <w:spacing w:after="0"/>
        <w:rPr>
          <w:sz w:val="20"/>
          <w:szCs w:val="20"/>
          <w:color w:val="auto"/>
        </w:rPr>
      </w:pPr>
      <w:r>
        <w:rPr>
          <w:rFonts w:ascii="Arial" w:cs="Arial" w:eastAsia="Arial" w:hAnsi="Arial"/>
          <w:sz w:val="16"/>
          <w:szCs w:val="16"/>
          <w:color w:val="auto"/>
        </w:rPr>
        <w:t>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359"/>
        <w:spacing w:after="0"/>
        <w:rPr>
          <w:sz w:val="20"/>
          <w:szCs w:val="20"/>
          <w:color w:val="auto"/>
        </w:rPr>
      </w:pPr>
      <w:r>
        <w:rPr>
          <w:rFonts w:ascii="Arial" w:cs="Arial" w:eastAsia="Arial" w:hAnsi="Arial"/>
          <w:sz w:val="16"/>
          <w:szCs w:val="16"/>
          <w:color w:val="auto"/>
        </w:rPr>
        <w:t>11</w:t>
      </w:r>
    </w:p>
    <w:p>
      <w:pPr>
        <w:sectPr>
          <w:pgSz w:w="11920" w:h="16838" w:orient="portrait"/>
          <w:cols w:equalWidth="0" w:num="1">
            <w:col w:w="10880"/>
          </w:cols>
          <w:pgMar w:left="340" w:top="1081" w:right="698" w:bottom="1440" w:gutter="0" w:footer="0" w:header="0"/>
        </w:sectPr>
      </w:pPr>
    </w:p>
    <w:bookmarkStart w:id="13" w:name="page14"/>
    <w:bookmarkEnd w:id="13"/>
    <w:p>
      <w:pPr>
        <w:jc w:val="right"/>
        <w:spacing w:after="0"/>
        <w:rPr>
          <w:sz w:val="20"/>
          <w:szCs w:val="20"/>
          <w:color w:val="auto"/>
        </w:rPr>
      </w:pPr>
      <w:r>
        <w:rPr>
          <w:rFonts w:ascii="Arial" w:cs="Arial" w:eastAsia="Arial" w:hAnsi="Arial"/>
          <w:sz w:val="16"/>
          <w:szCs w:val="16"/>
          <w:b w:val="1"/>
          <w:bCs w:val="1"/>
          <w:color w:val="auto"/>
        </w:rPr>
        <w:t>Exhibit 23.1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564515</wp:posOffset>
            </wp:positionV>
            <wp:extent cx="1834515" cy="6515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834515"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99"/>
        <w:spacing w:after="0"/>
        <w:rPr>
          <w:sz w:val="20"/>
          <w:szCs w:val="20"/>
          <w:color w:val="auto"/>
        </w:rPr>
      </w:pPr>
      <w:r>
        <w:rPr>
          <w:rFonts w:ascii="Arial" w:cs="Arial" w:eastAsia="Arial" w:hAnsi="Arial"/>
          <w:sz w:val="16"/>
          <w:szCs w:val="16"/>
          <w:b w:val="1"/>
          <w:bCs w:val="1"/>
          <w:color w:val="auto"/>
        </w:rPr>
        <w:t>CONSENT OF INDEPENDENT REGISTERED PUBLIC ACCOUNTING FIRM</w:t>
      </w:r>
    </w:p>
    <w:p>
      <w:pPr>
        <w:spacing w:after="0" w:line="200" w:lineRule="exact"/>
        <w:rPr>
          <w:sz w:val="20"/>
          <w:szCs w:val="20"/>
          <w:color w:val="auto"/>
        </w:rPr>
      </w:pPr>
    </w:p>
    <w:p>
      <w:pPr>
        <w:spacing w:after="0" w:line="280" w:lineRule="exact"/>
        <w:rPr>
          <w:sz w:val="20"/>
          <w:szCs w:val="20"/>
          <w:color w:val="auto"/>
        </w:rPr>
      </w:pPr>
    </w:p>
    <w:p>
      <w:pPr>
        <w:ind w:right="360"/>
        <w:spacing w:after="0" w:line="291" w:lineRule="auto"/>
        <w:rPr>
          <w:sz w:val="20"/>
          <w:szCs w:val="20"/>
          <w:color w:val="auto"/>
        </w:rPr>
      </w:pPr>
      <w:r>
        <w:rPr>
          <w:rFonts w:ascii="Arial" w:cs="Arial" w:eastAsia="Arial" w:hAnsi="Arial"/>
          <w:sz w:val="16"/>
          <w:szCs w:val="16"/>
          <w:color w:val="auto"/>
        </w:rPr>
        <w:t>We consent to the incorporation by reference in Registration Statement (No 333-239626) on Form S-8 of our report dated June 25, 2026, in this Annual Report on Form 11-K of the Willscot 401(k) Plan as of December 31, 2025 and 2024 and for the year ended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5490210</wp:posOffset>
            </wp:positionH>
            <wp:positionV relativeFrom="paragraph">
              <wp:posOffset>139700</wp:posOffset>
            </wp:positionV>
            <wp:extent cx="1645920" cy="3683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645920" cy="368300"/>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ind w:left="20"/>
        <w:spacing w:after="0"/>
        <w:rPr>
          <w:sz w:val="20"/>
          <w:szCs w:val="20"/>
          <w:color w:val="auto"/>
        </w:rPr>
      </w:pPr>
      <w:r>
        <w:rPr>
          <w:rFonts w:ascii="Arial" w:cs="Arial" w:eastAsia="Arial" w:hAnsi="Arial"/>
          <w:sz w:val="16"/>
          <w:szCs w:val="16"/>
          <w:color w:val="auto"/>
        </w:rPr>
        <w:t>Owings Mills, Maryland</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color w:val="auto"/>
        </w:rPr>
        <w:t>June 25,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1F487C"/>
        </w:rPr>
        <w:t xml:space="preserve">10200 Grand Central Avenue </w:t>
      </w:r>
      <w:r>
        <w:rPr>
          <w:rFonts w:ascii="Arial" w:cs="Arial" w:eastAsia="Arial" w:hAnsi="Arial"/>
          <w:sz w:val="16"/>
          <w:szCs w:val="16"/>
          <w:color w:val="C0C0C0"/>
        </w:rPr>
        <w:t>·</w:t>
      </w:r>
      <w:r>
        <w:rPr>
          <w:rFonts w:ascii="Arial" w:cs="Arial" w:eastAsia="Arial" w:hAnsi="Arial"/>
          <w:sz w:val="16"/>
          <w:szCs w:val="16"/>
          <w:color w:val="1F487C"/>
        </w:rPr>
        <w:t xml:space="preserve"> Suite 250 </w:t>
      </w:r>
      <w:r>
        <w:rPr>
          <w:rFonts w:ascii="Arial" w:cs="Arial" w:eastAsia="Arial" w:hAnsi="Arial"/>
          <w:sz w:val="16"/>
          <w:szCs w:val="16"/>
          <w:color w:val="C0C0C0"/>
        </w:rPr>
        <w:t>·</w:t>
      </w:r>
      <w:r>
        <w:rPr>
          <w:rFonts w:ascii="Arial" w:cs="Arial" w:eastAsia="Arial" w:hAnsi="Arial"/>
          <w:sz w:val="16"/>
          <w:szCs w:val="16"/>
          <w:color w:val="1F487C"/>
        </w:rPr>
        <w:t xml:space="preserve"> Owings Mills </w:t>
      </w:r>
      <w:r>
        <w:rPr>
          <w:rFonts w:ascii="Arial" w:cs="Arial" w:eastAsia="Arial" w:hAnsi="Arial"/>
          <w:sz w:val="16"/>
          <w:szCs w:val="16"/>
          <w:color w:val="C0C0C0"/>
        </w:rPr>
        <w:t>·</w:t>
      </w:r>
      <w:r>
        <w:rPr>
          <w:rFonts w:ascii="Arial" w:cs="Arial" w:eastAsia="Arial" w:hAnsi="Arial"/>
          <w:sz w:val="16"/>
          <w:szCs w:val="16"/>
          <w:color w:val="1F487C"/>
        </w:rPr>
        <w:t xml:space="preserve"> Maryland 21117 </w:t>
      </w:r>
      <w:r>
        <w:rPr>
          <w:rFonts w:ascii="Arial" w:cs="Arial" w:eastAsia="Arial" w:hAnsi="Arial"/>
          <w:sz w:val="16"/>
          <w:szCs w:val="16"/>
          <w:color w:val="C0C0C0"/>
        </w:rPr>
        <w:t>·</w:t>
      </w:r>
      <w:r>
        <w:rPr>
          <w:rFonts w:ascii="Arial" w:cs="Arial" w:eastAsia="Arial" w:hAnsi="Arial"/>
          <w:sz w:val="16"/>
          <w:szCs w:val="16"/>
          <w:color w:val="1F487C"/>
        </w:rPr>
        <w:t xml:space="preserve"> P 410.584.0060 </w:t>
      </w:r>
      <w:r>
        <w:rPr>
          <w:rFonts w:ascii="Arial" w:cs="Arial" w:eastAsia="Arial" w:hAnsi="Arial"/>
          <w:sz w:val="16"/>
          <w:szCs w:val="16"/>
          <w:color w:val="C0C0C0"/>
        </w:rPr>
        <w:t>·</w:t>
      </w:r>
      <w:r>
        <w:rPr>
          <w:rFonts w:ascii="Arial" w:cs="Arial" w:eastAsia="Arial" w:hAnsi="Arial"/>
          <w:sz w:val="16"/>
          <w:szCs w:val="16"/>
          <w:color w:val="1F487C"/>
        </w:rPr>
        <w:t xml:space="preserve"> F 410.584.0061</w:t>
      </w:r>
    </w:p>
    <w:sectPr>
      <w:pgSz w:w="11920" w:h="16838" w:orient="portrait"/>
      <w:cols w:equalWidth="0" w:num="1">
        <w:col w:w="11160"/>
      </w:cols>
      <w:pgMar w:left="340" w:top="182" w:right="418"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1"/>
    </w:lvl>
  </w:abstractNum>
  <w:abstractNum w:abstractNumId="5">
    <w:nsid w:val="507ED7AB"/>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2026-06-25T16:00:45Z</dcterms:created>
  <dcterms:modified xsi:type="dcterms:W3CDTF">2026-06-25T16:00:45Z</dcterms:modified>
</cp:coreProperties>
</file>