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72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2"/>
          <w:shd w:fill="FFFFFF" w:val="clear"/>
        </w:rPr>
      </w:pPr>
      <w:r>
        <w:rPr>
          <w:rFonts w:ascii="Arial;sans-serif" w:hAnsi="Arial;sans-serif"/>
          <w:b/>
          <w:color w:val="000000"/>
          <w:sz w:val="32"/>
          <w:shd w:fill="FFFFFF" w:val="clear"/>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96" w:type="dxa"/>
        <w:jc w:val="center"/>
        <w:tblInd w:w="0" w:type="dxa"/>
        <w:tblLayout w:type="fixed"/>
        <w:tblCellMar>
          <w:top w:w="28" w:type="dxa"/>
          <w:left w:w="28" w:type="dxa"/>
          <w:bottom w:w="28" w:type="dxa"/>
          <w:right w:w="28" w:type="dxa"/>
        </w:tblCellMar>
      </w:tblPr>
      <w:tblGrid>
        <w:gridCol w:w="124"/>
        <w:gridCol w:w="109"/>
        <w:gridCol w:w="109"/>
        <w:gridCol w:w="2532"/>
        <w:gridCol w:w="2532"/>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89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quarterly period ended June 30, 2024</w:t>
            </w:r>
          </w:p>
        </w:tc>
      </w:tr>
      <w:tr>
        <w:trPr/>
        <w:tc>
          <w:tcPr>
            <w:tcW w:w="89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899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transition period from ________ to ________</w:t>
            </w:r>
          </w:p>
        </w:tc>
      </w:tr>
    </w:tbl>
    <w:tbl>
      <w:tblPr>
        <w:tblW w:w="3118" w:type="dxa"/>
        <w:jc w:val="center"/>
        <w:tblInd w:w="0" w:type="dxa"/>
        <w:tblLayout w:type="fixed"/>
        <w:tblCellMar>
          <w:top w:w="28" w:type="dxa"/>
          <w:left w:w="28" w:type="dxa"/>
          <w:bottom w:w="28" w:type="dxa"/>
          <w:right w:w="28" w:type="dxa"/>
        </w:tblCellMar>
      </w:tblPr>
      <w:tblGrid>
        <w:gridCol w:w="793"/>
        <w:gridCol w:w="696"/>
        <w:gridCol w:w="700"/>
        <w:gridCol w:w="272"/>
        <w:gridCol w:w="272"/>
        <w:gridCol w:w="385"/>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Commission File Number:</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001-37552</w:t>
            </w:r>
          </w:p>
        </w:tc>
      </w:tr>
    </w:tbl>
    <w:p>
      <w:pPr>
        <w:pStyle w:val="TextBody"/>
        <w:bidi w:val="0"/>
        <w:spacing w:before="0" w:after="16"/>
        <w:jc w:val="center"/>
        <w:rPr/>
      </w:pPr>
      <w:r>
        <w:rPr/>
        <w:drawing>
          <wp:inline distT="0" distB="0" distL="0" distR="0">
            <wp:extent cx="20383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85800"/>
                    </a:xfrm>
                    <a:prstGeom prst="rect">
                      <a:avLst/>
                    </a:prstGeom>
                  </pic:spPr>
                </pic:pic>
              </a:graphicData>
            </a:graphic>
          </wp:inline>
        </w:drawing>
      </w:r>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WILLSCOT HOLDINGS CORPORATION</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619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82-3430194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4646 E Van Buren St., Suite 400</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Phoenix, Arizona 85008</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(Address, including zip code, of principal executive offices)</w:t>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(480) 894-6311</w:t>
      </w:r>
    </w:p>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 xml:space="preserve">(Former Name or Former Address, if Changed Since Last Report) </w:t>
      </w:r>
    </w:p>
    <w:p>
      <w:pPr>
        <w:pStyle w:val="TextBody"/>
        <w:bidi w:val="0"/>
        <w:spacing w:before="0" w:after="60"/>
        <w:jc w:val="center"/>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23" w:type="dxa"/>
        <w:jc w:val="left"/>
        <w:tblInd w:w="0" w:type="dxa"/>
        <w:tblLayout w:type="fixed"/>
        <w:tblCellMar>
          <w:top w:w="28" w:type="dxa"/>
          <w:left w:w="28" w:type="dxa"/>
          <w:bottom w:w="28" w:type="dxa"/>
          <w:right w:w="28" w:type="dxa"/>
        </w:tblCellMar>
      </w:tblPr>
      <w:tblGrid>
        <w:gridCol w:w="1225"/>
        <w:gridCol w:w="1076"/>
        <w:gridCol w:w="1089"/>
        <w:gridCol w:w="524"/>
        <w:gridCol w:w="524"/>
        <w:gridCol w:w="526"/>
        <w:gridCol w:w="1071"/>
        <w:gridCol w:w="1071"/>
        <w:gridCol w:w="1517"/>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WSC</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The Nasdaq Capital Market</w:t>
            </w:r>
          </w:p>
        </w:tc>
      </w:tr>
    </w:tbl>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 xml:space="preserve">☐ </w:t>
      </w:r>
    </w:p>
    <w:p>
      <w:pPr>
        <w:pStyle w:val="TextBody"/>
        <w:bidi w:val="0"/>
        <w:spacing w:lineRule="auto" w:line="288" w:before="0" w:after="60"/>
        <w:ind w:left="0" w:right="0" w:firstLine="72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ind w:left="0" w:right="0" w:firstLine="72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50" w:type="dxa"/>
        <w:jc w:val="left"/>
        <w:tblInd w:w="0" w:type="dxa"/>
        <w:tblLayout w:type="fixed"/>
        <w:tblCellMar>
          <w:top w:w="28" w:type="dxa"/>
          <w:left w:w="28" w:type="dxa"/>
          <w:bottom w:w="28" w:type="dxa"/>
          <w:right w:w="28" w:type="dxa"/>
        </w:tblCellMar>
      </w:tblPr>
      <w:tblGrid>
        <w:gridCol w:w="721"/>
        <w:gridCol w:w="636"/>
        <w:gridCol w:w="638"/>
        <w:gridCol w:w="690"/>
        <w:gridCol w:w="690"/>
        <w:gridCol w:w="975"/>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Large 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Accelerated filer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Smaller reporting company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Emerging growth company </w:t>
            </w:r>
            <w:r>
              <w:rPr>
                <w:color w:val="000000"/>
              </w:rPr>
              <w:t>☐</w:t>
            </w:r>
          </w:p>
        </w:tc>
      </w:tr>
    </w:tbl>
    <w:p>
      <w:pPr>
        <w:pStyle w:val="TextBody"/>
        <w:bidi w:val="0"/>
        <w:spacing w:lineRule="auto" w:line="288" w:before="60" w:after="60"/>
        <w:ind w:left="0" w:right="0" w:firstLine="72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720"/>
        <w:jc w:val="both"/>
        <w:rPr/>
      </w:pPr>
      <w:r>
        <w:rPr>
          <w:rFonts w:ascii="Arial;sans-serif" w:hAnsi="Arial;sans-serif"/>
          <w:b w:val="false"/>
          <w:color w:val="000000"/>
          <w:sz w:val="16"/>
        </w:rPr>
        <w:t>Indicate by check mark whether the registrant is a shell compan</w:t>
      </w:r>
      <w:r>
        <w:rPr>
          <w:rFonts w:ascii="Arial;sans-serif" w:hAnsi="Arial;sans-serif"/>
          <w:b w:val="false"/>
          <w:color w:val="000000"/>
          <w:sz w:val="16"/>
          <w:shd w:fill="FFFFFF" w:val="clear"/>
        </w:rPr>
        <w:t xml:space="preserve">y (as defined in Rule 12b-2 of the Act). Yes </w:t>
      </w:r>
      <w:r>
        <w:rPr>
          <w:color w:val="000000"/>
          <w:shd w:fill="FFFFFF" w:val="clear"/>
        </w:rPr>
        <w:t xml:space="preserve">☐ </w:t>
      </w:r>
      <w:r>
        <w:rPr>
          <w:rFonts w:ascii="Arial;sans-serif" w:hAnsi="Arial;sans-serif"/>
          <w:b w:val="false"/>
          <w:color w:val="000000"/>
          <w:sz w:val="16"/>
          <w:shd w:fill="FFFFFF" w:val="clear"/>
        </w:rPr>
        <w:t xml:space="preserve">No </w:t>
      </w:r>
      <w:r>
        <w:rPr>
          <w:color w:val="000000"/>
          <w:shd w:fill="FFFFFF" w:val="clear"/>
        </w:rPr>
        <w:t>☒</w:t>
      </w:r>
    </w:p>
    <w:p>
      <w:pPr>
        <w:pStyle w:val="TextBody"/>
        <w:bidi w:val="0"/>
        <w:spacing w:lineRule="auto" w:line="288" w:before="0" w:after="60"/>
        <w:ind w:left="0" w:right="0" w:firstLine="720"/>
        <w:jc w:val="both"/>
        <w:rPr/>
      </w:pPr>
      <w:r>
        <w:rPr>
          <w:rFonts w:ascii="Arial;sans-serif" w:hAnsi="Arial;sans-serif"/>
          <w:b w:val="false"/>
          <w:color w:val="000000"/>
          <w:sz w:val="16"/>
          <w:shd w:fill="FFFFFF" w:val="clear"/>
        </w:rPr>
        <w:t>Shares of Common Stock, par value $0.0001 per share, outstandi</w:t>
      </w:r>
      <w:r>
        <w:rPr>
          <w:rFonts w:ascii="Arial;sans-serif" w:hAnsi="Arial;sans-serif"/>
          <w:b w:val="false"/>
          <w:color w:val="000000"/>
          <w:sz w:val="16"/>
        </w:rPr>
        <w:t>ng: 188,490,850 shares at July 24,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jc w:val="both"/>
                        <w:rPr/>
                      </w:pPr>
                      <w:r>
                        <w:rPr/>
                      </w:r>
                    </w:p>
                  </w:txbxContent>
                </v:textbox>
                <w10:wrap type="none"/>
              </v:rect>
            </w:pict>
          </mc:Fallback>
        </mc:AlternateContent>
      </w:r>
    </w:p>
    <w:p>
      <w:pPr>
        <w:pStyle w:val="TextBody"/>
        <w:bidi w:val="0"/>
        <w:spacing w:before="0" w:after="60"/>
        <w:jc w:val="both"/>
        <w:rPr/>
      </w:pPr>
      <w:r>
        <w:rPr/>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WILLSCOT HOLDINGS CORPORATION</w:t>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Quarterly Report on Form 10-Q</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Table of Contents</w:t>
      </w:r>
    </w:p>
    <w:tbl>
      <w:tblPr>
        <w:tblW w:w="10205" w:type="dxa"/>
        <w:jc w:val="center"/>
        <w:tblInd w:w="0" w:type="dxa"/>
        <w:tblLayout w:type="fixed"/>
        <w:tblCellMar>
          <w:top w:w="28" w:type="dxa"/>
          <w:left w:w="28" w:type="dxa"/>
          <w:bottom w:w="28" w:type="dxa"/>
          <w:right w:w="28" w:type="dxa"/>
        </w:tblCellMar>
      </w:tblPr>
      <w:tblGrid>
        <w:gridCol w:w="195"/>
        <w:gridCol w:w="172"/>
        <w:gridCol w:w="172"/>
        <w:gridCol w:w="228"/>
        <w:gridCol w:w="204"/>
        <w:gridCol w:w="195"/>
        <w:gridCol w:w="559"/>
        <w:gridCol w:w="559"/>
        <w:gridCol w:w="559"/>
        <w:gridCol w:w="2333"/>
        <w:gridCol w:w="2127"/>
        <w:gridCol w:w="290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0">
              <w:r>
                <w:rPr>
                  <w:rStyle w:val="InternetLink"/>
                  <w:rFonts w:ascii="Arial;sans-serif" w:hAnsi="Arial;sans-serif"/>
                  <w:b/>
                  <w:strike w:val="false"/>
                  <w:dstrike w:val="false"/>
                  <w:color w:val="000000"/>
                  <w:sz w:val="18"/>
                  <w:u w:val="none"/>
                  <w:effect w:val="none"/>
                </w:rPr>
                <w:t>PART I</w:t>
              </w:r>
            </w:hyperlink>
            <w:r>
              <w:rPr>
                <w:rFonts w:ascii="Arial;sans-serif" w:hAnsi="Arial;sans-serif"/>
                <w:b/>
                <w:color w:val="000000"/>
                <w:sz w:val="18"/>
              </w:rPr>
              <w:t xml:space="preserve"> Financial Information</w:t>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3">
              <w:r>
                <w:rPr>
                  <w:rStyle w:val="InternetLink"/>
                  <w:rFonts w:ascii="Arial;sans-serif" w:hAnsi="Arial;sans-serif"/>
                  <w:b w:val="false"/>
                  <w:strike w:val="false"/>
                  <w:dstrike w:val="false"/>
                  <w:color w:val="000000"/>
                  <w:sz w:val="18"/>
                  <w:u w:val="none"/>
                  <w:effect w:val="none"/>
                </w:rPr>
                <w:t>Item 1</w:t>
              </w:r>
            </w:hyperlink>
          </w:p>
        </w:tc>
        <w:tc>
          <w:tcPr>
            <w:tcW w:w="9039"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3">
              <w:r>
                <w:rPr>
                  <w:rStyle w:val="InternetLink"/>
                  <w:rFonts w:ascii="Arial;sans-serif" w:hAnsi="Arial;sans-serif"/>
                  <w:b w:val="false"/>
                  <w:strike w:val="false"/>
                  <w:dstrike w:val="false"/>
                  <w:color w:val="000000"/>
                  <w:sz w:val="18"/>
                  <w:u w:val="none"/>
                  <w:effect w:val="none"/>
                </w:rPr>
                <w:t>Financial Statements (unaudited, except as noted below)</w:t>
              </w:r>
            </w:hyperlink>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6">
              <w:r>
                <w:rPr>
                  <w:rStyle w:val="InternetLink"/>
                  <w:rFonts w:ascii="Arial;sans-serif" w:hAnsi="Arial;sans-serif"/>
                  <w:b w:val="false"/>
                  <w:strike w:val="false"/>
                  <w:dstrike w:val="false"/>
                  <w:color w:val="000000"/>
                  <w:sz w:val="18"/>
                  <w:u w:val="none"/>
                  <w:effect w:val="none"/>
                </w:rPr>
                <w:t xml:space="preserve">Condensed Consolidated Balance Sheets as of </w:t>
              </w:r>
            </w:hyperlink>
            <w:r>
              <w:rPr>
                <w:rFonts w:ascii="Arial;sans-serif" w:hAnsi="Arial;sans-serif"/>
                <w:b w:val="false"/>
                <w:color w:val="000000"/>
                <w:sz w:val="18"/>
              </w:rPr>
              <w:t>June 30, 2024</w:t>
            </w:r>
            <w:hyperlink w:anchor="i6421918439eb49b1895ce68f6e1c9e1a_16">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December 31, 2023</w:t>
            </w:r>
            <w:hyperlink w:anchor="i6421918439eb49b1895ce68f6e1c9e1a_16">
              <w:r>
                <w:rPr>
                  <w:rStyle w:val="InternetLink"/>
                  <w:rFonts w:ascii="Arial;sans-serif" w:hAnsi="Arial;sans-serif"/>
                  <w:b w:val="false"/>
                  <w:strike w:val="false"/>
                  <w:dstrike w:val="false"/>
                  <w:color w:val="000000"/>
                  <w:sz w:val="18"/>
                  <w:u w:val="none"/>
                  <w:effect w:val="none"/>
                </w:rPr>
                <w:t xml:space="preserve"> (audited)</w:t>
              </w:r>
            </w:hyperlink>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9">
              <w:r>
                <w:rPr>
                  <w:rStyle w:val="InternetLink"/>
                  <w:rFonts w:ascii="Arial;sans-serif" w:hAnsi="Arial;sans-serif"/>
                  <w:b w:val="false"/>
                  <w:strike w:val="false"/>
                  <w:dstrike w:val="false"/>
                  <w:color w:val="000000"/>
                  <w:sz w:val="18"/>
                  <w:u w:val="none"/>
                  <w:effect w:val="none"/>
                </w:rPr>
                <w:t xml:space="preserve">Condensed Consolidated Statements of Operations for the </w:t>
              </w:r>
            </w:hyperlink>
            <w:r>
              <w:rPr>
                <w:rFonts w:ascii="Arial;sans-serif" w:hAnsi="Arial;sans-serif"/>
                <w:b w:val="false"/>
                <w:color w:val="000000"/>
                <w:sz w:val="18"/>
              </w:rPr>
              <w:t>Three and Six Months Ended June 30, 2024</w:t>
            </w:r>
            <w:hyperlink w:anchor="i6421918439eb49b1895ce68f6e1c9e1a_19">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2023</w:t>
            </w:r>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r>
              <w:rPr>
                <w:rFonts w:ascii="Arial;sans-serif" w:hAnsi="Arial;sans-serif"/>
                <w:b w:val="false"/>
                <w:color w:val="000000"/>
                <w:sz w:val="18"/>
              </w:rPr>
              <w:t xml:space="preserve">Condensed Consolidated Statements of Comprehensive Income for the Three and Six Months Ended June 30, 2024 </w:t>
            </w:r>
            <w:hyperlink w:anchor="i6421918439eb49b1895ce68f6e1c9e1a_19">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2023</w:t>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21918439eb49b1895ce68f6e1c9e1a_25">
              <w:r>
                <w:rPr>
                  <w:rStyle w:val="InternetLink"/>
                  <w:rFonts w:ascii="Arial;sans-serif" w:hAnsi="Arial;sans-serif"/>
                  <w:b w:val="false"/>
                  <w:strike w:val="false"/>
                  <w:dstrike w:val="false"/>
                  <w:color w:val="000000"/>
                  <w:sz w:val="18"/>
                  <w:u w:val="none"/>
                  <w:effect w:val="none"/>
                </w:rPr>
                <w:t xml:space="preserve">Condensed Consolidated Statements of Changes in Equity for the </w:t>
              </w:r>
            </w:hyperlink>
            <w:r>
              <w:rPr>
                <w:rFonts w:ascii="Arial;sans-serif" w:hAnsi="Arial;sans-serif"/>
                <w:b w:val="false"/>
                <w:color w:val="000000"/>
                <w:sz w:val="18"/>
              </w:rPr>
              <w:t>Three and Six Months Ended June 30, 2024</w:t>
            </w:r>
            <w:hyperlink w:anchor="i6421918439eb49b1895ce68f6e1c9e1a_19">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2023</w:t>
            </w:r>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28">
              <w:r>
                <w:rPr>
                  <w:rStyle w:val="InternetLink"/>
                  <w:rFonts w:ascii="Arial;sans-serif" w:hAnsi="Arial;sans-serif"/>
                  <w:b w:val="false"/>
                  <w:strike w:val="false"/>
                  <w:dstrike w:val="false"/>
                  <w:color w:val="000000"/>
                  <w:sz w:val="18"/>
                  <w:u w:val="none"/>
                  <w:effect w:val="none"/>
                </w:rPr>
                <w:t xml:space="preserve">Condensed Consolidated Statements of Cash Flows for the </w:t>
              </w:r>
            </w:hyperlink>
            <w:r>
              <w:rPr>
                <w:rFonts w:ascii="Arial;sans-serif" w:hAnsi="Arial;sans-serif"/>
                <w:b w:val="false"/>
                <w:color w:val="000000"/>
                <w:sz w:val="18"/>
              </w:rPr>
              <w:t>Six Months Ended June 30, 2024</w:t>
            </w:r>
            <w:hyperlink w:anchor="i6421918439eb49b1895ce68f6e1c9e1a_28">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2023</w:t>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both"/>
              <w:rPr/>
            </w:pPr>
            <w:hyperlink w:anchor="i6421918439eb49b1895ce68f6e1c9e1a_31">
              <w:r>
                <w:rPr>
                  <w:rStyle w:val="InternetLink"/>
                  <w:rFonts w:ascii="Arial;sans-serif" w:hAnsi="Arial;sans-serif"/>
                  <w:b w:val="false"/>
                  <w:strike w:val="false"/>
                  <w:dstrike w:val="false"/>
                  <w:color w:val="000000"/>
                  <w:sz w:val="18"/>
                  <w:u w:val="none"/>
                  <w:effect w:val="none"/>
                </w:rPr>
                <w:t>Notes to the Condensed Consolidated Financial Statements</w:t>
              </w:r>
            </w:hyperlink>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15">
              <w:r>
                <w:rPr>
                  <w:rStyle w:val="InternetLink"/>
                  <w:rFonts w:ascii="Arial;sans-serif" w:hAnsi="Arial;sans-serif"/>
                  <w:b w:val="false"/>
                  <w:strike w:val="false"/>
                  <w:dstrike w:val="false"/>
                  <w:color w:val="000000"/>
                  <w:sz w:val="18"/>
                  <w:u w:val="none"/>
                  <w:effect w:val="none"/>
                </w:rPr>
                <w:t>Item 2</w:t>
              </w:r>
            </w:hyperlink>
          </w:p>
        </w:tc>
        <w:tc>
          <w:tcPr>
            <w:tcW w:w="9039"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15">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45">
              <w:r>
                <w:rPr>
                  <w:rStyle w:val="InternetLink"/>
                  <w:rFonts w:ascii="Arial;sans-serif" w:hAnsi="Arial;sans-serif"/>
                  <w:b w:val="false"/>
                  <w:strike w:val="false"/>
                  <w:dstrike w:val="false"/>
                  <w:color w:val="000000"/>
                  <w:sz w:val="18"/>
                  <w:u w:val="none"/>
                  <w:effect w:val="none"/>
                </w:rPr>
                <w:t>Item 3</w:t>
              </w:r>
            </w:hyperlink>
          </w:p>
        </w:tc>
        <w:tc>
          <w:tcPr>
            <w:tcW w:w="9039"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45">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48">
              <w:r>
                <w:rPr>
                  <w:rStyle w:val="InternetLink"/>
                  <w:rFonts w:ascii="Arial;sans-serif" w:hAnsi="Arial;sans-serif"/>
                  <w:b w:val="false"/>
                  <w:strike w:val="false"/>
                  <w:dstrike w:val="false"/>
                  <w:color w:val="000000"/>
                  <w:sz w:val="18"/>
                  <w:u w:val="none"/>
                  <w:effect w:val="none"/>
                </w:rPr>
                <w:t>Item 4</w:t>
              </w:r>
            </w:hyperlink>
          </w:p>
        </w:tc>
        <w:tc>
          <w:tcPr>
            <w:tcW w:w="9039"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48">
              <w:r>
                <w:rPr>
                  <w:rStyle w:val="InternetLink"/>
                  <w:rFonts w:ascii="Arial;sans-serif" w:hAnsi="Arial;sans-serif"/>
                  <w:b w:val="false"/>
                  <w:strike w:val="false"/>
                  <w:dstrike w:val="false"/>
                  <w:color w:val="000000"/>
                  <w:sz w:val="18"/>
                  <w:u w:val="none"/>
                  <w:effect w:val="none"/>
                </w:rPr>
                <w:t>Controls and Procedures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51">
              <w:r>
                <w:rPr>
                  <w:rStyle w:val="InternetLink"/>
                  <w:rFonts w:ascii="Arial;sans-serif" w:hAnsi="Arial;sans-serif"/>
                  <w:b/>
                  <w:strike w:val="false"/>
                  <w:dstrike w:val="false"/>
                  <w:color w:val="000000"/>
                  <w:sz w:val="18"/>
                  <w:u w:val="none"/>
                  <w:effect w:val="none"/>
                </w:rPr>
                <w:t>PART II Other Information</w:t>
              </w:r>
            </w:hyperlink>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54">
              <w:r>
                <w:rPr>
                  <w:rStyle w:val="InternetLink"/>
                  <w:rFonts w:ascii="Arial;sans-serif" w:hAnsi="Arial;sans-serif"/>
                  <w:b w:val="false"/>
                  <w:strike w:val="false"/>
                  <w:dstrike w:val="false"/>
                  <w:color w:val="000000"/>
                  <w:sz w:val="18"/>
                  <w:u w:val="none"/>
                  <w:effect w:val="none"/>
                </w:rPr>
                <w:t>Item 1</w:t>
              </w:r>
            </w:hyperlink>
          </w:p>
        </w:tc>
        <w:tc>
          <w:tcPr>
            <w:tcW w:w="9039"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54">
              <w:r>
                <w:rPr>
                  <w:rStyle w:val="InternetLink"/>
                  <w:rFonts w:ascii="Arial;sans-serif" w:hAnsi="Arial;sans-serif"/>
                  <w:b w:val="false"/>
                  <w:strike w:val="false"/>
                  <w:dstrike w:val="false"/>
                  <w:color w:val="000000"/>
                  <w:sz w:val="18"/>
                  <w:u w:val="none"/>
                  <w:effect w:val="none"/>
                </w:rPr>
                <w:t>Legal Proceedings</w:t>
              </w:r>
            </w:hyperlink>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57">
              <w:r>
                <w:rPr>
                  <w:rStyle w:val="InternetLink"/>
                  <w:rFonts w:ascii="Arial;sans-serif" w:hAnsi="Arial;sans-serif"/>
                  <w:b w:val="false"/>
                  <w:strike w:val="false"/>
                  <w:dstrike w:val="false"/>
                  <w:color w:val="000000"/>
                  <w:sz w:val="18"/>
                  <w:u w:val="none"/>
                  <w:effect w:val="none"/>
                </w:rPr>
                <w:t>Item 1A</w:t>
              </w:r>
            </w:hyperlink>
          </w:p>
        </w:tc>
        <w:tc>
          <w:tcPr>
            <w:tcW w:w="9039"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57">
              <w:r>
                <w:rPr>
                  <w:rStyle w:val="InternetLink"/>
                  <w:rFonts w:ascii="Arial;sans-serif" w:hAnsi="Arial;sans-serif"/>
                  <w:b w:val="false"/>
                  <w:strike w:val="false"/>
                  <w:dstrike w:val="false"/>
                  <w:color w:val="000000"/>
                  <w:sz w:val="18"/>
                  <w:u w:val="none"/>
                  <w:effect w:val="none"/>
                </w:rPr>
                <w:t>Risk Factors</w:t>
              </w:r>
            </w:hyperlink>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60">
              <w:r>
                <w:rPr>
                  <w:rStyle w:val="InternetLink"/>
                  <w:rFonts w:ascii="Arial;sans-serif" w:hAnsi="Arial;sans-serif"/>
                  <w:b w:val="false"/>
                  <w:strike w:val="false"/>
                  <w:dstrike w:val="false"/>
                  <w:color w:val="000000"/>
                  <w:sz w:val="18"/>
                  <w:u w:val="none"/>
                  <w:effect w:val="none"/>
                </w:rPr>
                <w:t>Item 2</w:t>
              </w:r>
            </w:hyperlink>
          </w:p>
        </w:tc>
        <w:tc>
          <w:tcPr>
            <w:tcW w:w="9039"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60">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66">
              <w:r>
                <w:rPr>
                  <w:rStyle w:val="InternetLink"/>
                  <w:rFonts w:ascii="Arial;sans-serif" w:hAnsi="Arial;sans-serif"/>
                  <w:b w:val="false"/>
                  <w:strike w:val="false"/>
                  <w:dstrike w:val="false"/>
                  <w:color w:val="000000"/>
                  <w:sz w:val="18"/>
                  <w:u w:val="none"/>
                  <w:effect w:val="none"/>
                </w:rPr>
                <w:t>Item 3</w:t>
              </w:r>
            </w:hyperlink>
          </w:p>
        </w:tc>
        <w:tc>
          <w:tcPr>
            <w:tcW w:w="9039"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66">
              <w:r>
                <w:rPr>
                  <w:rStyle w:val="InternetLink"/>
                  <w:rFonts w:ascii="Arial;sans-serif" w:hAnsi="Arial;sans-serif"/>
                  <w:b w:val="false"/>
                  <w:strike w:val="false"/>
                  <w:dstrike w:val="false"/>
                  <w:color w:val="000000"/>
                  <w:sz w:val="18"/>
                  <w:u w:val="none"/>
                  <w:effect w:val="none"/>
                </w:rPr>
                <w:t>Defaults Upon Senior Securities</w:t>
              </w:r>
            </w:hyperlink>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69">
              <w:r>
                <w:rPr>
                  <w:rStyle w:val="InternetLink"/>
                  <w:rFonts w:ascii="Arial;sans-serif" w:hAnsi="Arial;sans-serif"/>
                  <w:b w:val="false"/>
                  <w:strike w:val="false"/>
                  <w:dstrike w:val="false"/>
                  <w:color w:val="000000"/>
                  <w:sz w:val="18"/>
                  <w:u w:val="none"/>
                  <w:effect w:val="none"/>
                </w:rPr>
                <w:t>Item 4</w:t>
              </w:r>
            </w:hyperlink>
          </w:p>
        </w:tc>
        <w:tc>
          <w:tcPr>
            <w:tcW w:w="9039"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69">
              <w:r>
                <w:rPr>
                  <w:rStyle w:val="InternetLink"/>
                  <w:rFonts w:ascii="Arial;sans-serif" w:hAnsi="Arial;sans-serif"/>
                  <w:b w:val="false"/>
                  <w:strike w:val="false"/>
                  <w:dstrike w:val="false"/>
                  <w:color w:val="000000"/>
                  <w:sz w:val="18"/>
                  <w:u w:val="none"/>
                  <w:effect w:val="none"/>
                </w:rPr>
                <w:t>Mine Safety Disclosures</w:t>
              </w:r>
            </w:hyperlink>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72">
              <w:r>
                <w:rPr>
                  <w:rStyle w:val="InternetLink"/>
                  <w:rFonts w:ascii="Arial;sans-serif" w:hAnsi="Arial;sans-serif"/>
                  <w:b w:val="false"/>
                  <w:strike w:val="false"/>
                  <w:dstrike w:val="false"/>
                  <w:color w:val="000000"/>
                  <w:sz w:val="18"/>
                  <w:u w:val="none"/>
                  <w:effect w:val="none"/>
                </w:rPr>
                <w:t>Item 5</w:t>
              </w:r>
            </w:hyperlink>
          </w:p>
        </w:tc>
        <w:tc>
          <w:tcPr>
            <w:tcW w:w="9039"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72">
              <w:r>
                <w:rPr>
                  <w:rStyle w:val="InternetLink"/>
                  <w:rFonts w:ascii="Arial;sans-serif" w:hAnsi="Arial;sans-serif"/>
                  <w:b w:val="false"/>
                  <w:strike w:val="false"/>
                  <w:dstrike w:val="false"/>
                  <w:color w:val="000000"/>
                  <w:sz w:val="18"/>
                  <w:u w:val="none"/>
                  <w:effect w:val="none"/>
                </w:rPr>
                <w:t>Other Information</w:t>
              </w:r>
            </w:hyperlink>
          </w:p>
        </w:tc>
      </w:tr>
      <w:tr>
        <w:trPr/>
        <w:tc>
          <w:tcPr>
            <w:tcW w:w="5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75">
              <w:r>
                <w:rPr>
                  <w:rStyle w:val="InternetLink"/>
                  <w:rFonts w:ascii="Arial;sans-serif" w:hAnsi="Arial;sans-serif"/>
                  <w:b w:val="false"/>
                  <w:strike w:val="false"/>
                  <w:dstrike w:val="false"/>
                  <w:color w:val="000000"/>
                  <w:sz w:val="18"/>
                  <w:u w:val="none"/>
                  <w:effect w:val="none"/>
                </w:rPr>
                <w:t>Item 6</w:t>
              </w:r>
            </w:hyperlink>
          </w:p>
        </w:tc>
        <w:tc>
          <w:tcPr>
            <w:tcW w:w="9039"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75">
              <w:r>
                <w:rPr>
                  <w:rStyle w:val="InternetLink"/>
                  <w:rFonts w:ascii="Arial;sans-serif" w:hAnsi="Arial;sans-serif"/>
                  <w:b w:val="false"/>
                  <w:strike w:val="false"/>
                  <w:dstrike w:val="false"/>
                  <w:color w:val="000000"/>
                  <w:sz w:val="18"/>
                  <w:u w:val="none"/>
                  <w:effect w:val="none"/>
                </w:rPr>
                <w:t>Exhibits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421918439eb49b1895ce68f6e1c9e1a_178">
              <w:r>
                <w:rPr>
                  <w:rStyle w:val="InternetLink"/>
                  <w:rFonts w:ascii="Arial;sans-serif" w:hAnsi="Arial;sans-serif"/>
                  <w:b/>
                  <w:strike w:val="false"/>
                  <w:dstrike w:val="false"/>
                  <w:color w:val="000000"/>
                  <w:sz w:val="18"/>
                  <w:u w:val="none"/>
                  <w:effect w:val="none"/>
                </w:rPr>
                <w:t>SIGNATURE</w:t>
              </w:r>
            </w:hyperlink>
          </w:p>
        </w:tc>
      </w:tr>
    </w:tbl>
    <w:p>
      <w:pPr>
        <w:pStyle w:val="TextBody"/>
        <w:bidi w:val="0"/>
        <w:spacing w:before="0" w:after="60"/>
        <w:jc w:val="center"/>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70840"/>
                <wp:effectExtent l="0" t="0" r="0" b="0"/>
                <wp:wrapNone/>
                <wp:docPr id="3" name="Frame2"/>
                <a:graphic xmlns:a="http://schemas.openxmlformats.org/drawingml/2006/main">
                  <a:graphicData uri="http://schemas.microsoft.com/office/word/2010/wordprocessingShape">
                    <wps:wsp>
                      <wps:cNvSpPr txBox="1"/>
                      <wps:spPr>
                        <a:xfrm>
                          <a:off x="0" y="0"/>
                          <a:ext cx="6480175" cy="370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60"/>
                        <w:jc w:val="center"/>
                        <w:rPr/>
                      </w:pPr>
                      <w:r>
                        <w:rPr/>
                      </w:r>
                    </w:p>
                  </w:txbxContent>
                </v:textbox>
                <w10:wrap type="none"/>
              </v:rect>
            </w:pict>
          </mc:Fallback>
        </mc:AlternateContent>
      </w:r>
    </w:p>
    <w:p>
      <w:pPr>
        <w:pStyle w:val="TextBody"/>
        <w:bidi w:val="0"/>
        <w:spacing w:before="0" w:after="60"/>
        <w:jc w:val="center"/>
        <w:rPr/>
      </w:pPr>
      <w:r>
        <w:rPr/>
      </w:r>
    </w:p>
    <w:p>
      <w:pPr>
        <w:pStyle w:val="TextBody"/>
        <w:bidi w:val="0"/>
        <w:spacing w:lineRule="auto" w:line="240" w:before="0" w:after="60"/>
        <w:ind w:left="0" w:right="0" w:hanging="2160"/>
        <w:jc w:val="center"/>
        <w:rPr>
          <w:rFonts w:ascii="Arial;sans-serif" w:hAnsi="Arial;sans-serif"/>
          <w:b/>
          <w:color w:val="000000"/>
          <w:sz w:val="40"/>
        </w:rPr>
      </w:pPr>
      <w:r>
        <w:rPr>
          <w:rFonts w:ascii="Arial;sans-serif" w:hAnsi="Arial;sans-serif"/>
          <w:b/>
          <w:color w:val="000000"/>
          <w:sz w:val="4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04"/>
        <w:gridCol w:w="2027"/>
        <w:gridCol w:w="2040"/>
        <w:gridCol w:w="272"/>
        <w:gridCol w:w="1262"/>
        <w:gridCol w:w="140"/>
        <w:gridCol w:w="109"/>
        <w:gridCol w:w="109"/>
        <w:gridCol w:w="109"/>
        <w:gridCol w:w="240"/>
        <w:gridCol w:w="1111"/>
        <w:gridCol w:w="123"/>
        <w:gridCol w:w="159"/>
      </w:tblGrid>
      <w:tr>
        <w:trPr/>
        <w:tc>
          <w:tcPr>
            <w:tcW w:w="250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share data)</w:t>
            </w:r>
          </w:p>
        </w:tc>
        <w:tc>
          <w:tcPr>
            <w:tcW w:w="167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June 30, 2024 (unaudited)</w:t>
            </w:r>
          </w:p>
        </w:tc>
        <w:tc>
          <w:tcPr>
            <w:tcW w:w="327" w:type="dxa"/>
            <w:gridSpan w:val="3"/>
            <w:vMerge w:val="restart"/>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67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47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67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 receivables, net of allowances for credit losses at June 30, 2024 and December 31, 2023 of $89,070 and $81,656, respectively</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442,205 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451,130 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74,134 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57,492 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 – current</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534"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576,377 </w:t>
            </w:r>
          </w:p>
        </w:tc>
        <w:tc>
          <w:tcPr>
            <w:tcW w:w="14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569,096 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3,402,707 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351,513 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340,887 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1,175,701 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16,113 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4,626 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assets</w:t>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5,472,391 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5,568,819 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7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6,048,768 </w:t>
            </w:r>
          </w:p>
        </w:tc>
        <w:tc>
          <w:tcPr>
            <w:tcW w:w="14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6,137,915 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equity</w:t>
            </w:r>
          </w:p>
        </w:tc>
        <w:tc>
          <w:tcPr>
            <w:tcW w:w="1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72"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118,890 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86,123 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employee benefits</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44,122 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45,564 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63,884 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57,408 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534"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631,794 </w:t>
            </w:r>
          </w:p>
        </w:tc>
        <w:tc>
          <w:tcPr>
            <w:tcW w:w="14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562,020 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3,459,255 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3,538,516 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524,941 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554,268 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40,696 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34,024 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4,215,638 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4,314,645 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534"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4,847,432 </w:t>
            </w:r>
          </w:p>
        </w:tc>
        <w:tc>
          <w:tcPr>
            <w:tcW w:w="14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4,876,665 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$0.0001 par, 1,000,000 shares authorized and zero shares issued and outstanding at June 30, 2024 and December 31, 2023</w:t>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500,000,000 shares authorized and 188,591,960 and 189,967,135 shares issued and outstanding at June 30, 2024 and December 31, 2023, respectively</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paid-in-capital</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2,014,327 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2,089,091 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53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(47,306)</w:t>
            </w:r>
          </w:p>
        </w:tc>
        <w:tc>
          <w:tcPr>
            <w:tcW w:w="1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(765,704)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534"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1,201,336 </w:t>
            </w:r>
          </w:p>
        </w:tc>
        <w:tc>
          <w:tcPr>
            <w:tcW w:w="14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6,048,768 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6,137,915 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40" w:after="6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ind w:left="0" w:right="0" w:firstLine="72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 xml:space="preserve">Condensed Consolidated Statements of Operations </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10205" w:type="dxa"/>
        <w:jc w:val="left"/>
        <w:tblInd w:w="0" w:type="dxa"/>
        <w:tblLayout w:type="fixed"/>
        <w:tblCellMar>
          <w:top w:w="28" w:type="dxa"/>
          <w:left w:w="28" w:type="dxa"/>
          <w:bottom w:w="28" w:type="dxa"/>
          <w:right w:w="28" w:type="dxa"/>
        </w:tblCellMar>
      </w:tblPr>
      <w:tblGrid>
        <w:gridCol w:w="1480"/>
        <w:gridCol w:w="1255"/>
        <w:gridCol w:w="1262"/>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4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399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share data)</w:t>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458,592 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449,320 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919,193 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889,271 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196,071 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651,000 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297,680 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(gains) losses,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(6,197)</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92,112 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 before income tax</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from continuing operations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Discontinued operations: </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per share from continuing operations: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from discontinued operations: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w:t>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189,680,091 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200,946,619 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189,908,812 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204,635,764 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189,680,091 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204,326,162 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192,409,616 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208,233,141 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Condensed Consolidated Statements of Comprehensive (Loss) Income</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10205" w:type="dxa"/>
        <w:jc w:val="left"/>
        <w:tblInd w:w="0" w:type="dxa"/>
        <w:tblLayout w:type="fixed"/>
        <w:tblCellMar>
          <w:top w:w="28" w:type="dxa"/>
          <w:left w:w="28" w:type="dxa"/>
          <w:bottom w:w="28" w:type="dxa"/>
          <w:right w:w="28" w:type="dxa"/>
        </w:tblCellMar>
      </w:tblPr>
      <w:tblGrid>
        <w:gridCol w:w="1779"/>
        <w:gridCol w:w="1563"/>
        <w:gridCol w:w="1435"/>
        <w:gridCol w:w="211"/>
        <w:gridCol w:w="747"/>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6"/>
      </w:tblGrid>
      <w:tr>
        <w:trPr/>
        <w:tc>
          <w:tcPr>
            <w:tcW w:w="177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4777"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298,613 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income:</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 adjustment, net of income tax expense of $0.</w:t>
            </w:r>
          </w:p>
        </w:tc>
        <w:tc>
          <w:tcPr>
            <w:tcW w:w="9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gain on derivatives, net of income tax expense of $535 and $4,268 for the three months ended June 30, 2024 and 2023, respectively, and $5,050 and $4,046 for the six months ended June 30, 2024 and 2023, respectively.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 income</w:t>
            </w:r>
          </w:p>
        </w:tc>
        <w:tc>
          <w:tcPr>
            <w:tcW w:w="9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26,013 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 xml:space="preserve">Condensed Consolidated Statements of Changes in Equity </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10205" w:type="dxa"/>
        <w:jc w:val="left"/>
        <w:tblInd w:w="0" w:type="dxa"/>
        <w:tblLayout w:type="fixed"/>
        <w:tblCellMar>
          <w:top w:w="28" w:type="dxa"/>
          <w:left w:w="28" w:type="dxa"/>
          <w:bottom w:w="28" w:type="dxa"/>
          <w:right w:w="28" w:type="dxa"/>
        </w:tblCellMar>
      </w:tblPr>
      <w:tblGrid>
        <w:gridCol w:w="963"/>
        <w:gridCol w:w="582"/>
        <w:gridCol w:w="583"/>
        <w:gridCol w:w="413"/>
        <w:gridCol w:w="413"/>
        <w:gridCol w:w="241"/>
        <w:gridCol w:w="311"/>
        <w:gridCol w:w="388"/>
        <w:gridCol w:w="117"/>
        <w:gridCol w:w="242"/>
        <w:gridCol w:w="1127"/>
        <w:gridCol w:w="127"/>
        <w:gridCol w:w="363"/>
        <w:gridCol w:w="1272"/>
        <w:gridCol w:w="189"/>
        <w:gridCol w:w="243"/>
        <w:gridCol w:w="973"/>
        <w:gridCol w:w="127"/>
        <w:gridCol w:w="238"/>
        <w:gridCol w:w="1107"/>
        <w:gridCol w:w="186"/>
      </w:tblGrid>
      <w:tr>
        <w:trPr/>
        <w:tc>
          <w:tcPr>
            <w:tcW w:w="9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 2024</w:t>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r>
              <w:rPr>
                <w:rFonts w:ascii="Arial;sans-serif" w:hAnsi="Arial;sans-serif"/>
                <w:b/>
                <w:color w:val="FFFFFF"/>
                <w:sz w:val="18"/>
              </w:rPr>
              <w:t>Common Stock</w:t>
            </w:r>
          </w:p>
        </w:tc>
        <w:tc>
          <w:tcPr>
            <w:tcW w:w="1496"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Additional Paid-in-Capital</w:t>
            </w:r>
          </w:p>
        </w:tc>
        <w:tc>
          <w:tcPr>
            <w:tcW w:w="182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43"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31"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w:t>
            </w:r>
          </w:p>
        </w:tc>
        <w:tc>
          <w:tcPr>
            <w:tcW w:w="8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w:t>
            </w:r>
          </w:p>
        </w:tc>
        <w:tc>
          <w:tcPr>
            <w:tcW w:w="149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2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43"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3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189,967 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2,089,091 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(775,093)</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7,992 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7,992 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190,598 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2,083,735 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(44,776)</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(718,853)</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1,320,126 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(79,074)</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(79,075)</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8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188,592 </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2,014,327 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(47,306)</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(765,704)</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1,201,336 </w:t>
            </w:r>
          </w:p>
        </w:tc>
        <w:tc>
          <w:tcPr>
            <w:tcW w:w="1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956"/>
        <w:gridCol w:w="574"/>
        <w:gridCol w:w="575"/>
        <w:gridCol w:w="413"/>
        <w:gridCol w:w="413"/>
        <w:gridCol w:w="241"/>
        <w:gridCol w:w="298"/>
        <w:gridCol w:w="395"/>
        <w:gridCol w:w="116"/>
        <w:gridCol w:w="241"/>
        <w:gridCol w:w="1124"/>
        <w:gridCol w:w="127"/>
        <w:gridCol w:w="361"/>
        <w:gridCol w:w="1265"/>
        <w:gridCol w:w="188"/>
        <w:gridCol w:w="222"/>
        <w:gridCol w:w="1058"/>
        <w:gridCol w:w="114"/>
        <w:gridCol w:w="238"/>
        <w:gridCol w:w="1104"/>
        <w:gridCol w:w="182"/>
      </w:tblGrid>
      <w:tr>
        <w:trPr/>
        <w:tc>
          <w:tcPr>
            <w:tcW w:w="9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 2023</w:t>
            </w:r>
          </w:p>
        </w:tc>
      </w:tr>
      <w:tr>
        <w:trPr/>
        <w:tc>
          <w:tcPr>
            <w:tcW w:w="210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Common Stock</w:t>
            </w:r>
          </w:p>
        </w:tc>
        <w:tc>
          <w:tcPr>
            <w:tcW w:w="1492"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Additional Paid-in-Capital</w:t>
            </w:r>
          </w:p>
        </w:tc>
        <w:tc>
          <w:tcPr>
            <w:tcW w:w="181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9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2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10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w:t>
            </w:r>
          </w:p>
        </w:tc>
        <w:tc>
          <w:tcPr>
            <w:tcW w:w="8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w:t>
            </w:r>
          </w:p>
        </w:tc>
        <w:tc>
          <w:tcPr>
            <w:tcW w:w="1492"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1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9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2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207,952 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2,886,951 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(1,251,550)</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1,565,300 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8,150 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2,667,424 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(1,040,666)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1,563,924 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(241,545)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(241,546)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2023</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198,376 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2,435,571 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(44,109)</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(952,937)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1,438,545 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60"/>
        <w:jc w:val="both"/>
        <w:rPr/>
      </w:pPr>
      <w:r>
        <w:rPr/>
      </w:r>
    </w:p>
    <w:p>
      <w:pPr>
        <w:pStyle w:val="TextBody"/>
        <w:bidi w:val="0"/>
        <w:spacing w:before="0" w:after="60"/>
        <w:jc w:val="center"/>
        <w:rPr/>
      </w:pPr>
      <w:r>
        <w:rPr/>
      </w:r>
    </w:p>
    <w:p>
      <w:pPr>
        <w:pStyle w:val="TextBody"/>
        <w:bidi w:val="0"/>
        <w:spacing w:lineRule="auto" w:line="240" w:before="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40" w:before="0" w:after="60"/>
        <w:jc w:val="center"/>
        <w:rPr>
          <w:rFonts w:ascii="Arial;sans-serif" w:hAnsi="Arial;sans-serif"/>
          <w:b w:val="false"/>
          <w:color w:val="1D2758"/>
          <w:sz w:val="26"/>
        </w:rPr>
      </w:pPr>
      <w:r>
        <w:rPr>
          <w:rFonts w:ascii="Arial;sans-serif" w:hAnsi="Arial;sans-serif"/>
          <w:b w:val="false"/>
          <w:color w:val="1D2758"/>
          <w:sz w:val="26"/>
        </w:rPr>
        <w:t xml:space="preserve">Condensed Consolidated Statements of Cash Flows </w:t>
      </w:r>
    </w:p>
    <w:p>
      <w:pPr>
        <w:pStyle w:val="TextBody"/>
        <w:bidi w:val="0"/>
        <w:spacing w:lineRule="auto" w:line="240"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9278" w:type="dxa"/>
        <w:jc w:val="left"/>
        <w:tblInd w:w="0" w:type="dxa"/>
        <w:tblLayout w:type="fixed"/>
        <w:tblCellMar>
          <w:top w:w="28" w:type="dxa"/>
          <w:left w:w="28" w:type="dxa"/>
          <w:bottom w:w="28" w:type="dxa"/>
          <w:right w:w="28" w:type="dxa"/>
        </w:tblCellMar>
      </w:tblPr>
      <w:tblGrid>
        <w:gridCol w:w="2398"/>
        <w:gridCol w:w="2106"/>
        <w:gridCol w:w="2110"/>
        <w:gridCol w:w="211"/>
        <w:gridCol w:w="826"/>
        <w:gridCol w:w="109"/>
        <w:gridCol w:w="109"/>
        <w:gridCol w:w="109"/>
        <w:gridCol w:w="109"/>
        <w:gridCol w:w="211"/>
        <w:gridCol w:w="826"/>
        <w:gridCol w:w="154"/>
      </w:tblGrid>
      <w:tr>
        <w:trPr/>
        <w:tc>
          <w:tcPr>
            <w:tcW w:w="23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6614"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rental equipment and other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discounts and debt issuance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settlement of foreign currency forward contract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currency gains,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and liabilities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Acquisitions, net of cash acquired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(137,591)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settlement of foreign currency forward contract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borrowings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(870,028)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(674,719)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issuance of Common Stock from the exercise of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(456,297)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on employee stock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(195,662)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(520,257)</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Effect of exchange rate changes on cash and cash equivalents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change in cash and cash equivalents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end of the period</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accrued or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331"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120"/>
        <w:jc w:val="center"/>
        <w:rPr>
          <w:rFonts w:ascii="Arial;sans-serif" w:hAnsi="Arial;sans-serif"/>
          <w:b w:val="false"/>
          <w:color w:val="1D2758"/>
          <w:sz w:val="26"/>
        </w:rPr>
      </w:pPr>
      <w:r>
        <w:rPr>
          <w:rFonts w:ascii="Arial;sans-serif" w:hAnsi="Arial;sans-serif"/>
          <w:b w:val="false"/>
          <w:color w:val="1D2758"/>
          <w:sz w:val="26"/>
        </w:rPr>
        <w:t>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1 - Summary of Significant Accounting Policies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Organization and Nature of Operations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WillScot Holdings Corporation (“WillScot” and, together with its subsidiaries, the “Company”) is a leading business services provider specializing in innovative and flexible turnkey temporary space solutions in the United States (“US”), Canada, and Mexico. The Company leases, sells, delivers and installs modular space solutions and portable storage products through an integrated network of branch locations that spans North America.</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On July 29, 2024, the Company amended and restated its certificate of incorporation to effect a change of the Company’s name from “WillScot Mobile Mini Holdings Corp.” to “WillScot Holdings Corporation."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Basis of Presentation and Principles of Consolidation</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and its subsidiaries that it controls due to ownership of a </w:t>
      </w:r>
      <w:r>
        <w:rPr>
          <w:rFonts w:ascii="Arial;sans-serif" w:hAnsi="Arial;sans-serif"/>
          <w:b w:val="false"/>
          <w:color w:val="000000"/>
          <w:sz w:val="18"/>
          <w:shd w:fill="FFFFFF" w:val="clear"/>
        </w:rPr>
        <w:t xml:space="preserve">majority voting interest and contain all adjustments, which are of a normal and recurring nature, considered necessary by management to present fairly the financial position, results of operations and cash flows for the interim periods presented.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Subsidiaries are fully consolidated from the dat</w:t>
      </w:r>
      <w:r>
        <w:rPr>
          <w:rFonts w:ascii="Arial;sans-serif" w:hAnsi="Arial;sans-serif"/>
          <w:b w:val="false"/>
          <w:color w:val="000000"/>
          <w:sz w:val="18"/>
        </w:rPr>
        <w:t xml:space="preserve">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 </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results of operations for the six months ended June 30, 2024 </w:t>
      </w:r>
      <w:r>
        <w:rPr>
          <w:rFonts w:ascii="Arial;sans-serif" w:hAnsi="Arial;sans-serif"/>
          <w:b w:val="false"/>
          <w:color w:val="000000"/>
          <w:sz w:val="18"/>
          <w:shd w:fill="FFFFFF" w:val="clear"/>
        </w:rPr>
        <w:t xml:space="preserve">are not necessarily indicative of the results to be expected for the full year. For further information, refer to the consolidated financial statements and notes included in the Company's Annual Report on Form 10-K for the year ended December 31, 2023.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Segment Reporting</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completed the unification of its go-to market structure by integrating its modular and storage divisions under a single leadership team organized by geography, achieving local product unification within each metropolitan statistical area and the ability to consistently deliver its portfolio of solutions to its entire customer base. In connection with this change in operating model, the Company realigned the composition of its operating and reportable segments to reflect how its Chief Operating Decision Maker reviews financial information to allocate resources to and assess performance of the segments. As a result, the Company concluded that its two operating segments (US and Other North America) are aggregated into one reportable segment as the operating segments share similar economic characteristics (e.g., comparable gross margins and comparable adjusted earnings before interest, taxes, depreciation and amortization margins) and similar qualitative characteristics as the operating segments offer similar products and services to similar customers, use similar methods to distribute products and are subject to similar competitive risks.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Reclassifications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Certain reclassifications have been made to prior year financial statements to conform to the current year presentation.</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Recently Issued Accounting Standards</w:t>
      </w:r>
    </w:p>
    <w:p>
      <w:pPr>
        <w:pStyle w:val="TextBody"/>
        <w:bidi w:val="0"/>
        <w:spacing w:lineRule="auto" w:line="288" w:before="0" w:after="60"/>
        <w:jc w:val="both"/>
        <w:rPr/>
      </w:pPr>
      <w:r>
        <w:rPr>
          <w:rFonts w:ascii="Arial;sans-serif" w:hAnsi="Arial;sans-serif"/>
          <w:b w:val="false"/>
          <w:color w:val="000000"/>
          <w:sz w:val="18"/>
          <w:u w:val="single"/>
        </w:rPr>
        <w:t>ASU 2023-07.</w:t>
      </w:r>
      <w:r>
        <w:rPr>
          <w:color w:val="000000"/>
          <w:u w:val="single"/>
        </w:rPr>
        <w:t xml:space="preserve"> </w:t>
      </w:r>
      <w:r>
        <w:rPr>
          <w:rFonts w:ascii="Arial;sans-serif" w:hAnsi="Arial;sans-serif"/>
          <w:b w:val="false"/>
          <w:i/>
          <w:color w:val="000000"/>
          <w:sz w:val="18"/>
          <w:u w:val="single"/>
        </w:rPr>
        <w:t>Segment Reporting (Topic 280): Improvements to Reportable Segment Disclosures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November 2023, the Financial Accounting Standards Board ("FASB") issued Accounting Standards Update No. 2023-07 </w:t>
      </w:r>
      <w:r>
        <w:rPr>
          <w:rFonts w:ascii="Arial;sans-serif" w:hAnsi="Arial;sans-serif"/>
          <w:b w:val="false"/>
          <w:i/>
          <w:color w:val="000000"/>
          <w:sz w:val="18"/>
        </w:rPr>
        <w:t>Segment Reporting (Topic 280): Improvements to Reportable Segment Disclosures</w:t>
      </w:r>
      <w:r>
        <w:rPr>
          <w:color w:val="000000"/>
        </w:rPr>
        <w:t xml:space="preserve"> </w:t>
      </w:r>
      <w:r>
        <w:rPr>
          <w:rFonts w:ascii="Arial;sans-serif" w:hAnsi="Arial;sans-serif"/>
          <w:b w:val="false"/>
          <w:color w:val="000000"/>
          <w:sz w:val="18"/>
        </w:rPr>
        <w:t>("ASU 2023-07"). ASU 2023-07 expands the breadth and frequency of segment disclosures, requiring disclosure of (i) significant segment expenses, (ii) other segment items, (iii) the chief operating decision maker's title and position, (iv) how the chief operating decision maker uses the reported measures of a segment's profit or loss and (v) interim disclosure of all segment profit, loss and asset disclosures currently required annually. ASU 2023-07 clarifies that a public entity may report one or more measures of segment profit or loss and requires that single reportable segment entities provide all required segment disclosures. ASU 2023-07 is effective for fiscal years beginning after December 15, 2023 and interim periods within fiscal years beginning after December 15, 2024. Early adoption is permitted. The Company is currently evaluating the impact of ASU 2023-07 on its segment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pPr>
      <w:r>
        <w:rPr>
          <w:rFonts w:ascii="Arial;sans-serif" w:hAnsi="Arial;sans-serif"/>
          <w:b w:val="false"/>
          <w:color w:val="000000"/>
          <w:sz w:val="18"/>
          <w:u w:val="single"/>
        </w:rPr>
        <w:t xml:space="preserve">ASU 2023-09. </w:t>
      </w:r>
      <w:r>
        <w:rPr>
          <w:rFonts w:ascii="Arial;sans-serif" w:hAnsi="Arial;sans-serif"/>
          <w:b w:val="false"/>
          <w:i/>
          <w:color w:val="000000"/>
          <w:sz w:val="18"/>
          <w:u w:val="single"/>
        </w:rPr>
        <w:t>Income Taxes (Topic 740): Improvements to Income Tax Disclosures</w:t>
      </w:r>
    </w:p>
    <w:p>
      <w:pPr>
        <w:pStyle w:val="TextBody"/>
        <w:bidi w:val="0"/>
        <w:spacing w:lineRule="auto" w:line="288" w:before="0" w:after="0"/>
        <w:ind w:left="0" w:right="0" w:firstLine="720"/>
        <w:jc w:val="both"/>
        <w:rPr/>
      </w:pPr>
      <w:r>
        <w:rPr>
          <w:rFonts w:ascii="Arial;sans-serif" w:hAnsi="Arial;sans-serif"/>
          <w:b w:val="false"/>
          <w:color w:val="000000"/>
          <w:sz w:val="18"/>
        </w:rPr>
        <w:t xml:space="preserve">In December 2023, the FASB issued Accounting Standards Update No. 2023-09 </w:t>
      </w:r>
      <w:r>
        <w:rPr>
          <w:rFonts w:ascii="Arial;sans-serif" w:hAnsi="Arial;sans-serif"/>
          <w:b w:val="false"/>
          <w:i/>
          <w:color w:val="000000"/>
          <w:sz w:val="18"/>
        </w:rPr>
        <w:t>Income Taxes (Topic 740): Improvements to Income Tax Disclosures</w:t>
      </w:r>
      <w:r>
        <w:rPr>
          <w:color w:val="000000"/>
        </w:rPr>
        <w:t xml:space="preserve"> </w:t>
      </w:r>
      <w:r>
        <w:rPr>
          <w:rFonts w:ascii="Arial;sans-serif" w:hAnsi="Arial;sans-serif"/>
          <w:b w:val="false"/>
          <w:color w:val="000000"/>
          <w:sz w:val="18"/>
        </w:rPr>
        <w:t>("ASU 2023-09"). ASU 2023-09 requires entities to disclose more detailed information in their reconciliation of their statutory tax rate to their effective tax rate. Public business entities ("PBEs") are required to provide this incremental detail in a numerical, tabular format, while all other entities will do so through enhanced qualitative disclosures. The ASU also requires entities to disclose more detailed information about income taxes paid, including by jurisdiction; pretax income (or loss) from continuing operations; and income tax expense (or benefit). ASU 2023-09 is effective for fiscal years beginning after December 15, 2024. Early adoption is permitted. The Company is currently evaluating the impact of ASU 2023-09 on its income tax disclosures.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 xml:space="preserve">NOTE 2 - Acquisitions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Acquisitions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six months ended June 30, 2024, the Company acquired certain assets and assumed certain liabilities of three local storage and modular companies, which consisted primarily of approximately 600 storage units and 800 modular units, for $70.6 million in cash, net of cash acquired. As of the acquisition dates, the fair value of rental equipment acquired was $67.7 million.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Integration Costs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Company recorded $3.1 million and $2.2 million in integration costs related to business combinations, asset acquisitions, and the merger of WillScot and Mobile Mini, Inc. within selling, general and administrative expense ("SG&amp;A") during the three months ended June 30, 2024 and 2023, respectively, and </w:t>
      </w:r>
      <w:r>
        <w:rPr>
          <w:rFonts w:ascii="Arial;sans-serif" w:hAnsi="Arial;sans-serif"/>
          <w:b w:val="false"/>
          <w:color w:val="000000"/>
          <w:sz w:val="18"/>
          <w:shd w:fill="FFFFFF" w:val="clear"/>
        </w:rPr>
        <w:t>$5.9 million</w:t>
      </w:r>
      <w:r>
        <w:rPr>
          <w:color w:val="000000"/>
        </w:rPr>
        <w:t xml:space="preserve"> </w:t>
      </w:r>
      <w:r>
        <w:rPr>
          <w:rFonts w:ascii="Arial;sans-serif" w:hAnsi="Arial;sans-serif"/>
          <w:b w:val="false"/>
          <w:color w:val="000000"/>
          <w:sz w:val="18"/>
        </w:rPr>
        <w:t xml:space="preserve">and $6.1 million in integration costs related to acquisitions and the merger during the six months ended June 30, 2024 and 2023, respectively.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Entry into an Agreement to Acquire McGrath RentCorp</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January 28, 2024, the Company entered into an agreement and plan of merger (the “Merger Agreement”) with McGrath RentCorp ("McGrath"). Upon consummation of the merger, each outstanding share of McGrath common stock shall be converted into the right to receive either (i) $123.00 in cash or (ii) 2.8211 shares of the Company’s common stock. Under the terms of the Merger Agreement, the Company expects McGrath’s shareholders will own approximately 12.6% of the Company following the McGrath acquisition. The McGrath acquisition has been approved by the Company's and McGrath’s respective boards of directors and McGrath's shareholders. The McGrath acquisition is subject to the satisfaction or waiver of certain customary closing conditions, including receipt of regulatory approval, and is expected to close in 2024.</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Merger Agreement, the Company entered into a commitment letter dated January 28, 2024, which was amended and restated on June 13, 2024 and modified by a Notice of Reduction of Bridge Commitments on June 28, 2024 (the "Commitment Letter"), pursuant to which certain financial institutions have committed to make available, in accordance with the terms of the Commitment Letter, (i) a $500 million eight-year senior secured bridge credit facility and (ii) an upsize to the existing $3.7 billion ABL Facility (as defined below) of Williams Scotsman, Inc., a subsidiary of the Company ("WSI"), by $750 million to $4.5 billion to repay McGrath's existing unsecured revolving lines of credit and notes, fund the cash portion of the consideration, and pay the fees, costs and expenses incurred in connection with the McGrath acquisition and the related transactions.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recorded $22.9 million and $35.2 million in legal and professional fees primarily related to the acquisition of McGrath within selling, general and administrative expense ("SG&amp;A") during the three and six months ended June 30, 2024,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 xml:space="preserve">NOTE 3 - Discontinued Operations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UK Storage Solutions Divestiture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31, 2023, the Company sold its former UK Storage Solutions segment for $418.1 million. Exiting the UK Storage Solutions segment represented the Company’s strategic shift to concentrate its operations on its core modular and storage businesses in North America. Results for the former UK Storage Solutions segment are reported in income from discontinued operations within the 2023 condensed consolidated statement of operations.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presents the results of the former UK Storage Solutions segment as reported in income from discontinued operations within the condensed consolidated statement of operations.</w:t>
      </w:r>
    </w:p>
    <w:tbl>
      <w:tblPr>
        <w:tblW w:w="6314" w:type="dxa"/>
        <w:jc w:val="left"/>
        <w:tblInd w:w="0" w:type="dxa"/>
        <w:tblLayout w:type="fixed"/>
        <w:tblCellMar>
          <w:top w:w="28" w:type="dxa"/>
          <w:left w:w="28" w:type="dxa"/>
          <w:bottom w:w="28" w:type="dxa"/>
          <w:right w:w="28" w:type="dxa"/>
        </w:tblCellMar>
      </w:tblPr>
      <w:tblGrid>
        <w:gridCol w:w="1682"/>
        <w:gridCol w:w="1475"/>
        <w:gridCol w:w="1478"/>
        <w:gridCol w:w="297"/>
        <w:gridCol w:w="1165"/>
        <w:gridCol w:w="217"/>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6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 2023</w:t>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6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9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6,389 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6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6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6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6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of discontinued operations </w:t>
            </w:r>
          </w:p>
        </w:tc>
        <w:tc>
          <w:tcPr>
            <w:tcW w:w="14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175,708 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2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134,243 </w:t>
            </w:r>
          </w:p>
        </w:tc>
        <w:tc>
          <w:tcPr>
            <w:tcW w:w="2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In January 2023, a $0.4 million adjustment was made to the gain on sale of the former Tank and Pump segment due to the final contractual working capital adjustment. Including this adjustment, the total gain on sale of discontinued operations was $176.1 million for the six months ended June 30, 2023</w:t>
      </w:r>
      <w:r>
        <w:rPr>
          <w:rFonts w:ascii="Arial;sans-serif" w:hAnsi="Arial;sans-serif"/>
          <w:b w:val="false"/>
          <w:color w:val="000000"/>
          <w:sz w:val="18"/>
          <w:shd w:fill="FFFFFF" w:val="clear"/>
        </w:rPr>
        <w:t>.</w:t>
      </w:r>
    </w:p>
    <w:p>
      <w:pPr>
        <w:pStyle w:val="TextBody"/>
        <w:bidi w:val="0"/>
        <w:spacing w:lineRule="auto" w:line="288" w:before="0" w:after="60"/>
        <w:ind w:left="0" w:right="0" w:firstLine="720"/>
        <w:jc w:val="both"/>
        <w:rPr/>
      </w:pPr>
      <w:r>
        <w:rPr>
          <w:rFonts w:ascii="Arial;sans-serif" w:hAnsi="Arial;sans-serif"/>
          <w:b w:val="false"/>
          <w:color w:val="000000"/>
          <w:sz w:val="18"/>
        </w:rPr>
        <w:t>For the six months ended June 30,</w:t>
      </w:r>
      <w:r>
        <w:rPr>
          <w:color w:val="000000"/>
          <w:shd w:fill="FFFFFF" w:val="clear"/>
        </w:rPr>
        <w:t xml:space="preserve"> </w:t>
      </w:r>
      <w:r>
        <w:rPr>
          <w:rFonts w:ascii="Arial;sans-serif" w:hAnsi="Arial;sans-serif"/>
          <w:b w:val="false"/>
          <w:color w:val="000000"/>
          <w:sz w:val="18"/>
          <w:shd w:fill="FFFFFF" w:val="clear"/>
        </w:rPr>
        <w:t>2023</w:t>
      </w:r>
      <w:r>
        <w:rPr>
          <w:rFonts w:ascii="Arial;sans-serif" w:hAnsi="Arial;sans-serif"/>
          <w:b w:val="false"/>
          <w:color w:val="000000"/>
          <w:sz w:val="18"/>
        </w:rPr>
        <w:t xml:space="preserve">, significant investing items related to the former UK Storage Solutions segment were as follows: </w:t>
      </w:r>
    </w:p>
    <w:tbl>
      <w:tblPr>
        <w:tblW w:w="6059" w:type="dxa"/>
        <w:jc w:val="left"/>
        <w:tblInd w:w="0" w:type="dxa"/>
        <w:tblLayout w:type="fixed"/>
        <w:tblCellMar>
          <w:top w:w="28" w:type="dxa"/>
          <w:left w:w="28" w:type="dxa"/>
          <w:bottom w:w="28" w:type="dxa"/>
          <w:right w:w="28" w:type="dxa"/>
        </w:tblCellMar>
      </w:tblPr>
      <w:tblGrid>
        <w:gridCol w:w="1587"/>
        <w:gridCol w:w="1395"/>
        <w:gridCol w:w="1398"/>
        <w:gridCol w:w="391"/>
        <w:gridCol w:w="1003"/>
        <w:gridCol w:w="285"/>
      </w:tblGrid>
      <w:tr>
        <w:trPr/>
        <w:tc>
          <w:tcPr>
            <w:tcW w:w="15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16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 2023</w:t>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 of discontinued operations:</w:t>
            </w:r>
          </w:p>
        </w:tc>
        <w:tc>
          <w:tcPr>
            <w:tcW w:w="16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equipment and refurbishments</w:t>
            </w:r>
          </w:p>
        </w:tc>
        <w:tc>
          <w:tcPr>
            <w:tcW w:w="39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39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4 - Revenue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Revenue Disaggregation</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Geographic Areas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had total revenue in the following geographic areas for the three and six months ended June 30, 2024 and 2023 as follows:</w:t>
      </w:r>
    </w:p>
    <w:tbl>
      <w:tblPr>
        <w:tblW w:w="7245" w:type="dxa"/>
        <w:jc w:val="left"/>
        <w:tblInd w:w="0" w:type="dxa"/>
        <w:tblLayout w:type="fixed"/>
        <w:tblCellMar>
          <w:top w:w="28" w:type="dxa"/>
          <w:left w:w="28" w:type="dxa"/>
          <w:bottom w:w="28" w:type="dxa"/>
          <w:right w:w="28" w:type="dxa"/>
        </w:tblCellMar>
      </w:tblPr>
      <w:tblGrid>
        <w:gridCol w:w="484"/>
        <w:gridCol w:w="425"/>
        <w:gridCol w:w="42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564,980 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545,333 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1,118,413 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1,078,507 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Major Product and Service Lines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Equipment leasing is the Company's core business and the primary driver of the Company's revenue and cash flows. This includes turnkey temporary modular space and portable storage units along with value-added products and services ("VAPS"), which include furniture, steps, ramps, basic appliances, internet connectivity devices, integral tool racking, heavy duty capacity shelving, workstations, electrical and lighting products and other items used by customers in connection with the Company's products. The Company also offers its lease customers a damage waiver program that protects them in case the leased unit is damaged. Leasing is complemented by new unit sales and sales of rental units. In connection with its leasing and sales activities, the Company provides services including delivery and installation, maintenance and ad hoc services and removal services at the end of lease transactions.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revenue by major product and service line for the three and six months ended June 30, 2024 and 2023 was as follows:</w:t>
      </w:r>
    </w:p>
    <w:tbl>
      <w:tblPr>
        <w:tblW w:w="9329" w:type="dxa"/>
        <w:jc w:val="left"/>
        <w:tblInd w:w="0" w:type="dxa"/>
        <w:tblLayout w:type="fixed"/>
        <w:tblCellMar>
          <w:top w:w="28" w:type="dxa"/>
          <w:left w:w="28" w:type="dxa"/>
          <w:bottom w:w="28" w:type="dxa"/>
          <w:right w:w="28" w:type="dxa"/>
        </w:tblCellMar>
      </w:tblPr>
      <w:tblGrid>
        <w:gridCol w:w="1240"/>
        <w:gridCol w:w="1088"/>
        <w:gridCol w:w="109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341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leasing revenue</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253,725 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236,625 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505,872 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461,095 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leasing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VAPS and third party leasing revenues</w:t>
            </w:r>
            <w:r>
              <w:rPr>
                <w:rFonts w:ascii="Arial;sans-serif" w:hAnsi="Arial;sans-serif"/>
                <w:b w:val="false"/>
                <w:color w:val="000000"/>
                <w:sz w:val="12"/>
              </w:rPr>
              <w:t>(a)</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100,112 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97,698 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196,426 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191,825 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leasing-related revenue</w:t>
            </w:r>
            <w:r>
              <w:rPr>
                <w:rFonts w:ascii="Arial;sans-serif" w:hAnsi="Arial;sans-serif"/>
                <w:b w:val="false"/>
                <w:color w:val="000000"/>
                <w:sz w:val="12"/>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revenue</w:t>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458,592 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449,320 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919,193 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889,271 </w:t>
            </w:r>
          </w:p>
        </w:tc>
        <w:tc>
          <w:tcPr>
            <w:tcW w:w="15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leasing and services revenue</w:t>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566,739 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562,074 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1,127,702 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1,108,655 </w:t>
            </w:r>
          </w:p>
        </w:tc>
        <w:tc>
          <w:tcPr>
            <w:tcW w:w="15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 sales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 sales revenue</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16"/>
              </w:rPr>
            </w:pPr>
            <w:r>
              <w:rPr>
                <w:rFonts w:ascii="Arial;sans-serif" w:hAnsi="Arial;sans-serif"/>
                <w:b w:val="false"/>
                <w:color w:val="000000"/>
                <w:sz w:val="16"/>
              </w:rPr>
              <w:t>Includes $10.1 million and $6.1 million of service revenue for the three months ended June 30, 2024 and 2023, respectively, and $20.1 million and $11.7 million of service revenue for the six months ended June 30, 2024 and 2023, respectively.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Includes primarily damage billings, delinquent payment charges, and other processing fees.</w:t>
            </w:r>
          </w:p>
        </w:tc>
      </w:tr>
    </w:tbl>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Leasing and Services Revenue</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majority of revenue (74% and 75% for the three and six months ended June 30, 2024, respectively, and 76% for both the three and six months ended June 30, 2023) was generated by lease income subject to the guidance of Accounting Standards Update No. 2016-02, </w:t>
      </w:r>
      <w:r>
        <w:rPr>
          <w:rFonts w:ascii="Arial;sans-serif" w:hAnsi="Arial;sans-serif"/>
          <w:b w:val="false"/>
          <w:i/>
          <w:color w:val="000000"/>
          <w:sz w:val="18"/>
        </w:rPr>
        <w:t>Leases (Topic 842)</w:t>
      </w:r>
      <w:r>
        <w:rPr>
          <w:color w:val="000000"/>
        </w:rPr>
        <w:t xml:space="preserve"> </w:t>
      </w:r>
      <w:r>
        <w:rPr>
          <w:rFonts w:ascii="Arial;sans-serif" w:hAnsi="Arial;sans-serif"/>
          <w:b w:val="false"/>
          <w:color w:val="000000"/>
          <w:sz w:val="18"/>
        </w:rPr>
        <w:t xml:space="preserve">("ASC 842"). The remaining revenue was generated by performance obligations in contracts with customers for services or the sale of units subject to the guidance in Accounting Standards Update No. 2014-09, </w:t>
      </w:r>
      <w:r>
        <w:rPr>
          <w:rFonts w:ascii="Arial;sans-serif" w:hAnsi="Arial;sans-serif"/>
          <w:b w:val="false"/>
          <w:i/>
          <w:color w:val="000000"/>
          <w:sz w:val="18"/>
        </w:rPr>
        <w:t>Revenue from Contracts with Customers (Topic 606)</w:t>
      </w:r>
      <w:r>
        <w:rPr>
          <w:color w:val="000000"/>
        </w:rPr>
        <w:t xml:space="preserve"> </w:t>
      </w:r>
      <w:r>
        <w:rPr>
          <w:rFonts w:ascii="Arial;sans-serif" w:hAnsi="Arial;sans-serif"/>
          <w:b w:val="false"/>
          <w:color w:val="000000"/>
          <w:sz w:val="18"/>
        </w:rPr>
        <w:t>("ASC 606").</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Receivables and Credit Losses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Concentration of credit risk with respect to the Company's receivables is limited because of a large number of geographically diverse customers who operate in a variety of end user markets. The Company manages credit risk through credit approvals, credit limits, and other monitoring procedures. </w:t>
      </w:r>
    </w:p>
    <w:p>
      <w:pPr>
        <w:pStyle w:val="TextBody"/>
        <w:bidi w:val="0"/>
        <w:spacing w:lineRule="auto" w:line="288" w:before="0" w:after="60"/>
        <w:ind w:left="0" w:right="0" w:firstLine="720"/>
        <w:jc w:val="both"/>
        <w:rPr/>
      </w:pPr>
      <w:r>
        <w:rPr>
          <w:rFonts w:ascii="Arial;sans-serif" w:hAnsi="Arial;sans-serif"/>
          <w:b w:val="false"/>
          <w:color w:val="000000"/>
          <w:sz w:val="18"/>
        </w:rPr>
        <w:t>The Company's allowance for credit losses reflects its estimate of the amount of receivables that it will be unable to collect</w:t>
      </w:r>
      <w:r>
        <w:rPr>
          <w:rFonts w:ascii="Arial;sans-serif" w:hAnsi="Arial;sans-serif"/>
          <w:b w:val="false"/>
          <w:color w:val="000000"/>
          <w:sz w:val="18"/>
          <w:shd w:fill="FFFFFF" w:val="clear"/>
        </w:rPr>
        <w:t xml:space="preserve">. The estimated losses are calculated using the loss rate method based upon a review of outstanding receivables, related aging, and historical collection experience. The Company's estimates reflect changing circumstances, and the Company may be required to increase or decrease its allowance in future periods.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Activity in the allowance for credit losses was as follows: </w:t>
      </w:r>
    </w:p>
    <w:tbl>
      <w:tblPr>
        <w:tblW w:w="8834" w:type="dxa"/>
        <w:jc w:val="left"/>
        <w:tblInd w:w="0" w:type="dxa"/>
        <w:tblLayout w:type="fixed"/>
        <w:tblCellMar>
          <w:top w:w="28" w:type="dxa"/>
          <w:left w:w="28" w:type="dxa"/>
          <w:bottom w:w="28" w:type="dxa"/>
          <w:right w:w="28" w:type="dxa"/>
        </w:tblCellMar>
      </w:tblPr>
      <w:tblGrid>
        <w:gridCol w:w="1322"/>
        <w:gridCol w:w="1160"/>
        <w:gridCol w:w="116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36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61,402 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81,656 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57,048 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(8,605)</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(11,506)</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89,070 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68,096 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89,070 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68,096 </w:t>
            </w:r>
          </w:p>
        </w:tc>
        <w:tc>
          <w:tcPr>
            <w:tcW w:w="15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Contract Assets and Liabilities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June 30, 2024 and December 31, 2023, the Company had approximately </w:t>
      </w:r>
      <w:r>
        <w:rPr>
          <w:rFonts w:ascii="Arial;sans-serif" w:hAnsi="Arial;sans-serif"/>
          <w:b w:val="false"/>
          <w:color w:val="000000"/>
          <w:sz w:val="18"/>
        </w:rPr>
        <w:t>$131.5 million</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$124.1 million</w:t>
      </w:r>
      <w:r>
        <w:rPr>
          <w:rFonts w:ascii="Arial;sans-serif" w:hAnsi="Arial;sans-serif"/>
          <w:b w:val="false"/>
          <w:color w:val="000000"/>
          <w:sz w:val="18"/>
          <w:shd w:fill="FFFFFF" w:val="clear"/>
        </w:rPr>
        <w:t xml:space="preserve">, respectively, of deferred revenue related to services billed in advance. During the </w:t>
      </w:r>
      <w:r>
        <w:rPr>
          <w:rFonts w:ascii="Arial;sans-serif" w:hAnsi="Arial;sans-serif"/>
          <w:b w:val="false"/>
          <w:color w:val="000000"/>
          <w:sz w:val="18"/>
        </w:rPr>
        <w:t>three and six months ended June 30,</w:t>
      </w:r>
      <w:r>
        <w:rPr>
          <w:color w:val="000000"/>
          <w:shd w:fill="FFFFFF" w:val="clear"/>
        </w:rPr>
        <w:t xml:space="preserve"> </w:t>
      </w:r>
      <w:r>
        <w:rPr>
          <w:rFonts w:ascii="Arial;sans-serif" w:hAnsi="Arial;sans-serif"/>
          <w:b w:val="false"/>
          <w:color w:val="000000"/>
          <w:sz w:val="18"/>
          <w:shd w:fill="FFFFFF" w:val="clear"/>
        </w:rPr>
        <w:t xml:space="preserve">2024, </w:t>
      </w:r>
      <w:r>
        <w:rPr>
          <w:rFonts w:ascii="Arial;sans-serif" w:hAnsi="Arial;sans-serif"/>
          <w:b w:val="false"/>
          <w:color w:val="000000"/>
          <w:sz w:val="18"/>
        </w:rPr>
        <w:t>$20.1 million and $47.7 million, respectively,</w:t>
      </w:r>
      <w:r>
        <w:rPr>
          <w:color w:val="000000"/>
          <w:shd w:fill="FFFFFF" w:val="clear"/>
        </w:rPr>
        <w:t xml:space="preserve"> </w:t>
      </w:r>
      <w:r>
        <w:rPr>
          <w:rFonts w:ascii="Arial;sans-serif" w:hAnsi="Arial;sans-serif"/>
          <w:b w:val="false"/>
          <w:color w:val="000000"/>
          <w:sz w:val="18"/>
          <w:shd w:fill="FFFFFF" w:val="clear"/>
        </w:rPr>
        <w:t>of deferred revenue billed in advance was recognized as revenue.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does not have material contract assets, and it did not recognize any material impairments for any contract assets.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Company's uncompleted contracts with customers have unsatisfied (or partially satisfied) performance obligations. For the future services revenues that are expected to be recognized within twelve months, the Compa</w:t>
      </w:r>
      <w:r>
        <w:rPr>
          <w:rFonts w:ascii="Arial;sans-serif" w:hAnsi="Arial;sans-serif"/>
          <w:b w:val="false"/>
          <w:color w:val="000000"/>
          <w:sz w:val="18"/>
        </w:rPr>
        <w:t>ny has elected to utilize the optional disclosure exemption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expedient to omit disclosure of such amounts.</w:t>
      </w:r>
    </w:p>
    <w:p>
      <w:pPr>
        <w:pStyle w:val="TextBody"/>
        <w:bidi w:val="0"/>
        <w:spacing w:lineRule="auto" w:line="288" w:before="0" w:after="0"/>
        <w:ind w:left="0" w:right="0" w:firstLine="720"/>
        <w:jc w:val="both"/>
        <w:rPr/>
      </w:pPr>
      <w:r>
        <w:rPr>
          <w:rFonts w:ascii="Arial;sans-serif" w:hAnsi="Arial;sans-serif"/>
          <w:b w:val="false"/>
          <w:color w:val="000000"/>
          <w:sz w:val="18"/>
        </w:rPr>
        <w:t>The primary costs to obtain contracts fo</w:t>
      </w:r>
      <w:r>
        <w:rPr>
          <w:rFonts w:ascii="Arial;sans-serif" w:hAnsi="Arial;sans-serif"/>
          <w:b w:val="false"/>
          <w:color w:val="000000"/>
          <w:sz w:val="18"/>
          <w:shd w:fill="FFFFFF" w:val="clear"/>
        </w:rPr>
        <w:t>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5 - Leases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of June 30, 2024, the future lease payments for operating and finance lease liabilities were as follows:</w:t>
      </w:r>
    </w:p>
    <w:tbl>
      <w:tblPr>
        <w:tblW w:w="5364" w:type="dxa"/>
        <w:jc w:val="left"/>
        <w:tblInd w:w="0" w:type="dxa"/>
        <w:tblLayout w:type="fixed"/>
        <w:tblCellMar>
          <w:top w:w="28" w:type="dxa"/>
          <w:left w:w="28" w:type="dxa"/>
          <w:bottom w:w="28" w:type="dxa"/>
          <w:right w:w="28" w:type="dxa"/>
        </w:tblCellMar>
      </w:tblPr>
      <w:tblGrid>
        <w:gridCol w:w="980"/>
        <w:gridCol w:w="859"/>
        <w:gridCol w:w="861"/>
        <w:gridCol w:w="211"/>
        <w:gridCol w:w="826"/>
        <w:gridCol w:w="109"/>
        <w:gridCol w:w="109"/>
        <w:gridCol w:w="109"/>
        <w:gridCol w:w="109"/>
        <w:gridCol w:w="211"/>
        <w:gridCol w:w="826"/>
        <w:gridCol w:w="154"/>
      </w:tblGrid>
      <w:tr>
        <w:trPr/>
        <w:tc>
          <w:tcPr>
            <w:tcW w:w="98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Operating</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Finance </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(remaining)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payments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150,421 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lease liabilities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254,630 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129,564 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Finance lease liabilities are included within long-term debt and current portion of long-term debt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Company’s lease activity during the </w:t>
      </w:r>
      <w:r>
        <w:rPr>
          <w:rFonts w:ascii="Arial;sans-serif" w:hAnsi="Arial;sans-serif"/>
          <w:b w:val="false"/>
          <w:color w:val="000000"/>
          <w:sz w:val="18"/>
        </w:rPr>
        <w:t>six months ended June 30, 2024</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2023</w:t>
      </w:r>
      <w:r>
        <w:rPr>
          <w:color w:val="000000"/>
          <w:shd w:fill="FFFFFF" w:val="clear"/>
        </w:rPr>
        <w:t xml:space="preserve"> </w:t>
      </w:r>
      <w:r>
        <w:rPr>
          <w:rFonts w:ascii="Arial;sans-serif" w:hAnsi="Arial;sans-serif"/>
          <w:b w:val="false"/>
          <w:color w:val="000000"/>
          <w:sz w:val="18"/>
          <w:shd w:fill="FFFFFF" w:val="clear"/>
        </w:rPr>
        <w:t>was as follows:</w:t>
      </w:r>
    </w:p>
    <w:tbl>
      <w:tblPr>
        <w:tblW w:w="6939" w:type="dxa"/>
        <w:jc w:val="left"/>
        <w:tblInd w:w="0" w:type="dxa"/>
        <w:tblLayout w:type="fixed"/>
        <w:tblCellMar>
          <w:top w:w="28" w:type="dxa"/>
          <w:left w:w="28" w:type="dxa"/>
          <w:bottom w:w="28" w:type="dxa"/>
          <w:right w:w="28" w:type="dxa"/>
        </w:tblCellMar>
      </w:tblPr>
      <w:tblGrid>
        <w:gridCol w:w="1626"/>
        <w:gridCol w:w="1429"/>
        <w:gridCol w:w="1430"/>
        <w:gridCol w:w="211"/>
        <w:gridCol w:w="721"/>
        <w:gridCol w:w="109"/>
        <w:gridCol w:w="109"/>
        <w:gridCol w:w="109"/>
        <w:gridCol w:w="109"/>
        <w:gridCol w:w="211"/>
        <w:gridCol w:w="721"/>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45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Financial Statement Line</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Expense</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on obligations under finance leases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finance lease expense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lease expense</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lease expense</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lease expense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61,490 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52,560 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color w:val="000000"/>
        </w:rPr>
        <w:t xml:space="preserve">     </w:t>
      </w:r>
      <w:r>
        <w:rPr>
          <w:rFonts w:ascii="Arial;sans-serif" w:hAnsi="Arial;sans-serif"/>
          <w:b w:val="false"/>
          <w:color w:val="000000"/>
          <w:sz w:val="18"/>
          <w:shd w:fill="FFFFFF" w:val="clear"/>
        </w:rPr>
        <w:t xml:space="preserve">Supplemental cash flow information related to leases for the </w:t>
      </w:r>
      <w:r>
        <w:rPr>
          <w:rFonts w:ascii="Arial;sans-serif" w:hAnsi="Arial;sans-serif"/>
          <w:b w:val="false"/>
          <w:color w:val="000000"/>
          <w:sz w:val="18"/>
        </w:rPr>
        <w:t>six months ended June 30, 2024</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2023</w:t>
      </w:r>
      <w:r>
        <w:rPr>
          <w:color w:val="000000"/>
          <w:shd w:fill="FFFFFF" w:val="clear"/>
        </w:rPr>
        <w:t xml:space="preserve"> </w:t>
      </w:r>
      <w:r>
        <w:rPr>
          <w:rFonts w:ascii="Arial;sans-serif" w:hAnsi="Arial;sans-serif"/>
          <w:b w:val="false"/>
          <w:color w:val="000000"/>
          <w:sz w:val="18"/>
          <w:shd w:fill="FFFFFF" w:val="clear"/>
        </w:rPr>
        <w:t xml:space="preserve">was as follows: </w:t>
      </w:r>
    </w:p>
    <w:tbl>
      <w:tblPr>
        <w:tblW w:w="8633" w:type="dxa"/>
        <w:jc w:val="left"/>
        <w:tblInd w:w="0" w:type="dxa"/>
        <w:tblLayout w:type="fixed"/>
        <w:tblCellMar>
          <w:top w:w="28" w:type="dxa"/>
          <w:left w:w="28" w:type="dxa"/>
          <w:bottom w:w="28" w:type="dxa"/>
          <w:right w:w="28" w:type="dxa"/>
        </w:tblCellMar>
      </w:tblPr>
      <w:tblGrid>
        <w:gridCol w:w="2241"/>
        <w:gridCol w:w="1966"/>
        <w:gridCol w:w="1972"/>
        <w:gridCol w:w="211"/>
        <w:gridCol w:w="721"/>
        <w:gridCol w:w="109"/>
        <w:gridCol w:w="109"/>
        <w:gridCol w:w="109"/>
        <w:gridCol w:w="109"/>
        <w:gridCol w:w="211"/>
        <w:gridCol w:w="721"/>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45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Supplemental Cash Flow Information</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the amounts included in the measurement of lease liabilities:</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finance leases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Assets obtained in exchange for finance leases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Weighted average remaining operating lease terms and the weighted average discount rates as of June 30, 2024 and December 31, 2023 were as follows:</w:t>
      </w:r>
    </w:p>
    <w:tbl>
      <w:tblPr>
        <w:tblW w:w="8335" w:type="dxa"/>
        <w:jc w:val="left"/>
        <w:tblInd w:w="0" w:type="dxa"/>
        <w:tblLayout w:type="fixed"/>
        <w:tblCellMar>
          <w:top w:w="28" w:type="dxa"/>
          <w:left w:w="28" w:type="dxa"/>
          <w:bottom w:w="28" w:type="dxa"/>
          <w:right w:w="28" w:type="dxa"/>
        </w:tblCellMar>
      </w:tblPr>
      <w:tblGrid>
        <w:gridCol w:w="1777"/>
        <w:gridCol w:w="1561"/>
        <w:gridCol w:w="1566"/>
        <w:gridCol w:w="287"/>
        <w:gridCol w:w="287"/>
        <w:gridCol w:w="716"/>
        <w:gridCol w:w="109"/>
        <w:gridCol w:w="109"/>
        <w:gridCol w:w="109"/>
        <w:gridCol w:w="369"/>
        <w:gridCol w:w="369"/>
        <w:gridCol w:w="1076"/>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Lease Terms and Discount Rates</w:t>
            </w:r>
          </w:p>
        </w:tc>
        <w:tc>
          <w:tcPr>
            <w:tcW w:w="129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June 30,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4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 - operating leases</w:t>
            </w:r>
          </w:p>
        </w:tc>
        <w:tc>
          <w:tcPr>
            <w:tcW w:w="1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years</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 - operating leases</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 - finance leases</w:t>
            </w:r>
          </w:p>
        </w:tc>
        <w:tc>
          <w:tcPr>
            <w:tcW w:w="1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years</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 - finance leases</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6 - Inventories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Inventories at the respective balance sheet dates consisted of the following:</w:t>
      </w:r>
    </w:p>
    <w:tbl>
      <w:tblPr>
        <w:tblW w:w="4766" w:type="dxa"/>
        <w:jc w:val="left"/>
        <w:tblInd w:w="0" w:type="dxa"/>
        <w:tblLayout w:type="fixed"/>
        <w:tblCellMar>
          <w:top w:w="28" w:type="dxa"/>
          <w:left w:w="28" w:type="dxa"/>
          <w:bottom w:w="28" w:type="dxa"/>
          <w:right w:w="28" w:type="dxa"/>
        </w:tblCellMar>
      </w:tblPr>
      <w:tblGrid>
        <w:gridCol w:w="484"/>
        <w:gridCol w:w="425"/>
        <w:gridCol w:w="426"/>
        <w:gridCol w:w="261"/>
        <w:gridCol w:w="894"/>
        <w:gridCol w:w="135"/>
        <w:gridCol w:w="109"/>
        <w:gridCol w:w="109"/>
        <w:gridCol w:w="109"/>
        <w:gridCol w:w="352"/>
        <w:gridCol w:w="1205"/>
        <w:gridCol w:w="257"/>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29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June 30,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43,701 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43,071 </w:t>
            </w:r>
          </w:p>
        </w:tc>
        <w:tc>
          <w:tcPr>
            <w:tcW w:w="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units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2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49,727 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47,406 </w:t>
            </w:r>
          </w:p>
        </w:tc>
        <w:tc>
          <w:tcPr>
            <w:tcW w:w="2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7 - 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Rental equipment, net at the respective balance sheet dates consisted of the following:</w:t>
      </w:r>
    </w:p>
    <w:tbl>
      <w:tblPr>
        <w:tblW w:w="6151" w:type="dxa"/>
        <w:jc w:val="left"/>
        <w:tblInd w:w="0" w:type="dxa"/>
        <w:tblLayout w:type="fixed"/>
        <w:tblCellMar>
          <w:top w:w="28" w:type="dxa"/>
          <w:left w:w="28" w:type="dxa"/>
          <w:bottom w:w="28" w:type="dxa"/>
          <w:right w:w="28" w:type="dxa"/>
        </w:tblCellMar>
      </w:tblPr>
      <w:tblGrid>
        <w:gridCol w:w="985"/>
        <w:gridCol w:w="863"/>
        <w:gridCol w:w="866"/>
        <w:gridCol w:w="211"/>
        <w:gridCol w:w="976"/>
        <w:gridCol w:w="109"/>
        <w:gridCol w:w="109"/>
        <w:gridCol w:w="109"/>
        <w:gridCol w:w="109"/>
        <w:gridCol w:w="285"/>
        <w:gridCol w:w="1321"/>
        <w:gridCol w:w="208"/>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June 30,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3,620,534 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3,541,451 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1,009,059 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Value added products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204,933 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rental equipment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4,755,443 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(1,469,887)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(1,374,128)</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8 - Goodwill and Intangibles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Changes in the carrying amount of goodwill were as follows:</w:t>
      </w:r>
    </w:p>
    <w:tbl>
      <w:tblPr>
        <w:tblW w:w="5301" w:type="dxa"/>
        <w:jc w:val="left"/>
        <w:tblInd w:w="0" w:type="dxa"/>
        <w:tblLayout w:type="fixed"/>
        <w:tblCellMar>
          <w:top w:w="28" w:type="dxa"/>
          <w:left w:w="28" w:type="dxa"/>
          <w:bottom w:w="28" w:type="dxa"/>
          <w:right w:w="28" w:type="dxa"/>
        </w:tblCellMar>
      </w:tblPr>
      <w:tblGrid>
        <w:gridCol w:w="1435"/>
        <w:gridCol w:w="1261"/>
        <w:gridCol w:w="1264"/>
        <w:gridCol w:w="211"/>
        <w:gridCol w:w="97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from 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had no goodwill impairment during the six months ended June 30, 2024 or the year ended December 31, 2023.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other than goodwill at the respective balance sheet dates consisted of the following:</w:t>
      </w:r>
    </w:p>
    <w:tbl>
      <w:tblPr>
        <w:tblW w:w="10205" w:type="dxa"/>
        <w:jc w:val="left"/>
        <w:tblInd w:w="0" w:type="dxa"/>
        <w:tblLayout w:type="fixed"/>
        <w:tblCellMar>
          <w:top w:w="28" w:type="dxa"/>
          <w:left w:w="28" w:type="dxa"/>
          <w:bottom w:w="28" w:type="dxa"/>
          <w:right w:w="28" w:type="dxa"/>
        </w:tblCellMar>
      </w:tblPr>
      <w:tblGrid>
        <w:gridCol w:w="956"/>
        <w:gridCol w:w="698"/>
        <w:gridCol w:w="699"/>
        <w:gridCol w:w="742"/>
        <w:gridCol w:w="742"/>
        <w:gridCol w:w="744"/>
        <w:gridCol w:w="109"/>
        <w:gridCol w:w="109"/>
        <w:gridCol w:w="109"/>
        <w:gridCol w:w="291"/>
        <w:gridCol w:w="1139"/>
        <w:gridCol w:w="150"/>
        <w:gridCol w:w="109"/>
        <w:gridCol w:w="109"/>
        <w:gridCol w:w="109"/>
        <w:gridCol w:w="349"/>
        <w:gridCol w:w="1225"/>
        <w:gridCol w:w="183"/>
        <w:gridCol w:w="109"/>
        <w:gridCol w:w="109"/>
        <w:gridCol w:w="109"/>
        <w:gridCol w:w="229"/>
        <w:gridCol w:w="900"/>
        <w:gridCol w:w="177"/>
      </w:tblGrid>
      <w:tr>
        <w:trPr/>
        <w:tc>
          <w:tcPr>
            <w:tcW w:w="9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June 30, 2024</w:t>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2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Mobile Mini</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372,368 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(99,924)</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272,444 </w:t>
            </w:r>
          </w:p>
        </w:tc>
        <w:tc>
          <w:tcPr>
            <w:tcW w:w="1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956"/>
        <w:gridCol w:w="698"/>
        <w:gridCol w:w="699"/>
        <w:gridCol w:w="742"/>
        <w:gridCol w:w="742"/>
        <w:gridCol w:w="744"/>
        <w:gridCol w:w="109"/>
        <w:gridCol w:w="109"/>
        <w:gridCol w:w="109"/>
        <w:gridCol w:w="291"/>
        <w:gridCol w:w="1139"/>
        <w:gridCol w:w="150"/>
        <w:gridCol w:w="109"/>
        <w:gridCol w:w="109"/>
        <w:gridCol w:w="109"/>
        <w:gridCol w:w="349"/>
        <w:gridCol w:w="1225"/>
        <w:gridCol w:w="183"/>
        <w:gridCol w:w="109"/>
        <w:gridCol w:w="109"/>
        <w:gridCol w:w="109"/>
        <w:gridCol w:w="229"/>
        <w:gridCol w:w="900"/>
        <w:gridCol w:w="177"/>
      </w:tblGrid>
      <w:tr>
        <w:trPr/>
        <w:tc>
          <w:tcPr>
            <w:tcW w:w="9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2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Mobile Mini</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504,908 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(85,199)</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419,709 </w:t>
            </w:r>
          </w:p>
        </w:tc>
        <w:tc>
          <w:tcPr>
            <w:tcW w:w="1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Amortization expense related to intangible assets was $7.3 million and $6.0 million for the three months ended June 30, 2024 and 2023, respectively, and $14.7 million and $11.9 million </w:t>
      </w:r>
      <w:r>
        <w:rPr>
          <w:rFonts w:ascii="Arial;sans-serif" w:hAnsi="Arial;sans-serif"/>
          <w:b w:val="false"/>
          <w:color w:val="000000"/>
          <w:sz w:val="18"/>
          <w:shd w:fill="FFFFFF" w:val="clear"/>
        </w:rPr>
        <w:t xml:space="preserve">for </w:t>
      </w:r>
      <w:r>
        <w:rPr>
          <w:rFonts w:ascii="Arial;sans-serif" w:hAnsi="Arial;sans-serif"/>
          <w:b w:val="false"/>
          <w:color w:val="000000"/>
          <w:sz w:val="18"/>
        </w:rPr>
        <w:t xml:space="preserve">the six months ended June 30, 2024 and 2023, respectively.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the second quarter of 2024, the Company determined that a review of the carrying value of the Mobile Mini trade name was necessary based on the Company's plan to rebrand under a single WillScot brand name and discontinue the use of the Mobile Mini trade name. As of </w:t>
      </w:r>
      <w:r>
        <w:rPr>
          <w:rFonts w:ascii="Arial;sans-serif" w:hAnsi="Arial;sans-serif"/>
          <w:b w:val="false"/>
          <w:color w:val="000000"/>
          <w:sz w:val="18"/>
          <w:shd w:fill="FFFFFF" w:val="clear"/>
        </w:rPr>
        <w:t xml:space="preserve">June 30, 2024, the Mobile Mini trade name was tested for impairment using the relief from royalty valuation method. </w:t>
      </w:r>
      <w:r>
        <w:rPr>
          <w:rFonts w:ascii="Arial;sans-serif" w:hAnsi="Arial;sans-serif"/>
          <w:b w:val="false"/>
          <w:color w:val="000000"/>
          <w:sz w:val="18"/>
        </w:rPr>
        <w:t xml:space="preserve">This valuation represents a Level 3 asset measured at fair value on a nonrecurring basis. </w:t>
      </w:r>
      <w:r>
        <w:rPr>
          <w:rFonts w:ascii="Arial;sans-serif" w:hAnsi="Arial;sans-serif"/>
          <w:b w:val="false"/>
          <w:color w:val="000000"/>
          <w:sz w:val="18"/>
          <w:shd w:fill="FFFFFF" w:val="clear"/>
        </w:rPr>
        <w:t>After determining the estimated fair value, t</w:t>
      </w:r>
      <w:r>
        <w:rPr>
          <w:rFonts w:ascii="Arial;sans-serif" w:hAnsi="Arial;sans-serif"/>
          <w:b w:val="false"/>
          <w:color w:val="000000"/>
          <w:sz w:val="18"/>
        </w:rPr>
        <w:t xml:space="preserve">he Company recorded an impairment charge of $132.5 million during the three months ended June 30, 2024. This non-cash charge was recorded to impairment loss on intangible asset on the consolidated statement of operations. As of </w:t>
      </w:r>
      <w:r>
        <w:rPr>
          <w:rFonts w:ascii="Arial;sans-serif" w:hAnsi="Arial;sans-serif"/>
          <w:b w:val="false"/>
          <w:color w:val="000000"/>
          <w:sz w:val="18"/>
          <w:shd w:fill="FFFFFF" w:val="clear"/>
        </w:rPr>
        <w:t>June 30, 2024, t</w:t>
      </w:r>
      <w:r>
        <w:rPr>
          <w:rFonts w:ascii="Arial;sans-serif" w:hAnsi="Arial;sans-serif"/>
          <w:b w:val="false"/>
          <w:color w:val="000000"/>
          <w:sz w:val="18"/>
        </w:rPr>
        <w:t xml:space="preserve">he remaining net book value of the Mobile Mini trade name was $31.5 million, which will be amortized over a remaining useful life of approximately 3.1 years. The Company did not record any other impairment charges during the six months ended June 30, 2024.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As of June 30, 2024, the expected future amortization expense for intangible assets is as follows for the years ended December 31:</w:t>
      </w:r>
    </w:p>
    <w:tbl>
      <w:tblPr>
        <w:tblW w:w="2721" w:type="dxa"/>
        <w:jc w:val="left"/>
        <w:tblInd w:w="0" w:type="dxa"/>
        <w:tblLayout w:type="fixed"/>
        <w:tblCellMar>
          <w:top w:w="28" w:type="dxa"/>
          <w:left w:w="28" w:type="dxa"/>
          <w:bottom w:w="28" w:type="dxa"/>
          <w:right w:w="28" w:type="dxa"/>
        </w:tblCellMar>
      </w:tblPr>
      <w:tblGrid>
        <w:gridCol w:w="555"/>
        <w:gridCol w:w="487"/>
        <w:gridCol w:w="488"/>
        <w:gridCol w:w="211"/>
        <w:gridCol w:w="82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9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(remaining)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9 - Debt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carrying value of debt outstanding at the respective balance sheet dates consisted of the following:</w:t>
      </w:r>
    </w:p>
    <w:tbl>
      <w:tblPr>
        <w:tblW w:w="9939" w:type="dxa"/>
        <w:jc w:val="left"/>
        <w:tblInd w:w="0" w:type="dxa"/>
        <w:tblLayout w:type="fixed"/>
        <w:tblCellMar>
          <w:top w:w="28" w:type="dxa"/>
          <w:left w:w="28" w:type="dxa"/>
          <w:bottom w:w="28" w:type="dxa"/>
          <w:right w:w="28" w:type="dxa"/>
        </w:tblCellMar>
      </w:tblPr>
      <w:tblGrid>
        <w:gridCol w:w="1163"/>
        <w:gridCol w:w="1020"/>
        <w:gridCol w:w="1027"/>
        <w:gridCol w:w="384"/>
        <w:gridCol w:w="384"/>
        <w:gridCol w:w="386"/>
        <w:gridCol w:w="109"/>
        <w:gridCol w:w="109"/>
        <w:gridCol w:w="109"/>
        <w:gridCol w:w="494"/>
        <w:gridCol w:w="494"/>
        <w:gridCol w:w="496"/>
        <w:gridCol w:w="109"/>
        <w:gridCol w:w="109"/>
        <w:gridCol w:w="109"/>
        <w:gridCol w:w="211"/>
        <w:gridCol w:w="976"/>
        <w:gridCol w:w="109"/>
        <w:gridCol w:w="109"/>
        <w:gridCol w:w="109"/>
        <w:gridCol w:w="109"/>
        <w:gridCol w:w="285"/>
        <w:gridCol w:w="1321"/>
        <w:gridCol w:w="208"/>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rates)</w:t>
            </w:r>
          </w:p>
        </w:tc>
        <w:tc>
          <w:tcPr>
            <w:tcW w:w="11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Interest rate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of maturity</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June 30,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523,988 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522,735 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1,929,259 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495,034 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494,500 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 Secured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7.375%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493,709 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3,480,395 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3,557,302 </w:t>
            </w:r>
          </w:p>
        </w:tc>
        <w:tc>
          <w:tcPr>
            <w:tcW w:w="2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3,459,255 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3,538,516 </w:t>
            </w:r>
          </w:p>
        </w:tc>
        <w:tc>
          <w:tcPr>
            <w:tcW w:w="2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Maturities of debt, including finance leases, during the periods subsequent to June 30, 2024 are as follows: </w:t>
      </w:r>
    </w:p>
    <w:tbl>
      <w:tblPr>
        <w:tblW w:w="2871" w:type="dxa"/>
        <w:jc w:val="left"/>
        <w:tblInd w:w="0" w:type="dxa"/>
        <w:tblLayout w:type="fixed"/>
        <w:tblCellMar>
          <w:top w:w="28" w:type="dxa"/>
          <w:left w:w="28" w:type="dxa"/>
          <w:bottom w:w="28" w:type="dxa"/>
          <w:right w:w="28" w:type="dxa"/>
        </w:tblCellMar>
      </w:tblPr>
      <w:tblGrid>
        <w:gridCol w:w="555"/>
        <w:gridCol w:w="487"/>
        <w:gridCol w:w="488"/>
        <w:gridCol w:w="211"/>
        <w:gridCol w:w="97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(remaining)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3,544,500 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Backed Lending Facility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July 1, 2020, certain subsidiaries of the Company, including WSI, entered into an asset-based credit agreement. As amended on June 30, 2022, the agreement provides for revolving credit facilities in the aggregate principal amount of up to $3.7 billion, consisting of: (i) a senior secured asset-based US dollar revolving credit facility in the aggregate principal amount of $3.3 billion (the “US Facility”), (ii) a $400.0 million senior secured asset-based multicurrency revolving credit facility (the "Multicurrency Facility," and together with the US Facility, the "ABL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is scheduled to mature on June 30, 2027.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applicable margin for Canadian Bankers' Acceptance Rate, Term Secured Overnight Financing Rate ("SOFR"), British Pounds Sterling and Euro loans is 1.50%. The facility includes a credit spread adjustment of 0.10% in addition to the applicable margin. The applicable margin for base rate and Canadian Prime Rate loans is 0.50%. The applicable margins are subject to one step down of 0.25% or one step up of 0.25% based on the Company's leverage ratio and excess availability from the prior quarter. The ABL Facility requires the payment of a commitment fee on the unused available borrowings of 0.20% annually. As of June 30, 2024, the weighted average interest rate for borrowings under the ABL Facility, as adjusted for the effects of the interest rate swap agreements, was 5.32%. Refer to Note 12 for a detailed discussion of interest rate management.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February 26, 2024, WSI entered into an amendment to the ABL Facility (the "Fifth Amendment") to, among other things, change the rate under the ABL Facility for borrowings denominated in Canadian Dollars from a Canadian Dollar Offered Rate ("CDOR")-based rate to a Canadian Overnight Repo Rate Average ("CORRA")-based rate, subject to certain adjustments specified in the ABL Facility, and to update certain other provisions regarding successor interest rates to CDOR.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Company's pending acquisition of McGrath, on February 27, 2024, WSI and certain other subsidiaries of the Company entered into an amendment to the ABL Facility (the "Sixth Amendment") to, among other things, (i) permit the incurrences of indebtedness by WSI and certain other subsidiaries of the Company to finance the McGrath acquisition; (ii) increase the maximum revolving credit facility amount to $4.45 billion, including an increase to the US Facility of $744.5 million and an increase to the Multicurrency of $5.5 million; and (iii) modify the borrowing base, certain thresholds, basket sizes and default and notice triggers to account for the increased size of the business and new asset types of WSI and its subsidiaries following the McGrath acquisition. The amendments contemplated by the Sixth Amendment will not become effective until the closing of the McGrath acquisition.</w:t>
      </w:r>
    </w:p>
    <w:p>
      <w:pPr>
        <w:pStyle w:val="TextBody"/>
        <w:bidi w:val="0"/>
        <w:spacing w:lineRule="auto" w:line="288" w:before="0" w:after="60"/>
        <w:ind w:left="0" w:right="0" w:firstLine="720"/>
        <w:jc w:val="both"/>
        <w:rPr/>
      </w:pPr>
      <w:r>
        <w:rPr>
          <w:rFonts w:ascii="Arial;sans-serif" w:hAnsi="Arial;sans-serif"/>
          <w:b w:val="false"/>
          <w:color w:val="000000"/>
          <w:sz w:val="18"/>
        </w:rPr>
        <w:t>Borrowing availability under the US Facility and the Multicurrency Facility is equal to the lesser of (i) the aggregate revolver commitments and (ii) the borrowing base ("Line Cap"). At June 30, 2024, the Line Cap was $3.2 billion and the Company had $1.8 billion of available borrowing capacity under the ABL Facility, including $1.6 billion under the US Facility and $195.1 million under the Multicurrency Facility. Borrowing capacity under the ABL Facility is made available for up to $220.0 million letters of credit and $220.0 million swingline loans. At June 30, 2024, the available capacity was $199.2 million of letters of credit and $217.4 million</w:t>
      </w:r>
      <w:r>
        <w:rPr>
          <w:color w:val="000000"/>
          <w:shd w:fill="FFFFFF" w:val="clear"/>
        </w:rPr>
        <w:t xml:space="preserve"> </w:t>
      </w:r>
      <w:r>
        <w:rPr>
          <w:rFonts w:ascii="Arial;sans-serif" w:hAnsi="Arial;sans-serif"/>
          <w:b w:val="false"/>
          <w:color w:val="000000"/>
          <w:sz w:val="18"/>
        </w:rPr>
        <w:t xml:space="preserve">of swingline loans. At June 30, 2024, letters of credit and bank guarantees carried fees of 1.625%. The Company had issued $20.8 million of standby letters of credit under the ABL Facility at June 30, 2024.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had approximately $1.4 billion of outstanding borrowings under the ABL Facility at June 30, 2024. Debt issuance costs of $22.9 million and $26.8 million were presented as direct reductions of the corresponding liabilities at June 30, 2024 and December 31, 2023, respectively.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ABL Facility and related guarantees are secured by a first priority security interest in substantially all of the assets of WSI and the Company’s other subsidiaries that are borrowers or guarantors under the ABL Facility (collectively the “ABL Loan Parties”), subject to customary exclusions.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2025 Secured Notes mature on June 15, 2025. At June 30, 2024, the 2025 Secured Notes were classified as long-term on the Condensed Consolidated Balance Sheet because the Company has the intent and believes it has the ability to refinance this obligation on a long-term basis as demonstrated by the forecasted available capacity under the ABL Facility if other refinancing efforts are unsuccessful or uneconomical.</w:t>
      </w:r>
    </w:p>
    <w:p>
      <w:pPr>
        <w:pStyle w:val="TextBody"/>
        <w:bidi w:val="0"/>
        <w:spacing w:lineRule="auto" w:line="288" w:before="0" w:after="60"/>
        <w:ind w:left="0" w:right="0" w:firstLine="720"/>
        <w:jc w:val="both"/>
        <w:rPr/>
      </w:pPr>
      <w:r>
        <w:rPr>
          <w:rFonts w:ascii="Arial;sans-serif" w:hAnsi="Arial;sans-serif"/>
          <w:b w:val="false"/>
          <w:color w:val="000000"/>
          <w:sz w:val="18"/>
        </w:rPr>
        <w:t>On June 28, 2024, WSI completed a private offering of $500.0 million in aggregate principal amount of 6.625% senior secured notes due 2029 (the "2029 Secur</w:t>
      </w:r>
      <w:r>
        <w:rPr>
          <w:rFonts w:ascii="Arial;sans-serif" w:hAnsi="Arial;sans-serif"/>
          <w:b w:val="false"/>
          <w:color w:val="000000"/>
          <w:sz w:val="18"/>
          <w:shd w:fill="FFFFFF" w:val="clear"/>
        </w:rPr>
        <w:t xml:space="preserve">ed Notes") </w:t>
      </w:r>
      <w:r>
        <w:rPr>
          <w:rFonts w:ascii="Arial;sans-serif" w:hAnsi="Arial;sans-serif"/>
          <w:b w:val="false"/>
          <w:color w:val="000000"/>
          <w:sz w:val="18"/>
        </w:rPr>
        <w:t>to qualified institutional buyers pursuant to Rule 144A</w:t>
      </w:r>
      <w:r>
        <w:rPr>
          <w:rFonts w:ascii="Arial;sans-serif" w:hAnsi="Arial;sans-serif"/>
          <w:b w:val="false"/>
          <w:color w:val="000000"/>
          <w:sz w:val="18"/>
          <w:shd w:fill="FFFFFF" w:val="clear"/>
        </w:rPr>
        <w:t>. P</w:t>
      </w:r>
      <w:r>
        <w:rPr>
          <w:rFonts w:ascii="Arial;sans-serif" w:hAnsi="Arial;sans-serif"/>
          <w:b w:val="false"/>
          <w:color w:val="000000"/>
          <w:sz w:val="18"/>
        </w:rPr>
        <w:t>roceeds were used to repay approximately $495.0 million of outstanding indebtedness under the ABL Facility and certain fees and expenses. T</w:t>
      </w:r>
      <w:r>
        <w:rPr>
          <w:rFonts w:ascii="Arial;sans-serif" w:hAnsi="Arial;sans-serif"/>
          <w:b w:val="false"/>
          <w:color w:val="000000"/>
          <w:sz w:val="18"/>
          <w:shd w:fill="FFFFFF" w:val="clear"/>
        </w:rPr>
        <w:t>he 2029 Secured N</w:t>
      </w:r>
      <w:r>
        <w:rPr>
          <w:rFonts w:ascii="Arial;sans-serif" w:hAnsi="Arial;sans-serif"/>
          <w:b w:val="false"/>
          <w:color w:val="000000"/>
          <w:sz w:val="18"/>
        </w:rPr>
        <w:t>otes mature on June 15, 2029 and bear interest at a rate of 6.625% per annum. Interest is payable semi-annually on June 15 and December 15 of each year, beginning December 15, 2024. Unamortized deferred financing costs pertaining to the 2029 Secured Notes were $6.9 million as of June 30, 2024.</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2025 Secured Notes, 2028 Secured Notes, 2029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2025 Secured Notes and the 2028 Secured Notes, if the lien associated with the ABL Facility represents the only lien outstanding on the collateral under the 2029 Secured Notes and the 2031 Secured Notes (other than certain permitted), the collateral securing the 2029 Secured Notes and the 2031 Secured Notes will be released and the 2029 Secured Notes and the 2031 Secured Notes will become unsecured subject to satisfaction of customary conditions.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Finance Leases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maintains finance leases primarily related to transportation-related equipment. At June 30, 2024 and December 31, 2023, obligations under finance leases were $129.6 million and $117.1 million, respectively. Refer to Note 5 for further information.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was in compliance with all debt covenants and restrictions associated with its debt instruments as of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10 – Equity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connection with the stock compensation vesting and stock option exercises described in Note 14, the Company issued 660,338 shares of Common Stock during the </w:t>
      </w:r>
      <w:r>
        <w:rPr>
          <w:rFonts w:ascii="Arial;sans-serif" w:hAnsi="Arial;sans-serif"/>
          <w:b w:val="false"/>
          <w:color w:val="000000"/>
          <w:sz w:val="18"/>
          <w:shd w:fill="FFFFFF" w:val="clear"/>
        </w:rPr>
        <w:t>six months ended June 30, 2024</w:t>
      </w:r>
      <w:r>
        <w:rPr>
          <w:rFonts w:ascii="Arial;sans-serif" w:hAnsi="Arial;sans-serif"/>
          <w:b w:val="false"/>
          <w:color w:val="000000"/>
          <w:sz w:val="18"/>
        </w:rPr>
        <w: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May 2023, the Board of Directors approved a reset of the share repurchase program authorizing the Company to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business, legal, accounting, and other considerations.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During the </w:t>
      </w:r>
      <w:r>
        <w:rPr>
          <w:rFonts w:ascii="Arial;sans-serif" w:hAnsi="Arial;sans-serif"/>
          <w:b w:val="false"/>
          <w:color w:val="000000"/>
          <w:sz w:val="18"/>
          <w:shd w:fill="FFFFFF" w:val="clear"/>
        </w:rPr>
        <w:t>six months ended June 30, 2024</w:t>
      </w:r>
      <w:r>
        <w:rPr>
          <w:rFonts w:ascii="Arial;sans-serif" w:hAnsi="Arial;sans-serif"/>
          <w:b w:val="false"/>
          <w:color w:val="000000"/>
          <w:sz w:val="18"/>
        </w:rPr>
        <w:t xml:space="preserve">, the Company repurchased 2,035,513 shares of Common Stock for $78.7 million, excluding excise tax. As of June 30, 2024, $419.5 million of the authorization for future repurchases of the Common Stock remained available.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Accumulated Other Comprehensive Loss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changes in accumulated other comprehensive income (loss) ("AOCI"), net of tax, for the </w:t>
      </w:r>
      <w:r>
        <w:rPr>
          <w:rFonts w:ascii="Arial;sans-serif" w:hAnsi="Arial;sans-serif"/>
          <w:b w:val="false"/>
          <w:color w:val="000000"/>
          <w:sz w:val="18"/>
          <w:shd w:fill="FFFFFF" w:val="clear"/>
        </w:rPr>
        <w:t>six months ended June 30, 2024 and 2023 were as follows:</w:t>
      </w:r>
    </w:p>
    <w:tbl>
      <w:tblPr>
        <w:tblW w:w="10205" w:type="dxa"/>
        <w:jc w:val="left"/>
        <w:tblInd w:w="0" w:type="dxa"/>
        <w:tblLayout w:type="fixed"/>
        <w:tblCellMar>
          <w:top w:w="28" w:type="dxa"/>
          <w:left w:w="28" w:type="dxa"/>
          <w:bottom w:w="28" w:type="dxa"/>
          <w:right w:w="28" w:type="dxa"/>
        </w:tblCellMar>
      </w:tblPr>
      <w:tblGrid>
        <w:gridCol w:w="1477"/>
        <w:gridCol w:w="1157"/>
        <w:gridCol w:w="1160"/>
        <w:gridCol w:w="390"/>
        <w:gridCol w:w="1452"/>
        <w:gridCol w:w="201"/>
        <w:gridCol w:w="109"/>
        <w:gridCol w:w="109"/>
        <w:gridCol w:w="109"/>
        <w:gridCol w:w="521"/>
        <w:gridCol w:w="1780"/>
        <w:gridCol w:w="268"/>
        <w:gridCol w:w="109"/>
        <w:gridCol w:w="109"/>
        <w:gridCol w:w="109"/>
        <w:gridCol w:w="211"/>
        <w:gridCol w:w="776"/>
        <w:gridCol w:w="158"/>
      </w:tblGrid>
      <w:tr>
        <w:trPr/>
        <w:tc>
          <w:tcPr>
            <w:tcW w:w="147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 2024</w:t>
            </w:r>
          </w:p>
        </w:tc>
      </w:tr>
      <w:tr>
        <w:trPr/>
        <w:tc>
          <w:tcPr>
            <w:tcW w:w="379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0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Foreign currency translation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Unrealized gains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39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(56,031)</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income before reclassifications</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1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(61,579)</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16,803 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income before reclassifications</w:t>
            </w:r>
          </w:p>
        </w:tc>
        <w:tc>
          <w:tcPr>
            <w:tcW w:w="1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7,247 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3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(65,733)</w:t>
            </w:r>
          </w:p>
        </w:tc>
        <w:tc>
          <w:tcPr>
            <w:tcW w:w="2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18,427 </w:t>
            </w:r>
          </w:p>
        </w:tc>
        <w:tc>
          <w:tcPr>
            <w:tcW w:w="2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(47,306)</w:t>
            </w:r>
          </w:p>
        </w:tc>
        <w:tc>
          <w:tcPr>
            <w:tcW w:w="1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60"/>
        <w:jc w:val="both"/>
        <w:rPr/>
      </w:pPr>
      <w:r>
        <w:rPr/>
      </w:r>
    </w:p>
    <w:tbl>
      <w:tblPr>
        <w:tblW w:w="10205" w:type="dxa"/>
        <w:jc w:val="center"/>
        <w:tblInd w:w="0" w:type="dxa"/>
        <w:tblLayout w:type="fixed"/>
        <w:tblCellMar>
          <w:top w:w="28" w:type="dxa"/>
          <w:left w:w="28" w:type="dxa"/>
          <w:bottom w:w="28" w:type="dxa"/>
          <w:right w:w="28" w:type="dxa"/>
        </w:tblCellMar>
      </w:tblPr>
      <w:tblGrid>
        <w:gridCol w:w="1394"/>
        <w:gridCol w:w="1105"/>
        <w:gridCol w:w="1108"/>
        <w:gridCol w:w="403"/>
        <w:gridCol w:w="1504"/>
        <w:gridCol w:w="207"/>
        <w:gridCol w:w="109"/>
        <w:gridCol w:w="109"/>
        <w:gridCol w:w="109"/>
        <w:gridCol w:w="543"/>
        <w:gridCol w:w="1858"/>
        <w:gridCol w:w="280"/>
        <w:gridCol w:w="109"/>
        <w:gridCol w:w="109"/>
        <w:gridCol w:w="109"/>
        <w:gridCol w:w="211"/>
        <w:gridCol w:w="779"/>
        <w:gridCol w:w="159"/>
      </w:tblGrid>
      <w:tr>
        <w:trPr/>
        <w:tc>
          <w:tcPr>
            <w:tcW w:w="139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0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8"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 2023</w:t>
            </w:r>
          </w:p>
        </w:tc>
      </w:tr>
      <w:tr>
        <w:trPr/>
        <w:tc>
          <w:tcPr>
            <w:tcW w:w="360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1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Foreign currency translation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Unrealized gains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6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40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before reclassifications</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9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(62,188)</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before reclassifications</w:t>
            </w:r>
          </w:p>
        </w:tc>
        <w:tc>
          <w:tcPr>
            <w:tcW w:w="19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15,761 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21,676 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2023</w:t>
            </w:r>
          </w:p>
        </w:tc>
        <w:tc>
          <w:tcPr>
            <w:tcW w:w="4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(56,273)</w:t>
            </w:r>
          </w:p>
        </w:tc>
        <w:tc>
          <w:tcPr>
            <w:tcW w:w="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12,164 </w:t>
            </w:r>
          </w:p>
        </w:tc>
        <w:tc>
          <w:tcPr>
            <w:tcW w:w="2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(44,109)</w:t>
            </w:r>
          </w:p>
        </w:tc>
        <w:tc>
          <w:tcPr>
            <w:tcW w:w="1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60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Arial;sans-serif" w:hAnsi="Arial;sans-serif"/>
          <w:b w:val="false"/>
          <w:color w:val="000000"/>
          <w:sz w:val="18"/>
        </w:rPr>
        <w:t>For the three months ended June 30, 2024</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 xml:space="preserve">2023, </w:t>
      </w:r>
      <w:r>
        <w:rPr>
          <w:rFonts w:ascii="Arial;sans-serif" w:hAnsi="Arial;sans-serif"/>
          <w:b w:val="false"/>
          <w:color w:val="000000"/>
          <w:sz w:val="18"/>
          <w:shd w:fill="FFFFFF" w:val="clear"/>
        </w:rPr>
        <w:t xml:space="preserve">gains </w:t>
      </w:r>
      <w:r>
        <w:rPr>
          <w:rFonts w:ascii="Arial;sans-serif" w:hAnsi="Arial;sans-serif"/>
          <w:b w:val="false"/>
          <w:color w:val="000000"/>
          <w:sz w:val="18"/>
        </w:rPr>
        <w:t>of $5.6 million</w:t>
      </w:r>
      <w:r>
        <w:rPr>
          <w:color w:val="000000"/>
          <w:shd w:fill="FFFFFF" w:val="clear"/>
        </w:rPr>
        <w:t xml:space="preserve"> </w:t>
      </w:r>
      <w:r>
        <w:rPr>
          <w:rFonts w:ascii="Arial;sans-serif" w:hAnsi="Arial;sans-serif"/>
          <w:b w:val="false"/>
          <w:color w:val="000000"/>
          <w:sz w:val="18"/>
        </w:rPr>
        <w:t>and</w:t>
      </w:r>
      <w:r>
        <w:rPr>
          <w:color w:val="000000"/>
          <w:shd w:fill="FFFFFF" w:val="clear"/>
        </w:rPr>
        <w:t xml:space="preserve"> </w:t>
      </w:r>
      <w:r>
        <w:rPr>
          <w:rFonts w:ascii="Arial;sans-serif" w:hAnsi="Arial;sans-serif"/>
          <w:b w:val="false"/>
          <w:color w:val="000000"/>
          <w:sz w:val="18"/>
        </w:rPr>
        <w:t xml:space="preserve">$2.9 million, respectively, </w:t>
      </w:r>
      <w:r>
        <w:rPr>
          <w:rFonts w:ascii="Arial;sans-serif" w:hAnsi="Arial;sans-serif"/>
          <w:b w:val="false"/>
          <w:color w:val="000000"/>
          <w:sz w:val="18"/>
          <w:shd w:fill="FFFFFF" w:val="clear"/>
        </w:rPr>
        <w:t>were reclassified from AOCI into the condensed consolidated statements of operations within interest expense related to the interest rate swa</w:t>
      </w:r>
      <w:r>
        <w:rPr>
          <w:rFonts w:ascii="Arial;sans-serif" w:hAnsi="Arial;sans-serif"/>
          <w:b w:val="false"/>
          <w:color w:val="000000"/>
          <w:sz w:val="18"/>
        </w:rPr>
        <w:t>ps. For the six months ended June 30, 2024 and 2023, gains of $10.9 million and $4.5 million, respectively, were reclassified from AOCI into the condensed consolidated statements of operations within interest expense related to the interest rate swaps. Th</w:t>
      </w:r>
      <w:r>
        <w:rPr>
          <w:rFonts w:ascii="Arial;sans-serif" w:hAnsi="Arial;sans-serif"/>
          <w:b w:val="false"/>
          <w:color w:val="000000"/>
          <w:sz w:val="18"/>
          <w:shd w:fill="FFFFFF" w:val="clear"/>
        </w:rPr>
        <w:t>e interest rate swaps are discussed in Note 12. Associated with these reclassifications, t</w:t>
      </w:r>
      <w:r>
        <w:rPr>
          <w:rFonts w:ascii="Arial;sans-serif" w:hAnsi="Arial;sans-serif"/>
          <w:b w:val="false"/>
          <w:color w:val="000000"/>
          <w:sz w:val="18"/>
        </w:rPr>
        <w:t>he Company recorded a tax benefit of $1.6 million and tax expense of $0.7 million for the three months ended June 30, 2024 and 2023, respectively, and tax expense of $3.0 million and $1.1 million for the six months ended June 30, 2024 and 2023,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11 – 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recorded $13.9 million of income tax benefit from continuing operations and $3.2 million of income tax expense from continuing operations for the three and six months ended June 30, 2024, respectively, and $31.6 million and $62.1 million of income tax expense from continuing operations for the three and six months ended June 30, 2023, respectively. The Company’s effective tax rate for the three and six months ended June 30, 2024 was 22.9% and 25.4%, respectively. The Company's effective tax rate for the three and six months ended June 30, 2023 was 26.5% and 27.5%, respectively.</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effective tax rate for the three and six months ended June 30, 2024 differed from the US federal statutory rate of 21% primarily due to state and provincial taxes and non-deductible executive compensation, partially offset by a discrete tax benefit related to employee stock vesting. The effective tax rate for the three and six months ended June 30, 2023 differed from the US federal statutory rate of 21% primarily due to state and provincial taxes and an add-back for non-deductible executive compensation.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12 - Derivatives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makes payments based on a weighted average fixed interest rate of 3.44% on the notional amount.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weighted average fixed interest rate of 3.70% on the notional amount.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receives under the terms of these swap agreements was 5.35% at June 30, 2024.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instruments designated as hedges were as follows:</w:t>
      </w:r>
    </w:p>
    <w:tbl>
      <w:tblPr>
        <w:tblW w:w="8427" w:type="dxa"/>
        <w:jc w:val="left"/>
        <w:tblInd w:w="0" w:type="dxa"/>
        <w:tblLayout w:type="fixed"/>
        <w:tblCellMar>
          <w:top w:w="28" w:type="dxa"/>
          <w:left w:w="28" w:type="dxa"/>
          <w:bottom w:w="28" w:type="dxa"/>
          <w:right w:w="28" w:type="dxa"/>
        </w:tblCellMar>
      </w:tblPr>
      <w:tblGrid>
        <w:gridCol w:w="625"/>
        <w:gridCol w:w="549"/>
        <w:gridCol w:w="550"/>
        <w:gridCol w:w="1198"/>
        <w:gridCol w:w="1198"/>
        <w:gridCol w:w="1203"/>
        <w:gridCol w:w="261"/>
        <w:gridCol w:w="894"/>
        <w:gridCol w:w="135"/>
        <w:gridCol w:w="362"/>
        <w:gridCol w:w="1188"/>
        <w:gridCol w:w="26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35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Balance Sheet Location</w:t>
            </w:r>
          </w:p>
        </w:tc>
        <w:tc>
          <w:tcPr>
            <w:tcW w:w="1290" w:type="dxa"/>
            <w:gridSpan w:val="3"/>
            <w:tcBorders/>
            <w:shd w:fill="1D2758"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June 30, 2024</w:t>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3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2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7,894 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fair value of the interest rate swaps was based on dealer quotes of market forward rates, which are Level 2 inputs on the fair value hierarchy (see Note 13), and reflected the amount that the Company would receive or pay as of </w:t>
      </w:r>
      <w:r>
        <w:rPr>
          <w:rFonts w:ascii="Arial;sans-serif" w:hAnsi="Arial;sans-serif"/>
          <w:b w:val="false"/>
          <w:color w:val="000000"/>
          <w:sz w:val="18"/>
          <w:shd w:fill="FFFFFF" w:val="clear"/>
        </w:rPr>
        <w:t>June 30, 2024</w:t>
      </w:r>
      <w:r>
        <w:rPr>
          <w:color w:val="000000"/>
        </w:rPr>
        <w:t xml:space="preserve"> </w:t>
      </w:r>
      <w:r>
        <w:rPr>
          <w:rFonts w:ascii="Arial;sans-serif" w:hAnsi="Arial;sans-serif"/>
          <w:b w:val="false"/>
          <w:color w:val="000000"/>
          <w:sz w:val="18"/>
        </w:rPr>
        <w:t>for contracts involving the same attributes and maturity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following table discloses the impact of the interest rate swaps, excluding the impact of income taxes, on other comprehensive income (“OCI”), AOCI and the Company’s condensed consolidated statements of operations for the six months ended June 30, </w:t>
      </w:r>
      <w:r>
        <w:rPr>
          <w:rFonts w:ascii="Arial;sans-serif" w:hAnsi="Arial;sans-serif"/>
          <w:b w:val="false"/>
          <w:color w:val="000000"/>
          <w:sz w:val="18"/>
        </w:rPr>
        <w:t>2024 and 2023</w:t>
      </w:r>
      <w:r>
        <w:rPr>
          <w:rFonts w:ascii="Arial;sans-serif" w:hAnsi="Arial;sans-serif"/>
          <w:b w:val="false"/>
          <w:color w:val="000000"/>
          <w:sz w:val="18"/>
          <w:shd w:fill="FFFFFF" w:val="clear"/>
        </w:rPr>
        <w:t>:</w:t>
      </w:r>
    </w:p>
    <w:tbl>
      <w:tblPr>
        <w:tblW w:w="7548" w:type="dxa"/>
        <w:jc w:val="left"/>
        <w:tblInd w:w="0" w:type="dxa"/>
        <w:tblLayout w:type="fixed"/>
        <w:tblCellMar>
          <w:top w:w="28" w:type="dxa"/>
          <w:left w:w="28" w:type="dxa"/>
          <w:bottom w:w="28" w:type="dxa"/>
          <w:right w:w="28" w:type="dxa"/>
        </w:tblCellMar>
      </w:tblPr>
      <w:tblGrid>
        <w:gridCol w:w="1218"/>
        <w:gridCol w:w="1069"/>
        <w:gridCol w:w="1072"/>
        <w:gridCol w:w="340"/>
        <w:gridCol w:w="1284"/>
        <w:gridCol w:w="175"/>
        <w:gridCol w:w="109"/>
        <w:gridCol w:w="109"/>
        <w:gridCol w:w="109"/>
        <w:gridCol w:w="365"/>
        <w:gridCol w:w="1247"/>
        <w:gridCol w:w="188"/>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recognized in OCI</w:t>
            </w:r>
          </w:p>
        </w:tc>
        <w:tc>
          <w:tcPr>
            <w:tcW w:w="34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31,104 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20,666 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Location of gain recognized in income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reclassified from AOCI into income</w:t>
            </w:r>
          </w:p>
        </w:tc>
        <w:tc>
          <w:tcPr>
            <w:tcW w:w="34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(10,890)</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13 - Fair Value Measures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288"/>
        <w:gridCol w:w="251"/>
        <w:gridCol w:w="254"/>
        <w:gridCol w:w="2773"/>
        <w:gridCol w:w="2748"/>
        <w:gridCol w:w="3891"/>
      </w:tblGrid>
      <w:tr>
        <w:trPr/>
        <w:tc>
          <w:tcPr>
            <w:tcW w:w="2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Observable inputs such as quoted prices in active markets for identical assets or liabilities;</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Observable inputs, other than Level 1 inputs in active markets, that are observable either directly or indirectly; and</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Unobservable inputs for which there is little or no market data, which require the reporting entity to develop its own assumptions</w:t>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w:t>
      </w:r>
      <w:r>
        <w:rPr>
          <w:rFonts w:ascii="Arial;sans-serif" w:hAnsi="Arial;sans-serif"/>
          <w:b w:val="false"/>
          <w:color w:val="000000"/>
          <w:sz w:val="18"/>
          <w:shd w:fill="FFFFFF" w:val="clear"/>
        </w:rPr>
        <w:t>June 30, 2024</w:t>
      </w:r>
      <w:r>
        <w:rPr>
          <w:color w:val="000000"/>
        </w:rPr>
        <w:t xml:space="preserve"> </w:t>
      </w:r>
      <w:r>
        <w:rPr>
          <w:rFonts w:ascii="Arial;sans-serif" w:hAnsi="Arial;sans-serif"/>
          <w:b w:val="false"/>
          <w:color w:val="000000"/>
          <w:sz w:val="18"/>
        </w:rPr>
        <w:t xml:space="preserve">and December 31, 2023 approximate their respective book values. The carrying value of the ABL Facility, excluding debt issuance costs, approximates fair value as the interest rates are variable and reflective of current market rates.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values of the 2025 Secured Notes, the 2028 Secured Notes, the 2029 Secured Notes, and the 2031 Secured Notes are based on their last trading price at the end of each period obtained from a third party. The following table shows the carrying amounts and fair values of these financial liabilities measured using Level 2 inputs:</w:t>
      </w:r>
    </w:p>
    <w:tbl>
      <w:tblPr>
        <w:tblW w:w="10205" w:type="dxa"/>
        <w:jc w:val="left"/>
        <w:tblInd w:w="0" w:type="dxa"/>
        <w:tblLayout w:type="fixed"/>
        <w:tblCellMar>
          <w:top w:w="28" w:type="dxa"/>
          <w:left w:w="28" w:type="dxa"/>
          <w:bottom w:w="28" w:type="dxa"/>
          <w:right w:w="28" w:type="dxa"/>
        </w:tblCellMar>
      </w:tblPr>
      <w:tblGrid>
        <w:gridCol w:w="630"/>
        <w:gridCol w:w="553"/>
        <w:gridCol w:w="554"/>
        <w:gridCol w:w="252"/>
        <w:gridCol w:w="1169"/>
        <w:gridCol w:w="130"/>
        <w:gridCol w:w="109"/>
        <w:gridCol w:w="260"/>
        <w:gridCol w:w="1210"/>
        <w:gridCol w:w="134"/>
        <w:gridCol w:w="1520"/>
        <w:gridCol w:w="211"/>
        <w:gridCol w:w="976"/>
        <w:gridCol w:w="109"/>
        <w:gridCol w:w="932"/>
        <w:gridCol w:w="211"/>
        <w:gridCol w:w="976"/>
        <w:gridCol w:w="109"/>
        <w:gridCol w:w="160"/>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4"/>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June 30, 2024</w:t>
            </w:r>
          </w:p>
        </w:tc>
        <w:tc>
          <w:tcPr>
            <w:tcW w:w="3124" w:type="dxa"/>
            <w:gridSpan w:val="4"/>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c>
          <w:tcPr>
            <w:tcW w:w="3684" w:type="dxa"/>
            <w:gridSpan w:val="8"/>
            <w:tcBorders/>
          </w:tcPr>
          <w:p>
            <w:pPr>
              <w:pStyle w:val="TableContents"/>
              <w:bidi w:val="0"/>
              <w:spacing w:before="0" w:after="283"/>
              <w:jc w:val="left"/>
              <w:rPr>
                <w:sz w:val="4"/>
                <w:szCs w:val="4"/>
              </w:rPr>
            </w:pPr>
            <w:r>
              <w:rPr>
                <w:sz w:val="4"/>
                <w:szCs w:val="4"/>
              </w:rPr>
            </w:r>
          </w:p>
        </w:tc>
      </w:tr>
      <w:tr>
        <w:trPr/>
        <w:tc>
          <w:tcPr>
            <w:tcW w:w="1737"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551"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Fair Value</w:t>
            </w:r>
          </w:p>
        </w:tc>
        <w:tc>
          <w:tcPr>
            <w:tcW w:w="1520" w:type="dxa"/>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Carrying Amount</w:t>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2" w:type="dxa"/>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Fair Value</w:t>
            </w:r>
          </w:p>
        </w:tc>
        <w:tc>
          <w:tcPr>
            <w:tcW w:w="1456" w:type="dxa"/>
            <w:gridSpan w:val="4"/>
            <w:tcBorders/>
          </w:tcPr>
          <w:p>
            <w:pPr>
              <w:pStyle w:val="TableContents"/>
              <w:bidi w:val="0"/>
              <w:spacing w:before="0" w:after="283"/>
              <w:jc w:val="left"/>
              <w:rPr>
                <w:sz w:val="4"/>
                <w:szCs w:val="4"/>
              </w:rPr>
            </w:pPr>
            <w:r>
              <w:rPr>
                <w:sz w:val="4"/>
                <w:szCs w:val="4"/>
              </w:rPr>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2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523,988 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526,247 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527,021 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495,034 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 Secured Notes</w:t>
            </w:r>
          </w:p>
        </w:tc>
        <w:tc>
          <w:tcPr>
            <w:tcW w:w="1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493,094 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504,040 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2,006,129 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2,017,482 </w:t>
            </w:r>
          </w:p>
        </w:tc>
        <w:tc>
          <w:tcPr>
            <w:tcW w:w="1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1,510,944 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1,529,381 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As of June 30, 2024, the carrying values of the 2025 Secured Notes, the 2028 Secured Notes, the 2029 Secured Notes, and the 2031 Secured Notes included </w:t>
      </w:r>
      <w:r>
        <w:rPr>
          <w:rFonts w:ascii="Arial;sans-serif" w:hAnsi="Arial;sans-serif"/>
          <w:b w:val="false"/>
          <w:color w:val="000000"/>
          <w:sz w:val="18"/>
          <w:shd w:fill="FFFFFF" w:val="clear"/>
        </w:rPr>
        <w:t>$2.5 million, $5.0 million</w:t>
      </w:r>
      <w:r>
        <w:rPr>
          <w:rFonts w:ascii="Arial;sans-serif" w:hAnsi="Arial;sans-serif"/>
          <w:b w:val="false"/>
          <w:color w:val="000000"/>
          <w:sz w:val="18"/>
        </w:rPr>
        <w:t xml:space="preserve">, </w:t>
      </w:r>
      <w:r>
        <w:rPr>
          <w:rFonts w:ascii="Arial;sans-serif" w:hAnsi="Arial;sans-serif"/>
          <w:b w:val="false"/>
          <w:color w:val="000000"/>
          <w:sz w:val="18"/>
          <w:shd w:fill="FFFFFF" w:val="clear"/>
        </w:rPr>
        <w:t>$6.9 million</w:t>
      </w:r>
      <w:r>
        <w:rPr>
          <w:rFonts w:ascii="Arial;sans-serif" w:hAnsi="Arial;sans-serif"/>
          <w:b w:val="false"/>
          <w:color w:val="000000"/>
          <w:sz w:val="18"/>
        </w:rPr>
        <w:t xml:space="preserve">, </w:t>
      </w:r>
      <w:r>
        <w:rPr>
          <w:rFonts w:ascii="Arial;sans-serif" w:hAnsi="Arial;sans-serif"/>
          <w:b w:val="false"/>
          <w:color w:val="000000"/>
          <w:sz w:val="18"/>
          <w:shd w:fill="FFFFFF" w:val="clear"/>
        </w:rPr>
        <w:t>and</w:t>
      </w:r>
      <w:r>
        <w:rPr>
          <w:color w:val="000000"/>
        </w:rPr>
        <w:t xml:space="preserve"> </w:t>
      </w:r>
      <w:r>
        <w:rPr>
          <w:rFonts w:ascii="Arial;sans-serif" w:hAnsi="Arial;sans-serif"/>
          <w:b w:val="false"/>
          <w:color w:val="000000"/>
          <w:sz w:val="18"/>
          <w:shd w:fill="FFFFFF" w:val="clear"/>
        </w:rPr>
        <w:t>$6.0 million</w:t>
      </w:r>
      <w:r>
        <w:rPr>
          <w:rFonts w:ascii="Arial;sans-serif" w:hAnsi="Arial;sans-serif"/>
          <w:b w:val="false"/>
          <w:color w:val="000000"/>
          <w:sz w:val="18"/>
        </w:rPr>
        <w:t xml:space="preserve">, respectively, of unamortized debt issuance costs, which were presented as a direct reduction of the corresponding liability. As of December 31, 2023, the carrying values of the 2025 Secured Notes, the 2028 Secured Notes, and the 2031 Secured Notes included $3.8 million, $5.5 million, and $6.3 million, respectively, of unamortized debt issuance costs, which were presented as a direct reduction of the corresponding liability.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assets and liabilities in the condensed consolidated balance sheets are disclosed in Note 12.</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14 - Stock-Based Compensation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 grants of restricted stock awards ("RSAs"). Time-Based RSUs and RSAs are valued based on the intrinsic value of the difference between the exercise price, if any, of the award and the fair market value of WillScot's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Restricted Stock Awards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RSA activity for the six months ended June 30, 2024 and 2023</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58"/>
        <w:gridCol w:w="579"/>
        <w:gridCol w:w="581"/>
        <w:gridCol w:w="503"/>
        <w:gridCol w:w="376"/>
        <w:gridCol w:w="378"/>
        <w:gridCol w:w="109"/>
        <w:gridCol w:w="109"/>
        <w:gridCol w:w="109"/>
        <w:gridCol w:w="545"/>
        <w:gridCol w:w="1593"/>
        <w:gridCol w:w="282"/>
        <w:gridCol w:w="109"/>
        <w:gridCol w:w="109"/>
        <w:gridCol w:w="109"/>
        <w:gridCol w:w="503"/>
        <w:gridCol w:w="376"/>
        <w:gridCol w:w="378"/>
        <w:gridCol w:w="109"/>
        <w:gridCol w:w="109"/>
        <w:gridCol w:w="109"/>
        <w:gridCol w:w="529"/>
        <w:gridCol w:w="1548"/>
        <w:gridCol w:w="395"/>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81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28,946 </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35,244 </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3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(25,483)</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w:t>
            </w:r>
          </w:p>
        </w:tc>
        <w:tc>
          <w:tcPr>
            <w:tcW w:w="3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3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35,795 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38.69 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25,483 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RSAs recognized in SG&amp;A on the condensed consolidated statements of operations was $0.3 million for both the three months ended June 30, 2024 and 2023. Compensation expense for RSAs recognized in SG&amp;A on the condensed consolidated statements of operations was $0.6 million for both the six months ended June 30, 2024 and 2023. At June 30, 2024, unrecognized compensation cost related to RSAs totaled $1.2 million and was expected to be recognized over the remaining weighted average vesting period of 0.9 years.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Time-Based RSUs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Time-Based RSU activity for the six months ended June 30, 2024 and 2023</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45"/>
        <w:gridCol w:w="568"/>
        <w:gridCol w:w="569"/>
        <w:gridCol w:w="554"/>
        <w:gridCol w:w="385"/>
        <w:gridCol w:w="372"/>
        <w:gridCol w:w="109"/>
        <w:gridCol w:w="109"/>
        <w:gridCol w:w="109"/>
        <w:gridCol w:w="537"/>
        <w:gridCol w:w="1569"/>
        <w:gridCol w:w="278"/>
        <w:gridCol w:w="109"/>
        <w:gridCol w:w="109"/>
        <w:gridCol w:w="109"/>
        <w:gridCol w:w="554"/>
        <w:gridCol w:w="385"/>
        <w:gridCol w:w="372"/>
        <w:gridCol w:w="109"/>
        <w:gridCol w:w="109"/>
        <w:gridCol w:w="109"/>
        <w:gridCol w:w="521"/>
        <w:gridCol w:w="1526"/>
        <w:gridCol w:w="38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78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78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782"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618,836 </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2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789,779 </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26.16 </w:t>
            </w:r>
          </w:p>
        </w:tc>
        <w:tc>
          <w:tcPr>
            <w:tcW w:w="38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273,524 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213,388 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(12,906)</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44.47 </w:t>
            </w:r>
          </w:p>
        </w:tc>
        <w:tc>
          <w:tcPr>
            <w:tcW w:w="2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(43,486)</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34.67 </w:t>
            </w:r>
          </w:p>
        </w:tc>
        <w:tc>
          <w:tcPr>
            <w:tcW w:w="38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(223,566)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(281,153)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939"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655,888 </w:t>
            </w:r>
          </w:p>
        </w:tc>
        <w:tc>
          <w:tcPr>
            <w:tcW w:w="37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42.11 </w:t>
            </w:r>
          </w:p>
        </w:tc>
        <w:tc>
          <w:tcPr>
            <w:tcW w:w="27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678,528 </w:t>
            </w:r>
          </w:p>
        </w:tc>
        <w:tc>
          <w:tcPr>
            <w:tcW w:w="37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38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Time-Based RSUs recognized in SG&amp;A on the condensed consolidated statements of operations was $2.7 million and $2.2 million for the three months ended June 30, 2024 and 2023, respectively. Compensation expense for Time-Based RSUs recognized in SG&amp;A on the condensed consolidated statements of operations was $5.0 million and $4.0 million for the six months ended June 30, 2024 and 2023, respectively. At June 30, 2024, unrecognized compensation cost related to Time-Based RSUs totaled $21.9 million and was expected to be recognized over the remaining weighted average vesting period of 2.5 years.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Performance-Based RSUs </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Performance-Based RSU award activity for the six months ended June 30, 2024 and 2023</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28"/>
        <w:gridCol w:w="553"/>
        <w:gridCol w:w="554"/>
        <w:gridCol w:w="554"/>
        <w:gridCol w:w="467"/>
        <w:gridCol w:w="365"/>
        <w:gridCol w:w="109"/>
        <w:gridCol w:w="109"/>
        <w:gridCol w:w="109"/>
        <w:gridCol w:w="526"/>
        <w:gridCol w:w="1536"/>
        <w:gridCol w:w="272"/>
        <w:gridCol w:w="109"/>
        <w:gridCol w:w="109"/>
        <w:gridCol w:w="109"/>
        <w:gridCol w:w="554"/>
        <w:gridCol w:w="467"/>
        <w:gridCol w:w="365"/>
        <w:gridCol w:w="109"/>
        <w:gridCol w:w="109"/>
        <w:gridCol w:w="109"/>
        <w:gridCol w:w="511"/>
        <w:gridCol w:w="1494"/>
        <w:gridCol w:w="378"/>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1,939,691 </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42.95 </w:t>
            </w:r>
          </w:p>
        </w:tc>
        <w:tc>
          <w:tcPr>
            <w:tcW w:w="2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1,894,250 </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3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295,833 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376,826 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(9,965)</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46.18 </w:t>
            </w:r>
          </w:p>
        </w:tc>
        <w:tc>
          <w:tcPr>
            <w:tcW w:w="2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69.52 </w:t>
            </w:r>
          </w:p>
        </w:tc>
        <w:tc>
          <w:tcPr>
            <w:tcW w:w="3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(353,323)</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(181,319)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1021"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1,872,236 </w:t>
            </w:r>
          </w:p>
        </w:tc>
        <w:tc>
          <w:tcPr>
            <w:tcW w:w="36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47.40 </w:t>
            </w:r>
          </w:p>
        </w:tc>
        <w:tc>
          <w:tcPr>
            <w:tcW w:w="27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2,088,772 </w:t>
            </w:r>
          </w:p>
        </w:tc>
        <w:tc>
          <w:tcPr>
            <w:tcW w:w="36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41.54 </w:t>
            </w:r>
          </w:p>
        </w:tc>
        <w:tc>
          <w:tcPr>
            <w:tcW w:w="37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Compensation expense for Performance-Based RSUs recognized in SG&amp;A </w:t>
      </w:r>
      <w:r>
        <w:rPr>
          <w:rFonts w:ascii="Arial;sans-serif" w:hAnsi="Arial;sans-serif"/>
          <w:b w:val="false"/>
          <w:color w:val="000000"/>
          <w:sz w:val="18"/>
          <w:shd w:fill="FFFFFF" w:val="clear"/>
        </w:rPr>
        <w:t>on the condensed consolidated statements of operations was</w:t>
      </w:r>
      <w:r>
        <w:rPr>
          <w:color w:val="000000"/>
        </w:rPr>
        <w:t xml:space="preserve"> </w:t>
      </w:r>
      <w:r>
        <w:rPr>
          <w:rFonts w:ascii="Arial;sans-serif" w:hAnsi="Arial;sans-serif"/>
          <w:b w:val="false"/>
          <w:color w:val="000000"/>
          <w:sz w:val="18"/>
        </w:rPr>
        <w:t xml:space="preserve">$6.6 million </w:t>
      </w:r>
      <w:r>
        <w:rPr>
          <w:rFonts w:ascii="Arial;sans-serif" w:hAnsi="Arial;sans-serif"/>
          <w:b w:val="false"/>
          <w:color w:val="000000"/>
          <w:sz w:val="18"/>
          <w:shd w:fill="FFFFFF" w:val="clear"/>
        </w:rPr>
        <w:t>and $6.9 million for the three months ended June 30, 2024 and 2023, respectively. Compensation expense for Performance-Based RSUs recognized in SG&amp;A on the condensed consolidated statements of o</w:t>
      </w:r>
      <w:r>
        <w:rPr>
          <w:rFonts w:ascii="Arial;sans-serif" w:hAnsi="Arial;sans-serif"/>
          <w:b w:val="false"/>
          <w:color w:val="000000"/>
          <w:sz w:val="18"/>
        </w:rPr>
        <w:t>perations was $13.1 million and $12.7 million for the six months ended June 30, 2024 and 2023, respectively. At June 30, 2024, unrecognized compensation cost related to Performance-Based RSUs totaled $41.4 million and was expected to be recognized over the remaining weighted average vesting period of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Certain Performance-Based RSUs cliff vest based on achievement of the relative total stockholder return ("TSR") of the Company's Common Stock as compared to the TSR of the constituents in the S&amp;P 400 index at the grant date over the performance period of three years.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target payout for the 555,790 Performance-Based RSUs is tied to a stock price of $47.50, with a payout ranging from 0 RSUs (for a stock price less than $42.50) to 1,333,334 RSUs (for a stock price of $60.00 or greater).</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stock option activity for the six months ended June 30, 2024</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731"/>
        <w:gridCol w:w="644"/>
        <w:gridCol w:w="645"/>
        <w:gridCol w:w="499"/>
        <w:gridCol w:w="375"/>
        <w:gridCol w:w="332"/>
        <w:gridCol w:w="109"/>
        <w:gridCol w:w="109"/>
        <w:gridCol w:w="109"/>
        <w:gridCol w:w="520"/>
        <w:gridCol w:w="1521"/>
        <w:gridCol w:w="269"/>
        <w:gridCol w:w="109"/>
        <w:gridCol w:w="109"/>
        <w:gridCol w:w="109"/>
        <w:gridCol w:w="517"/>
        <w:gridCol w:w="405"/>
        <w:gridCol w:w="406"/>
        <w:gridCol w:w="109"/>
        <w:gridCol w:w="109"/>
        <w:gridCol w:w="109"/>
        <w:gridCol w:w="506"/>
        <w:gridCol w:w="1479"/>
        <w:gridCol w:w="375"/>
      </w:tblGrid>
      <w:tr>
        <w:trPr/>
        <w:tc>
          <w:tcPr>
            <w:tcW w:w="73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Converted</w:t>
              <w:br/>
              <w:t>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202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7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3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829,246 </w:t>
            </w:r>
          </w:p>
        </w:tc>
        <w:tc>
          <w:tcPr>
            <w:tcW w:w="4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37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74"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3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822,153 </w:t>
            </w:r>
          </w:p>
        </w:tc>
        <w:tc>
          <w:tcPr>
            <w:tcW w:w="40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37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Fully vested and exercisable options, June 30, 2024</w:t>
            </w:r>
          </w:p>
        </w:tc>
        <w:tc>
          <w:tcPr>
            <w:tcW w:w="874"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3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822,153 </w:t>
            </w:r>
          </w:p>
        </w:tc>
        <w:tc>
          <w:tcPr>
            <w:tcW w:w="40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37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 summarizes the Company's stock option activity for the six months ended June 30, </w:t>
      </w:r>
      <w:r>
        <w:rPr>
          <w:rFonts w:ascii="Arial;sans-serif" w:hAnsi="Arial;sans-serif"/>
          <w:b w:val="false"/>
          <w:color w:val="000000"/>
          <w:sz w:val="18"/>
          <w:shd w:fill="FFFFFF" w:val="clear"/>
        </w:rPr>
        <w:t>2023:</w:t>
      </w:r>
    </w:p>
    <w:tbl>
      <w:tblPr>
        <w:tblW w:w="10205" w:type="dxa"/>
        <w:jc w:val="left"/>
        <w:tblInd w:w="0" w:type="dxa"/>
        <w:tblLayout w:type="fixed"/>
        <w:tblCellMar>
          <w:top w:w="28" w:type="dxa"/>
          <w:left w:w="28" w:type="dxa"/>
          <w:bottom w:w="28" w:type="dxa"/>
          <w:right w:w="28" w:type="dxa"/>
        </w:tblCellMar>
      </w:tblPr>
      <w:tblGrid>
        <w:gridCol w:w="698"/>
        <w:gridCol w:w="615"/>
        <w:gridCol w:w="616"/>
        <w:gridCol w:w="499"/>
        <w:gridCol w:w="370"/>
        <w:gridCol w:w="325"/>
        <w:gridCol w:w="109"/>
        <w:gridCol w:w="109"/>
        <w:gridCol w:w="109"/>
        <w:gridCol w:w="506"/>
        <w:gridCol w:w="1481"/>
        <w:gridCol w:w="262"/>
        <w:gridCol w:w="109"/>
        <w:gridCol w:w="109"/>
        <w:gridCol w:w="109"/>
        <w:gridCol w:w="594"/>
        <w:gridCol w:w="477"/>
        <w:gridCol w:w="479"/>
        <w:gridCol w:w="109"/>
        <w:gridCol w:w="109"/>
        <w:gridCol w:w="109"/>
        <w:gridCol w:w="493"/>
        <w:gridCol w:w="1441"/>
        <w:gridCol w:w="368"/>
      </w:tblGrid>
      <w:tr>
        <w:trPr/>
        <w:tc>
          <w:tcPr>
            <w:tcW w:w="69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Converted 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192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6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864,276 </w:t>
            </w:r>
          </w:p>
        </w:tc>
        <w:tc>
          <w:tcPr>
            <w:tcW w:w="47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3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69"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2"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834,941 </w:t>
            </w:r>
          </w:p>
        </w:tc>
        <w:tc>
          <w:tcPr>
            <w:tcW w:w="47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368"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Fully vested and exercisable options, June 30, 2023</w:t>
            </w:r>
          </w:p>
        </w:tc>
        <w:tc>
          <w:tcPr>
            <w:tcW w:w="869"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834,941 </w:t>
            </w:r>
          </w:p>
        </w:tc>
        <w:tc>
          <w:tcPr>
            <w:tcW w:w="47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36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Arial;sans-serif" w:hAnsi="Arial;sans-serif"/>
          <w:b w:val="false"/>
          <w:color w:val="1D2758"/>
          <w:sz w:val="26"/>
        </w:rPr>
        <w:t>NOTE 15 - Commitments and Contingencies</w:t>
      </w:r>
      <w:r>
        <w:rPr>
          <w:color w:val="008A5F"/>
        </w:rPr>
        <w:t xml:space="preserve">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June 30, 2024,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16 - Earnings (Loss) Per Share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the weighted average shares outstanding for the basic earnings per share calculation to the weighted average shares outstanding for the diluted earnings per share calculation:</w:t>
      </w:r>
    </w:p>
    <w:tbl>
      <w:tblPr>
        <w:tblW w:w="10205" w:type="dxa"/>
        <w:jc w:val="left"/>
        <w:tblInd w:w="0" w:type="dxa"/>
        <w:tblLayout w:type="fixed"/>
        <w:tblCellMar>
          <w:top w:w="28" w:type="dxa"/>
          <w:left w:w="28" w:type="dxa"/>
          <w:bottom w:w="28" w:type="dxa"/>
          <w:right w:w="28" w:type="dxa"/>
        </w:tblCellMar>
      </w:tblPr>
      <w:tblGrid>
        <w:gridCol w:w="1745"/>
        <w:gridCol w:w="1525"/>
        <w:gridCol w:w="1529"/>
        <w:gridCol w:w="222"/>
        <w:gridCol w:w="840"/>
        <w:gridCol w:w="114"/>
        <w:gridCol w:w="114"/>
        <w:gridCol w:w="114"/>
        <w:gridCol w:w="114"/>
        <w:gridCol w:w="222"/>
        <w:gridCol w:w="761"/>
        <w:gridCol w:w="114"/>
        <w:gridCol w:w="109"/>
        <w:gridCol w:w="109"/>
        <w:gridCol w:w="109"/>
        <w:gridCol w:w="211"/>
        <w:gridCol w:w="616"/>
        <w:gridCol w:w="109"/>
        <w:gridCol w:w="109"/>
        <w:gridCol w:w="109"/>
        <w:gridCol w:w="109"/>
        <w:gridCol w:w="211"/>
        <w:gridCol w:w="826"/>
        <w:gridCol w:w="164"/>
      </w:tblGrid>
      <w:tr>
        <w:trPr/>
        <w:tc>
          <w:tcPr>
            <w:tcW w:w="174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4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7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4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298,613 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w:t>
            </w:r>
          </w:p>
        </w:tc>
        <w:tc>
          <w:tcPr>
            <w:tcW w:w="1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189,680 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200,947 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204,636 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1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1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dilutive</w:t>
            </w:r>
          </w:p>
        </w:tc>
        <w:tc>
          <w:tcPr>
            <w:tcW w:w="106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189,680 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204,326 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192,410 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208,233 </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common shares that the Company may be obligated to issue were excluded from the computation of dilutive EPS because their effect would have been anti-dilutive:</w:t>
      </w:r>
    </w:p>
    <w:tbl>
      <w:tblPr>
        <w:tblW w:w="7840" w:type="dxa"/>
        <w:jc w:val="left"/>
        <w:tblInd w:w="0" w:type="dxa"/>
        <w:tblLayout w:type="fixed"/>
        <w:tblCellMar>
          <w:top w:w="28" w:type="dxa"/>
          <w:left w:w="28" w:type="dxa"/>
          <w:bottom w:w="28" w:type="dxa"/>
          <w:right w:w="28" w:type="dxa"/>
        </w:tblCellMar>
      </w:tblPr>
      <w:tblGrid>
        <w:gridCol w:w="918"/>
        <w:gridCol w:w="671"/>
        <w:gridCol w:w="675"/>
        <w:gridCol w:w="384"/>
        <w:gridCol w:w="291"/>
        <w:gridCol w:w="291"/>
        <w:gridCol w:w="291"/>
        <w:gridCol w:w="291"/>
        <w:gridCol w:w="291"/>
        <w:gridCol w:w="291"/>
        <w:gridCol w:w="291"/>
        <w:gridCol w:w="291"/>
        <w:gridCol w:w="109"/>
        <w:gridCol w:w="109"/>
        <w:gridCol w:w="109"/>
        <w:gridCol w:w="342"/>
        <w:gridCol w:w="274"/>
        <w:gridCol w:w="259"/>
        <w:gridCol w:w="259"/>
        <w:gridCol w:w="259"/>
        <w:gridCol w:w="259"/>
        <w:gridCol w:w="259"/>
        <w:gridCol w:w="259"/>
        <w:gridCol w:w="367"/>
      </w:tblGrid>
      <w:tr>
        <w:trPr/>
        <w:tc>
          <w:tcPr>
            <w:tcW w:w="9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9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87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77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3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anti-dilutive shares</w:t>
            </w:r>
          </w:p>
        </w:tc>
        <w:tc>
          <w:tcPr>
            <w:tcW w:w="675"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3,920 </w:t>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1,003 </w:t>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3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17 - Restructuring</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In June 2024, the Company implemented a cost-reduction plan to be completed by the end of 2024. During the </w:t>
      </w:r>
      <w:r>
        <w:rPr>
          <w:rFonts w:ascii="Arial;sans-serif" w:hAnsi="Arial;sans-serif"/>
          <w:b w:val="false"/>
          <w:color w:val="000000"/>
          <w:sz w:val="18"/>
        </w:rPr>
        <w:t>six months ended June 30, 2024, r</w:t>
      </w:r>
      <w:r>
        <w:rPr>
          <w:rFonts w:ascii="Arial;sans-serif" w:hAnsi="Arial;sans-serif"/>
          <w:b w:val="false"/>
          <w:color w:val="000000"/>
          <w:sz w:val="18"/>
          <w:shd w:fill="FFFFFF" w:val="clear"/>
        </w:rPr>
        <w:t xml:space="preserve">estructuring costs incurred under this plan </w:t>
      </w:r>
      <w:r>
        <w:rPr>
          <w:rFonts w:ascii="Arial;sans-serif" w:hAnsi="Arial;sans-serif"/>
          <w:b w:val="false"/>
          <w:color w:val="000000"/>
          <w:sz w:val="18"/>
        </w:rPr>
        <w:t>i</w:t>
      </w:r>
      <w:r>
        <w:rPr>
          <w:rFonts w:ascii="Arial;sans-serif" w:hAnsi="Arial;sans-serif"/>
          <w:b w:val="false"/>
          <w:color w:val="000000"/>
          <w:sz w:val="18"/>
          <w:shd w:fill="FFFFFF" w:val="clear"/>
        </w:rPr>
        <w:t xml:space="preserve">ncluded employee termination costs of </w:t>
      </w:r>
      <w:r>
        <w:rPr>
          <w:rFonts w:ascii="Arial;sans-serif" w:hAnsi="Arial;sans-serif"/>
          <w:b w:val="false"/>
          <w:color w:val="000000"/>
          <w:sz w:val="18"/>
        </w:rPr>
        <w:t xml:space="preserve">$6.2 million. </w:t>
      </w:r>
      <w:r>
        <w:rPr>
          <w:rFonts w:ascii="Arial;sans-serif" w:hAnsi="Arial;sans-serif"/>
          <w:b w:val="false"/>
          <w:color w:val="000000"/>
          <w:sz w:val="18"/>
          <w:shd w:fill="FFFFFF" w:val="clear"/>
        </w:rPr>
        <w:t xml:space="preserve">The following is a summary of the activity in the Company’s restructuring accruals for the </w:t>
      </w:r>
      <w:r>
        <w:rPr>
          <w:rFonts w:ascii="Arial;sans-serif" w:hAnsi="Arial;sans-serif"/>
          <w:b w:val="false"/>
          <w:color w:val="000000"/>
          <w:sz w:val="18"/>
        </w:rPr>
        <w:t>six months ended June 30, 2024</w:t>
      </w:r>
      <w:r>
        <w:rPr>
          <w:rFonts w:ascii="Arial;sans-serif" w:hAnsi="Arial;sans-serif"/>
          <w:b w:val="false"/>
          <w:color w:val="000000"/>
          <w:sz w:val="18"/>
          <w:shd w:fill="FFFFFF" w:val="clear"/>
        </w:rPr>
        <w:t>:</w:t>
      </w:r>
    </w:p>
    <w:tbl>
      <w:tblPr>
        <w:tblW w:w="4109" w:type="dxa"/>
        <w:jc w:val="left"/>
        <w:tblInd w:w="0" w:type="dxa"/>
        <w:tblLayout w:type="fixed"/>
        <w:tblCellMar>
          <w:top w:w="28" w:type="dxa"/>
          <w:left w:w="28" w:type="dxa"/>
          <w:bottom w:w="28" w:type="dxa"/>
          <w:right w:w="28" w:type="dxa"/>
        </w:tblCellMar>
      </w:tblPr>
      <w:tblGrid>
        <w:gridCol w:w="604"/>
        <w:gridCol w:w="530"/>
        <w:gridCol w:w="531"/>
        <w:gridCol w:w="526"/>
        <w:gridCol w:w="1535"/>
        <w:gridCol w:w="383"/>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166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4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1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5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2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3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 xml:space="preserve">ITEM 2.    Management’s Discussion and Analysis of Financial Condition and Results of Operations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Management’s Discussion and Analysis of Financial Condition and Results of Operations (“MD&amp;A”) is intended to help the reader understand WillScot Holdings Corporation ("WillScot")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six months ended June 30, 2024 or prior periods.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31, 2023, the Company completed the sale of its former United Kingdom ("UK") Storage Solutions segment. This MD&amp;A presents the historical financial results of the former UK Storage Solutions segment as discontinued operations for all periods presented.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July 29, 2024, the Company amended and restated its certificate of incorporation to effect a change of the Company’s name from “WillScot Mobile Mini Holdings Corp.” to “WillScot Holdings Corporation."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consolidated financial statements were prepared in conformity with accounting principles generally accepted in the United States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 of MD&amp;A.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Executive Summary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a leading business services provider specializing in innovative and flexible turnkey temporary space solutions. We service diverse end markets across all sectors of the economy throughout the United States ("US"), Canada, and Mexico. As of June 30, 2024, our branch network included approximately 260 branch locations and additional drop lots to service our over 85,000 customers. We offer our customers an extensive selection of “Ready to Work” temporary space solutions with over 152,000 modular space units and over 206,000 portable storage units in our fleet.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leases, is approximately 38 months. We complement our core leasing business by selling both new and used units, allowing us to leverage scale, achieve purchasing benefits and redeploy capital employed in our lease fleet.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We track several market leading indicators to predict demand, including those related to our two largest end markets, the commercial and industrial sector and the construction sector, which collectively accounted for approximately 86% of our revenues for the six months ended June 30, 2024.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remain focused on our core priorities of growing leasing revenues by increasing units on rent, both organically and through our acquisition strategy, delivering “Ready to Work” turnkey solutions to our customers with value added products and services ("VAPS"), and continually improving the overall customer experience. </w:t>
      </w:r>
    </w:p>
    <w:p>
      <w:pPr>
        <w:pStyle w:val="TextBody"/>
        <w:bidi w:val="0"/>
        <w:spacing w:lineRule="auto" w:line="288" w:before="0" w:after="120"/>
        <w:jc w:val="both"/>
        <w:rPr>
          <w:rFonts w:ascii="Arial;sans-serif" w:hAnsi="Arial;sans-serif"/>
          <w:b/>
          <w:color w:val="000000"/>
          <w:sz w:val="20"/>
          <w:shd w:fill="FFFFFF" w:val="clear"/>
        </w:rPr>
      </w:pPr>
      <w:r>
        <w:rPr>
          <w:rFonts w:ascii="Arial;sans-serif" w:hAnsi="Arial;sans-serif"/>
          <w:b/>
          <w:color w:val="000000"/>
          <w:sz w:val="20"/>
          <w:shd w:fill="FFFFFF" w:val="clear"/>
        </w:rPr>
        <w:t>Significant Developments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Entry into an Agreement to Acquire McGrath RentCorp</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January 28, 2024, we entered into an agreement and plan of merger (the “Merger Agreement”) with McGrath RentCorp ("McGrath"). Upon consummation of the merger, each outstanding share of McGrath common stock shall be converted into the right to receive either (i) $123.00 in cash or (ii) 2.8211 shares of the Company’s common stock. Under the terms of the Merger Agreement, we expect McGrath’s shareholders will own approximately 12.6% of the Company following the McGrath acquisition. The McGrath acquisition has been approved by the Company's and McGrath’s respective boards of directors and McGrath's shareholders. The McGrath acquisition is subject to the satisfaction or waiver of certain customary closing conditions, including receipt of regulatory approval, and is expected to close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Merger Agreement, we entered into a commitment letter dated January 28, 2024, which was amended and restated on June 13, 2024 and modified by a Notice of Reduction of Bridge Commitments on June 28, 2024 (the "Commitment Letter"), pursuant to which certain financial institutions have committed to make available, in accordance with the terms of the Commitment Letter, (i) a $500 million eight-year senior secured bridge credit facility and (ii) an upsize to the existing $3.7 billion ABL Facility (as defined below) of Williams Scotsman, Inc., a subsidiary of the Company ("WSI"), by $750 million to $4.5 billion to repay McGrath's existing unsecured revolving lines of credit and notes, fund the cash portion of the consideration, and pay the fees, costs and expenses incurred in connection with the McGrath acquisition and the related transactions.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recorded $22.9 million and $35.2 million in legal and professional fees primarily related to the acquisition of McGrath within selling, general and administrative expense ("SG&amp;A") during the three and six months ended June 30, 2024, respectively.</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0" w:after="120"/>
        <w:ind w:left="0" w:right="0" w:firstLine="720"/>
        <w:jc w:val="both"/>
        <w:rPr/>
      </w:pPr>
      <w:r>
        <w:rPr>
          <w:rFonts w:ascii="Arial;sans-serif" w:hAnsi="Arial;sans-serif"/>
          <w:b w:val="false"/>
          <w:color w:val="000000"/>
          <w:sz w:val="18"/>
        </w:rPr>
        <w:t>On June 28, 2024, WSI completed a private offering of $500.0 million in aggregate principal amount of 6.625% senior secured notes due 2029 (the "2029 Secur</w:t>
      </w:r>
      <w:r>
        <w:rPr>
          <w:rFonts w:ascii="Arial;sans-serif" w:hAnsi="Arial;sans-serif"/>
          <w:b w:val="false"/>
          <w:color w:val="000000"/>
          <w:sz w:val="18"/>
          <w:shd w:fill="FFFFFF" w:val="clear"/>
        </w:rPr>
        <w:t xml:space="preserve">ed Notes") </w:t>
      </w:r>
      <w:r>
        <w:rPr>
          <w:rFonts w:ascii="Arial;sans-serif" w:hAnsi="Arial;sans-serif"/>
          <w:b w:val="false"/>
          <w:color w:val="000000"/>
          <w:sz w:val="18"/>
        </w:rPr>
        <w:t>to qualified institutional buyers pursuant to Rule 144A</w:t>
      </w:r>
      <w:r>
        <w:rPr>
          <w:rFonts w:ascii="Arial;sans-serif" w:hAnsi="Arial;sans-serif"/>
          <w:b w:val="false"/>
          <w:color w:val="000000"/>
          <w:sz w:val="18"/>
          <w:shd w:fill="FFFFFF" w:val="clear"/>
        </w:rPr>
        <w:t>. P</w:t>
      </w:r>
      <w:r>
        <w:rPr>
          <w:rFonts w:ascii="Arial;sans-serif" w:hAnsi="Arial;sans-serif"/>
          <w:b w:val="false"/>
          <w:color w:val="000000"/>
          <w:sz w:val="18"/>
        </w:rPr>
        <w:t xml:space="preserve">roceeds were used to repay approximately $495.0 million of outstanding indebtedness under the ABL Facility and certain fees and expenses.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Mobile Mini Trade Name Impairment</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the second quarter of 2024, we determined that a review of the carrying value of the Mobile Mini trade name was necessary based on the Company's plan to rebrand under a single WillScot brand name and discontinue the use of the Mobile Mini trade name. As of </w:t>
      </w:r>
      <w:r>
        <w:rPr>
          <w:rFonts w:ascii="Arial;sans-serif" w:hAnsi="Arial;sans-serif"/>
          <w:b w:val="false"/>
          <w:color w:val="000000"/>
          <w:sz w:val="18"/>
          <w:shd w:fill="FFFFFF" w:val="clear"/>
        </w:rPr>
        <w:t>June 30, 2024, the Mobile Mini trade name was tested for impairment using the relief from royalty valuation method. After determining the estimated fair value, we</w:t>
      </w:r>
      <w:r>
        <w:rPr>
          <w:color w:val="000000"/>
        </w:rPr>
        <w:t xml:space="preserve"> </w:t>
      </w:r>
      <w:r>
        <w:rPr>
          <w:rFonts w:ascii="Arial;sans-serif" w:hAnsi="Arial;sans-serif"/>
          <w:b w:val="false"/>
          <w:color w:val="000000"/>
          <w:sz w:val="18"/>
        </w:rPr>
        <w:t xml:space="preserve">recorded an impairment charge of $132.5 million during the three months ended June 30, 2024. This non-cash charge was recorded to impairment loss on intangible asset on the consolidated statement of operations. As of </w:t>
      </w:r>
      <w:r>
        <w:rPr>
          <w:rFonts w:ascii="Arial;sans-serif" w:hAnsi="Arial;sans-serif"/>
          <w:b w:val="false"/>
          <w:color w:val="000000"/>
          <w:sz w:val="18"/>
          <w:shd w:fill="FFFFFF" w:val="clear"/>
        </w:rPr>
        <w:t>June 30, 2024, t</w:t>
      </w:r>
      <w:r>
        <w:rPr>
          <w:rFonts w:ascii="Arial;sans-serif" w:hAnsi="Arial;sans-serif"/>
          <w:b w:val="false"/>
          <w:color w:val="000000"/>
          <w:sz w:val="18"/>
        </w:rPr>
        <w:t>he remaining net book value of the Mobile Mini trade name was $31.5 million, which will be amortized over a remaining useful life of approximately 3.1 years.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Asset Acquisitions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six months ended June 30, 2024, we acquired certain assets and assumed certain liabilities of three local storage and modular companies, which consisted primarily of approximately 600 storage units and 800 modular units, for $70.6 million. As of the acquisition dates, the fair value of rental equipment acquired was $67.7 million.</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Share Repurchases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six months ended June 30, 2024, we repurchased 2,035,513 shares of Common Stock for $78.7 million, excluding excise tax. As of June 30, 2024, $419.5 million of the authorization for future repurchases of the Common Stock remained available. Given that we believe our free cash flow is predictable, we believe that repurchases will be a recurring capital allocation priority.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Interest Rate Swap Agreements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we entered into two interest rate swap agreements with financial counterparties relating to $500.0 million in aggregate notional amount of variable-rate debt under the ABL Facility. Under the terms of the agreements, we receive a floating rate equal to one-month term SOFR and make payments based on a weighted average fixed interest rate of 3.70% on the notional amount. The swap agreements were designated and qualified as hedges of our exposure to changes in interest payment cash flows created by fluctuations in variable interest rates on the ABL Facility. The swap agreements terminate on June 30, 2027.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Segment Reporting</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January 2024, we completed the unification of our go-to market structure by integrating our modular and storage divisions under a single leadership team organized by metropolitan statistical area (MSA), which enables us to consistently deliver our portfolio of solutions to our entire customer base. In connection with this change in operating model, we realigned the composition of our operating and reportable segments. As a result, we concluded that our two operating segments (US and Other North America) are aggregated into one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Second Quarter Highlights</w:t>
      </w:r>
    </w:p>
    <w:tbl>
      <w:tblPr>
        <w:tblW w:w="10205" w:type="dxa"/>
        <w:jc w:val="left"/>
        <w:tblInd w:w="0" w:type="dxa"/>
        <w:tblLayout w:type="fixed"/>
        <w:tblCellMar>
          <w:top w:w="28" w:type="dxa"/>
          <w:left w:w="28" w:type="dxa"/>
          <w:bottom w:w="28" w:type="dxa"/>
          <w:right w:w="28" w:type="dxa"/>
        </w:tblCellMar>
      </w:tblPr>
      <w:tblGrid>
        <w:gridCol w:w="1327"/>
        <w:gridCol w:w="1068"/>
        <w:gridCol w:w="1075"/>
        <w:gridCol w:w="284"/>
        <w:gridCol w:w="1115"/>
        <w:gridCol w:w="365"/>
        <w:gridCol w:w="147"/>
        <w:gridCol w:w="147"/>
        <w:gridCol w:w="147"/>
        <w:gridCol w:w="284"/>
        <w:gridCol w:w="1115"/>
        <w:gridCol w:w="365"/>
        <w:gridCol w:w="147"/>
        <w:gridCol w:w="147"/>
        <w:gridCol w:w="147"/>
        <w:gridCol w:w="308"/>
        <w:gridCol w:w="1262"/>
        <w:gridCol w:w="755"/>
      </w:tblGrid>
      <w:tr>
        <w:trPr/>
        <w:tc>
          <w:tcPr>
            <w:tcW w:w="132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4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2024 vs. 2023 Change</w:t>
            </w:r>
          </w:p>
        </w:tc>
      </w:tr>
      <w:tr>
        <w:trPr/>
        <w:tc>
          <w:tcPr>
            <w:tcW w:w="3470"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FFFFFF"/>
                <w:sz w:val="18"/>
              </w:rPr>
              <w:t>(in thousands, except for units on rent and monthly rental rate)</w:t>
            </w:r>
            <w:r>
              <w:rPr>
                <w:rFonts w:ascii="Arial;sans-serif" w:hAnsi="Arial;sans-serif"/>
                <w:b/>
                <w:i/>
                <w:color w:val="FFFFFF"/>
                <w:sz w:val="12"/>
              </w:rPr>
              <w:t>1</w:t>
            </w:r>
          </w:p>
        </w:tc>
        <w:tc>
          <w:tcPr>
            <w:tcW w:w="17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4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4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34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604,590 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582,089 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22,501 </w:t>
            </w:r>
          </w:p>
        </w:tc>
        <w:tc>
          <w:tcPr>
            <w:tcW w:w="7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(134,580)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263,576 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261,341 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2,235 </w:t>
            </w:r>
          </w:p>
        </w:tc>
        <w:tc>
          <w:tcPr>
            <w:tcW w:w="7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rental equipment</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65,174 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55,581 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9,593 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54,733 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42,554 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12,179 </w:t>
            </w:r>
          </w:p>
        </w:tc>
        <w:tc>
          <w:tcPr>
            <w:tcW w:w="7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95,671 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98,939 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3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7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3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124,743 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155,615 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(30,872)</w:t>
            </w:r>
          </w:p>
        </w:tc>
        <w:tc>
          <w:tcPr>
            <w:tcW w:w="7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r>
        <w:trPr/>
        <w:tc>
          <w:tcPr>
            <w:tcW w:w="34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3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7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Effective for the three months ended June 30, 2024, we reclassified approximately 2,000 units that were previously reported as modular space units on rent to portable storage units on rent as these units are generally used in a dry storage application. Additionally, based on our segment realignment, we have conformed our VAPS presentation to include all VAPS not specific to portable storage orders as modular space VAPS and recalculated average monthly rental rates. This treatment is consistent with prior treatment in our previous Modular Segment. All historical product operating key performance indicators have been recast to be presented on a comparable basis for all periods.</w:t>
            </w:r>
          </w:p>
        </w:tc>
      </w:tr>
    </w:tbl>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For the three months ended June 30, 2024, as compared to the three months ended June 30, 2023, results and key drivers of our financial performance included: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Total revenues increased $22.5 million, or 3.9%. Leasing revenue increased $9.3 million, or 2.1%, new unit sales revenue increased $12.4 million, or 137.4%, and rental unit sales increased $5.5 million, or 49.6%. These increases were partially offset by a decrease in delivery and installation revenue of $4.6 million, or 4.1%.</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Modular product revenue, which represented 77.8% of consolidated revenue for the three months ended June 30, 2024, increased $32.6 million, or 7.5%, to $470.4 million. The increase was driven by our core leasing revenue, which increased $12.3 million, or 3.6%, due to continued growth of pricing and VAPS, as well as increased delivery and installation revenue, which increased $2.0 million, or 2.4%. Rental unit sales increased $5.4 million, or 64.8%, and new unit sales increased $12.9 million, or 170.2%.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Modular revenue drivers for the three months ended June 30, 2024 included: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Modular space average monthly rental rate increased $85, or 7.8%, year over year to $1,176 representing a continuation of the long-term price optimization and VAPS penetration opportunities across our portfolio.</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Average modular space units on rent decreased 3,268, or 3.3%, year over year.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Average modular space monthly utilization decreased 230 basis points ("bps") to 62.5%.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Storage product revenue, which represented 22.2% of consolidated revenue for the three months ended June 30, 2024, decreased $10.1 million, or 7.0%, to $134.1 million. The decrease was driven by delivery and installation revenue, which decreased $6.6 million, or 22.1%, driven reduced delivery volumes, as well as a decrease in core leasing revenue of $3.0 million, or 2.8%, driven by reduced portable storage container volumes, partially offset by increased rates on portable storage containers and increased revenue from acquired climate-controlled containers and refrigerated storage units. Rental unit sales remained flat at $2.7 million, and new unit sales decreased $0.5 million, or 37.8%. Storage revenue drivers for the three months ended June 30, 2024 included: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Portable storage average monthly rental rate increased $40, or 17.9%, year over year to $263 as a result of our price management tools, processes and benefits from increased VAPS penetration opportunities, as well as higher rates on the climate-controlled containers and refrigerated storage units acquired in 2023 and 2024.</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Average portable storage units on rent decreased 30,872, or 19.8%, year over year driven by lower demand for the three months ended June 30, 2024. The lower demand was driven largely by decreased new construction project starts over the past year as compared to higher activity levels experienced during 2021 and 2022 and less demand in the retail and wholesale trade customer segment.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Average portable storage monthly utilization decreased 14.1% to 59.2% for the three months ended June 30, 2024, as compared to the three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Generated a loss from continuing operations of $46.9 million for the three months ended June 30, 2024, which included discrete costs in the period of $165.5 million, including a $132.5 million impairment loss on intangible asset, $22.9 million of legal and professional fees primarily related to the acquisition of McGrath, $3.1 million of integration costs, and $6.2 million of lease impairment expense, restructuring, and other related charges primarily related to employee termination costs as a result of a cost-reduction plan implemented in June 2024. Gross profit margin for the three months ended June 30, 2024 was 54.1%.</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Generated Adjusted EBITDA from continuing operations of $263.6 million for the three months ended June 30, 2024, representing an increase of $2.2 million, or 1%, as compared to the same period in 2023. </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Adjusted EBITDA margin from continuing operations was 43.6% for the three months ended June 30, 2024 and decreased 130 bps versus prior year. Leasing margins increased 51 bps versus prior year and delivery and installation margins decreased 291 bps versus prior year.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Net cash provided by operating activities decreased $26.5 million to $175.6 million for the three months ended June 30, 2024. Net cash used in investing activities, excluding cash used for acquisitions, increased by $12.6 million. Capital expenditures for rental equipment increased $9.6 million for the three months ended June 30, 2024 as a result of increased new fleet purchases, including additional investment in climate-controlled containers and refrigerated storage units. Purchases of property, plant, and equipment increased $1.8 million for the three months ended June 30, 2024. Proceeds from the sale of rental equipment decreased $1.0 million. Net CAPEX increased $12.1 million for the three months ended June 30, 2024.</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Generated Free Cash Flow of $120.9 million for the three months ended June 30, 2024, representing a decrease of $38.7 million as compared to the same period in 2023. We deployed this Free Cash Flow to acquire two local providers of storage and modular space solutions with portfolios of approximately 500 storage units and 30 modular units for $29.6 million. We returned $78.7 million to shareholders through stock repurchases, reducing outstanding Common Stock by 2,035,513 shares. </w:t>
      </w:r>
    </w:p>
    <w:p>
      <w:pPr>
        <w:pStyle w:val="TextBody"/>
        <w:bidi w:val="0"/>
        <w:spacing w:lineRule="auto" w:line="288" w:before="0" w:after="120"/>
        <w:ind w:left="0" w:right="0" w:hanging="360"/>
        <w:jc w:val="both"/>
        <w:rPr/>
      </w:pPr>
      <w:r>
        <w:rPr>
          <w:color w:val="1D2758"/>
        </w:rPr>
        <w:t>•</w:t>
      </w:r>
      <w:r>
        <w:rPr>
          <w:rFonts w:ascii="Arial;sans-serif" w:hAnsi="Arial;sans-serif"/>
          <w:b w:val="false"/>
          <w:color w:val="000000"/>
          <w:sz w:val="18"/>
        </w:rPr>
        <w:t xml:space="preserve">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measurements, we use Adjusted EBITDA, Adjusted EBITDA margin, Adjusted Gross Profit, Adjusted Gross Profit Margin, Net CAPEX and Free Cash Flow, which are non-GAAP financial measures, to evaluate our operating results. As such, we include in this Form 10-Q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 and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Consolidated Results of Operations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Three Months Ended June 30, 2024 Compared to the Three Months Ended June 30, 2023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condensed consolidated statements of operations for the three months ended June 30, 2024 and 2023 are presented below. </w:t>
      </w:r>
    </w:p>
    <w:tbl>
      <w:tblPr>
        <w:tblW w:w="9319" w:type="dxa"/>
        <w:jc w:val="left"/>
        <w:tblInd w:w="0" w:type="dxa"/>
        <w:tblLayout w:type="fixed"/>
        <w:tblCellMar>
          <w:top w:w="28" w:type="dxa"/>
          <w:left w:w="28" w:type="dxa"/>
          <w:bottom w:w="28" w:type="dxa"/>
          <w:right w:w="28" w:type="dxa"/>
        </w:tblCellMar>
      </w:tblPr>
      <w:tblGrid>
        <w:gridCol w:w="1813"/>
        <w:gridCol w:w="1589"/>
        <w:gridCol w:w="1592"/>
        <w:gridCol w:w="211"/>
        <w:gridCol w:w="826"/>
        <w:gridCol w:w="109"/>
        <w:gridCol w:w="109"/>
        <w:gridCol w:w="109"/>
        <w:gridCol w:w="109"/>
        <w:gridCol w:w="211"/>
        <w:gridCol w:w="826"/>
        <w:gridCol w:w="109"/>
        <w:gridCol w:w="109"/>
        <w:gridCol w:w="109"/>
        <w:gridCol w:w="109"/>
        <w:gridCol w:w="230"/>
        <w:gridCol w:w="982"/>
        <w:gridCol w:w="167"/>
      </w:tblGrid>
      <w:tr>
        <w:trPr/>
        <w:tc>
          <w:tcPr>
            <w:tcW w:w="181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1379"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 xml:space="preserve">2024 vs. 2023 </w:t>
            </w:r>
          </w:p>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 Change</w:t>
            </w:r>
          </w:p>
        </w:tc>
      </w:tr>
      <w:tr>
        <w:trPr/>
        <w:tc>
          <w:tcPr>
            <w:tcW w:w="4994"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458,592 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449,320 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4,018 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27,800 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(gains)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(171,772)</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 before income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(180,074)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from continuing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(45,494)</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(134,580)</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Comparison of Three Months Ended June 30, 2024 and 2023</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$22.5 million, or 3.9%, to $604.6 million for the three months ended June 30, 2024 from $582.1 million for the three months ended June 30, 2023. Leasing revenue increased $9.3 million, or 2.1%, as compared to the same period in 2023, driven by improved pricing and value added products penetration, partially offset by a decrease of 34,140 average total units on rent, which was primarily driven by a decrease in portable storage containers on rent. Delivery and installation revenues decreased $4.6 million, or 4.1%, due to decreased deliveries and returns. Rental unit sales increased $5.5 million, or 49.6%, primarily driven by a single large project in the quarter, and new unit sales increased $12.4 million, or 137.4%, primarily related to sales activity from a company we acquired in the third quarter of 2023.</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average units on rent for the three months ended June 30, 2024 and 2023 were 220,414 and 254,554, respectively, representing a decrease of 34,140 units, or 13.4%. Portable storage average units on rent decreased by 30,872 units, or 19.8%, for the three months ended June 30, 2024 driven by lower demand in 2024. The lower demand was driven largely by decreased new construction project starts over the past year as compared to higher activity levels experienced during 2021 and 2022 and less demand in the retail and wholesale trade customer segment. The average portable storage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unit utilization rate during the three months ended June 30, 2024 was 59.2% as compared to 73.3% during the same period in 2023. Modular space average units on rent decreased 3,268 units, or 3.3%, for the three months ended June 30, 2024 as compared to the three months ended June 30, 2023, which was also driven largely by decreased new construction project starts over the past year as compared to higher activity levels experienced during 2021 and 2022. The average modular space unit utilization rate during the three months ended June 30, 2024 was 62.5% as compared to 64.8% during the same period in 2023.</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monthly rental rates increased 7.8% year over year to $1,176 for the three months ended June 30, 2024. Increases were driven by a continuation of the long-term price optimization and VAPS penetration opportunities. Average portable storage monthly rental rates increased 17.9% year over year to $263 for the three months ended June 30, 2024 as a result of our price management tools, processes and benefits from increased VAPS penetration opportunities, as well as higher rates on the climate-controlled containers and refrigerated storage units acquired in 2023 and 2024.</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 xml:space="preserve">Gross profit decreased $0.8 million, or 0.2%, to $327.1 million for the three months ended June 30, 2024 from $327.9 million for the three months ended June 30, 2023. The decrease in gross profit was a result of decreased delivery and installation gross profit of $4.4 million and increased depreciation expense of $11.2 million, and was partially offset by a $9.6 million increase in leasing gross profit and a $5.3 million increase in new and rental unit sales gross profit. The increase in leasing gross profit was primarily a result of increased revenues due to favorable average monthly rental rates including VAPS across both portable storage and modular space units, which offset lower unit on rent volumes. Cost of leasing and services decreased by $0.5 million, or 0.3%, for the three months ended June 30, 2024 versus the three months ended June 30, 2023, driven by a decrease in subcontractors costs of $4.8 million, or 7.5%, and a decrease in materials costs of $2.6 million, or 9.8%. These decreased costs were partially offset by an increase in labor costs of $5.8 million, or 9.0%. Cost of sales increased by $12.6 million, or 127.6%, which is directionally in line with increased sales revenues of 89.1% for the three months ended June 30, 2024.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resulting gross profit percentage was 54.1% and 56.3% for the three months ended June 30, 2024 and 2023, respectively. Our adjusted gross profit percentage, excluding the effects of depreciation, was 66.6% and 67.4% for the three months ended June 30, 2024 and 2023, respectively. The decreases, as referenced above, were mainly driven by lower utilization rates, specifically on portable storage products.</w:t>
      </w:r>
    </w:p>
    <w:p>
      <w:pPr>
        <w:pStyle w:val="TextBody"/>
        <w:bidi w:val="0"/>
        <w:spacing w:lineRule="auto" w:line="288" w:before="0" w:after="120"/>
        <w:ind w:left="0" w:right="0" w:firstLine="720"/>
        <w:jc w:val="both"/>
        <w:rPr/>
      </w:pPr>
      <w:r>
        <w:rPr>
          <w:rFonts w:ascii="Arial;sans-serif" w:hAnsi="Arial;sans-serif"/>
          <w:b/>
          <w:i/>
          <w:color w:val="000000"/>
          <w:sz w:val="18"/>
        </w:rPr>
        <w:t>SG&amp;A:</w:t>
      </w:r>
      <w:r>
        <w:rPr>
          <w:color w:val="000000"/>
        </w:rPr>
        <w:t xml:space="preserve"> </w:t>
      </w:r>
      <w:r>
        <w:rPr>
          <w:rFonts w:ascii="Arial;sans-serif" w:hAnsi="Arial;sans-serif"/>
          <w:b w:val="false"/>
          <w:color w:val="000000"/>
          <w:sz w:val="18"/>
        </w:rPr>
        <w:t>Selling, general and administrative expense ("SG&amp;A") increased $27.8 million, or 18.9%, to $174.6 million for the three months ended June 30, 2024, compared to $146.8 million for the three months ended June 30, 2023. Discrete expenses for certain one-time projects, primarily legal and professional fees related to the acquisition of McGrath, increased $21.8 million. Real estate and occupancy costs increased $4.7 million, or 22.8%. Employee SG&amp;A excluding stock compensation increased $4.9 million, or 7.8%, primarily as a result of increased salaries and wages. Stock based compensation increased $0.3 million, or 2.8%. These increased costs were partially offset by a $2.1 million decrease in service agreements and professional fees.</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Adjusted EBITDA increased $2.2 million, or 1%, to $263.6 million for the three months ended June 30, 2024 from $261.3 million for the three months ended June 30, 2023. The increase was driven by a $9.6 million increase in leasing gross profit and a $5.3 million increase in new and used sales gross profit as discussed above, partially offset by decreased delivery and installation gross profit of $4.4 million and increased SG&amp;A, excluding discrete costs, of $4.9 million, or 3.6%, for the three months ended June 30, 2024 compared to the three months ended June 30, 2023.</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 xml:space="preserve">Other depreciation and amortization increased $0.8 million to $18.1 million for the three months ended June 30, 2024 compared to $17.3 million for the three months ended June 30, 2023. </w:t>
      </w:r>
    </w:p>
    <w:p>
      <w:pPr>
        <w:pStyle w:val="TextBody"/>
        <w:bidi w:val="0"/>
        <w:spacing w:lineRule="auto" w:line="288" w:before="0" w:after="120"/>
        <w:ind w:left="0" w:right="0" w:firstLine="720"/>
        <w:jc w:val="both"/>
        <w:rPr/>
      </w:pPr>
      <w:r>
        <w:rPr>
          <w:rFonts w:ascii="Arial;sans-serif" w:hAnsi="Arial;sans-serif"/>
          <w:b/>
          <w:i/>
          <w:color w:val="000000"/>
          <w:sz w:val="18"/>
        </w:rPr>
        <w:t>Impairment loss on intangible asset:</w:t>
      </w:r>
      <w:r>
        <w:rPr>
          <w:color w:val="000000"/>
        </w:rPr>
        <w:t xml:space="preserve"> </w:t>
      </w:r>
      <w:r>
        <w:rPr>
          <w:rFonts w:ascii="Arial;sans-serif" w:hAnsi="Arial;sans-serif"/>
          <w:b w:val="false"/>
          <w:color w:val="000000"/>
          <w:sz w:val="18"/>
        </w:rPr>
        <w:t>Impairment loss on intangible asset was $132.5 million for the three months ended June 30, 2024 related to the impairment of the Mobile Mini trade name due to our plan to rebrand under a single WillScot brand name and discontinue the use of the Mobile Mini trade name.</w:t>
      </w:r>
    </w:p>
    <w:p>
      <w:pPr>
        <w:pStyle w:val="TextBody"/>
        <w:bidi w:val="0"/>
        <w:spacing w:lineRule="auto" w:line="288" w:before="0" w:after="120"/>
        <w:ind w:left="0" w:right="0" w:firstLine="720"/>
        <w:jc w:val="both"/>
        <w:rPr/>
      </w:pPr>
      <w:r>
        <w:rPr>
          <w:rFonts w:ascii="Arial;sans-serif" w:hAnsi="Arial;sans-serif"/>
          <w:b/>
          <w:i/>
          <w:color w:val="000000"/>
          <w:sz w:val="18"/>
        </w:rPr>
        <w:t>Restructuring costs:</w:t>
      </w:r>
      <w:r>
        <w:rPr>
          <w:color w:val="000000"/>
        </w:rPr>
        <w:t xml:space="preserve"> </w:t>
      </w:r>
      <w:r>
        <w:rPr>
          <w:rFonts w:ascii="Arial;sans-serif" w:hAnsi="Arial;sans-serif"/>
          <w:b w:val="false"/>
          <w:color w:val="000000"/>
          <w:sz w:val="18"/>
        </w:rPr>
        <w:t>Restructuring costs of $6.2 million for the three months ended June 30, 2024 were primarily due to employee termination costs as a result of a cost-reduction plan implemented in June 2024.</w:t>
      </w:r>
    </w:p>
    <w:p>
      <w:pPr>
        <w:pStyle w:val="TextBody"/>
        <w:bidi w:val="0"/>
        <w:spacing w:lineRule="auto" w:line="288" w:before="0" w:after="120"/>
        <w:ind w:left="0" w:right="0" w:firstLine="720"/>
        <w:jc w:val="both"/>
        <w:rPr/>
      </w:pPr>
      <w:r>
        <w:rPr>
          <w:rFonts w:ascii="Arial;sans-serif" w:hAnsi="Arial;sans-serif"/>
          <w:b/>
          <w:i/>
          <w:color w:val="000000"/>
          <w:sz w:val="18"/>
        </w:rPr>
        <w:t>Currency (gains) losses, net:</w:t>
      </w:r>
      <w:r>
        <w:rPr>
          <w:color w:val="000000"/>
        </w:rPr>
        <w:t xml:space="preserve"> </w:t>
      </w:r>
      <w:r>
        <w:rPr>
          <w:rFonts w:ascii="Arial;sans-serif" w:hAnsi="Arial;sans-serif"/>
          <w:b w:val="false"/>
          <w:color w:val="000000"/>
          <w:sz w:val="18"/>
        </w:rPr>
        <w:t xml:space="preserve">Currency (gains) losses, net decreased by $0.1 million for the three months ended June 30, 2024 as compared to the three months ended June 30, 2023. </w:t>
      </w:r>
    </w:p>
    <w:p>
      <w:pPr>
        <w:pStyle w:val="TextBody"/>
        <w:bidi w:val="0"/>
        <w:spacing w:lineRule="auto" w:line="288" w:before="0" w:after="120"/>
        <w:ind w:left="0" w:right="0" w:firstLine="720"/>
        <w:jc w:val="both"/>
        <w:rPr/>
      </w:pPr>
      <w:r>
        <w:rPr>
          <w:rFonts w:ascii="Arial;sans-serif" w:hAnsi="Arial;sans-serif"/>
          <w:b/>
          <w:i/>
          <w:color w:val="000000"/>
          <w:sz w:val="18"/>
        </w:rPr>
        <w:t>Other expense (income), net:</w:t>
      </w:r>
      <w:r>
        <w:rPr>
          <w:color w:val="000000"/>
        </w:rPr>
        <w:t xml:space="preserve"> </w:t>
      </w:r>
      <w:r>
        <w:rPr>
          <w:rFonts w:ascii="Arial;sans-serif" w:hAnsi="Arial;sans-serif"/>
          <w:b w:val="false"/>
          <w:color w:val="000000"/>
          <w:sz w:val="18"/>
        </w:rPr>
        <w:t xml:space="preserve">Other expense, net was $0.9 million for the three months ended June 30, 2024 compared to other income, net of $2.8 million for the three months ended June 30, 2023. This change was primarily attributable to insurance recoveries received in 2023 related to Hurricane Ian in the Gulf Coast area of the United States in 2022. </w:t>
      </w:r>
    </w:p>
    <w:p>
      <w:pPr>
        <w:pStyle w:val="TextBody"/>
        <w:bidi w:val="0"/>
        <w:spacing w:lineRule="auto" w:line="288" w:before="0" w:after="120"/>
        <w:ind w:left="0" w:right="0" w:firstLine="720"/>
        <w:jc w:val="both"/>
        <w:rPr/>
      </w:pPr>
      <w:r>
        <w:rPr>
          <w:rFonts w:ascii="Arial;sans-serif" w:hAnsi="Arial;sans-serif"/>
          <w:b/>
          <w:i/>
          <w:color w:val="000000"/>
          <w:sz w:val="18"/>
        </w:rPr>
        <w:t>Interest expense, net:</w:t>
      </w:r>
      <w:r>
        <w:rPr>
          <w:color w:val="000000"/>
        </w:rPr>
        <w:t xml:space="preserve"> </w:t>
      </w:r>
      <w:r>
        <w:rPr>
          <w:rFonts w:ascii="Arial;sans-serif" w:hAnsi="Arial;sans-serif"/>
          <w:b w:val="false"/>
          <w:color w:val="000000"/>
          <w:sz w:val="18"/>
        </w:rPr>
        <w:t>Interest expense increased $8.3 million, or 17.6%, to $55.5 million for the three months ended June 30, 2024 from $47.2 million for the three months ended June 30, 2023. The increase in interest expense was a result of higher overall weighted average interest rates as a result of increased benchmark rates and higher outstanding debt balances. See Note 9 to the condensed consolidated financial statements for further discussion of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pPr>
      <w:r>
        <w:rPr>
          <w:rFonts w:ascii="Arial;sans-serif" w:hAnsi="Arial;sans-serif"/>
          <w:b/>
          <w:i/>
          <w:color w:val="000000"/>
          <w:sz w:val="18"/>
        </w:rPr>
        <w:t>Income tax (benefit) expense:</w:t>
      </w:r>
      <w:r>
        <w:rPr>
          <w:color w:val="000000"/>
        </w:rPr>
        <w:t xml:space="preserve"> </w:t>
      </w:r>
      <w:r>
        <w:rPr>
          <w:rFonts w:ascii="Arial;sans-serif" w:hAnsi="Arial;sans-serif"/>
          <w:b w:val="false"/>
          <w:color w:val="000000"/>
          <w:sz w:val="18"/>
        </w:rPr>
        <w:t>Income tax benefit was $13.9 million for the three months ended June 30, 2024 compared to income tax expense of $31.6 million for the three months ended June 30, 2023, a change of $45.5 million. The change was primarily driven by a decrease in income from continuing operations before income tax for the three months ended June 30, 2024 as compared to the three months ended June 30, 2023.</w:t>
      </w:r>
    </w:p>
    <w:p>
      <w:pPr>
        <w:pStyle w:val="TextBody"/>
        <w:bidi w:val="0"/>
        <w:spacing w:lineRule="auto" w:line="288" w:before="0" w:after="120"/>
        <w:ind w:left="0" w:right="0" w:firstLine="720"/>
        <w:jc w:val="both"/>
        <w:rPr/>
      </w:pPr>
      <w:r>
        <w:rPr>
          <w:rFonts w:ascii="Arial;sans-serif" w:hAnsi="Arial;sans-serif"/>
          <w:b/>
          <w:i/>
          <w:color w:val="000000"/>
          <w:sz w:val="18"/>
        </w:rPr>
        <w:t>Capital Expenditures for Rental Equipment:</w:t>
      </w:r>
      <w:r>
        <w:rPr>
          <w:color w:val="000000"/>
        </w:rPr>
        <w:t xml:space="preserve"> </w:t>
      </w:r>
      <w:r>
        <w:rPr>
          <w:rFonts w:ascii="Arial;sans-serif" w:hAnsi="Arial;sans-serif"/>
          <w:b w:val="false"/>
          <w:color w:val="000000"/>
          <w:sz w:val="18"/>
        </w:rPr>
        <w:t>Capital expenditures for rental equipment increased $9.6 million, or 17.3%, to $65.2 million for the three months ended June 30, 2024 from $55.6 million for the three months ended June 30, 2023 as a result of increased refurbishment spending and new fleet purchases, including additional investment in climate-controlled containers and refrigerated storage units. Net CAPEX increased $12.1 million, or 28.4%, to $54.7 million for the three months ended June 30, 2024 from $42.6 million for the three months ended June 30, 2023 driven by the increase in capital expenditures for rental equipment as described above, as well as by a $1.8 million increase in purchases of property, plant and equipment, and a $1.0 million decrease in proceeds from the sale of rental equipment for the three months ended June 30,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Six Months Ended June 30, 2024 Compared to the Six Months Ended June 30, 2023</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condensed consolidated statements of operations for the six months ended June 30, 2024 and 2023 are presented below. </w:t>
      </w:r>
    </w:p>
    <w:tbl>
      <w:tblPr>
        <w:tblW w:w="9966" w:type="dxa"/>
        <w:jc w:val="left"/>
        <w:tblInd w:w="0" w:type="dxa"/>
        <w:tblLayout w:type="fixed"/>
        <w:tblCellMar>
          <w:top w:w="28" w:type="dxa"/>
          <w:left w:w="28" w:type="dxa"/>
          <w:bottom w:w="28" w:type="dxa"/>
          <w:right w:w="28" w:type="dxa"/>
        </w:tblCellMar>
      </w:tblPr>
      <w:tblGrid>
        <w:gridCol w:w="1753"/>
        <w:gridCol w:w="1537"/>
        <w:gridCol w:w="1540"/>
        <w:gridCol w:w="211"/>
        <w:gridCol w:w="826"/>
        <w:gridCol w:w="109"/>
        <w:gridCol w:w="109"/>
        <w:gridCol w:w="109"/>
        <w:gridCol w:w="109"/>
        <w:gridCol w:w="211"/>
        <w:gridCol w:w="826"/>
        <w:gridCol w:w="109"/>
        <w:gridCol w:w="109"/>
        <w:gridCol w:w="109"/>
        <w:gridCol w:w="109"/>
        <w:gridCol w:w="365"/>
        <w:gridCol w:w="1559"/>
        <w:gridCol w:w="266"/>
      </w:tblGrid>
      <w:tr>
        <w:trPr/>
        <w:tc>
          <w:tcPr>
            <w:tcW w:w="175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2024 vs. 2023 $ Change</w:t>
            </w:r>
          </w:p>
        </w:tc>
      </w:tr>
      <w:tr>
        <w:trPr/>
        <w:tc>
          <w:tcPr>
            <w:tcW w:w="4830"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919,193 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889,271 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29,922 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9,951 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44,214 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4,571 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(6,994)</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44,498 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6,206 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7,752 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(193,473)</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20,024 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(213,497)</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(58,886)</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(154,611)</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Discontinued operations: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(289,224)</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and discussion summarizes our financial performance for the six months ended June 30, 2024, as compared to the six months ended June 30, 2023.</w:t>
      </w:r>
    </w:p>
    <w:tbl>
      <w:tblPr>
        <w:tblW w:w="10205" w:type="dxa"/>
        <w:jc w:val="left"/>
        <w:tblInd w:w="0" w:type="dxa"/>
        <w:tblLayout w:type="fixed"/>
        <w:tblCellMar>
          <w:top w:w="28" w:type="dxa"/>
          <w:left w:w="28" w:type="dxa"/>
          <w:bottom w:w="28" w:type="dxa"/>
          <w:right w:w="28" w:type="dxa"/>
        </w:tblCellMar>
      </w:tblPr>
      <w:tblGrid>
        <w:gridCol w:w="1251"/>
        <w:gridCol w:w="1001"/>
        <w:gridCol w:w="1007"/>
        <w:gridCol w:w="277"/>
        <w:gridCol w:w="1284"/>
        <w:gridCol w:w="356"/>
        <w:gridCol w:w="143"/>
        <w:gridCol w:w="143"/>
        <w:gridCol w:w="143"/>
        <w:gridCol w:w="277"/>
        <w:gridCol w:w="1284"/>
        <w:gridCol w:w="356"/>
        <w:gridCol w:w="143"/>
        <w:gridCol w:w="143"/>
        <w:gridCol w:w="143"/>
        <w:gridCol w:w="299"/>
        <w:gridCol w:w="1222"/>
        <w:gridCol w:w="733"/>
      </w:tblGrid>
      <w:tr>
        <w:trPr/>
        <w:tc>
          <w:tcPr>
            <w:tcW w:w="125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325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c>
          <w:tcPr>
            <w:tcW w:w="42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2024 vs. 2023 Change</w:t>
            </w:r>
          </w:p>
        </w:tc>
      </w:tr>
      <w:tr>
        <w:trPr/>
        <w:tc>
          <w:tcPr>
            <w:tcW w:w="325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FFFFFF"/>
                <w:sz w:val="18"/>
              </w:rPr>
              <w:t>(in thousands, except for units on rent and monthly rental rate)</w:t>
            </w:r>
            <w:r>
              <w:rPr>
                <w:rFonts w:ascii="Arial;sans-serif" w:hAnsi="Arial;sans-serif"/>
                <w:b/>
                <w:i/>
                <w:color w:val="FFFFFF"/>
                <w:sz w:val="12"/>
              </w:rPr>
              <w:t>1</w:t>
            </w:r>
          </w:p>
        </w:tc>
        <w:tc>
          <w:tcPr>
            <w:tcW w:w="191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42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42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32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1,191,771 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1,147,557 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44,214 </w:t>
            </w:r>
          </w:p>
        </w:tc>
        <w:tc>
          <w:tcPr>
            <w:tcW w:w="7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(154,611)</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511,585 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508,183 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3,402 </w:t>
            </w:r>
          </w:p>
        </w:tc>
        <w:tc>
          <w:tcPr>
            <w:tcW w:w="7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rental equipment</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137,591 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34,882 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119,509 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88,379 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31,130 </w:t>
            </w:r>
          </w:p>
        </w:tc>
        <w:tc>
          <w:tcPr>
            <w:tcW w:w="7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95,721 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99,271 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5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3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3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73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5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128,045 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161,548 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(33,503)</w:t>
            </w:r>
          </w:p>
        </w:tc>
        <w:tc>
          <w:tcPr>
            <w:tcW w:w="7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r>
        <w:trPr/>
        <w:tc>
          <w:tcPr>
            <w:tcW w:w="32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7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Effective for the six months ended June 30, 2024, we reclassified approximately 2,000 units that were previously reported as modular space units on rent to portable storage units on rent as these units are generally used in a dry storage application. Additionally, based on our segment realignment, we have conformed our VAPS presentation to include all VAPS not specific to portable storage orders as modular space VAPS and recalculated average monthly rental rates. This treatment is consistent with prior treatment in our previous Modular Segment. All historical product operating key performance indicators have been recast to be presented on a comparable basis for all periods.</w:t>
            </w:r>
          </w:p>
        </w:tc>
      </w:tr>
    </w:tbl>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Comparison of Six Months Ended June 30, 2024 and 2023</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 xml:space="preserve">Total revenue increased $44.2 million, or 3.9%, to $1,191.8 million for the six months ended June 30, 2024 from $1,147.6 million for the six months ended June 30, 2023. Leasing revenue increased $29.9 million, or 3.4%, as compared to the same period in 2023 driven by improved pricing and value added products penetration, partially offset by a decrease of 37,053 average total units on rent. Delivery and installation revenues decreased $10.9 million, or 5.0%, due to decreased deliveries and returns. Rental unit sales increased $10.0 million, or 51.7%, primarily driven by a single large project in the second quarter and increased overall rental unit sales activity, and new unit sales increased $15.2 million, or 77.4%, primarily related to sales activity from a company we acquired in the third quarter of 2023.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average units on rent for the six months ended June 30, 2024 and 2023 were 223,766 and 260,819, respectively. Modular space average units on rent decreased 3,550 units, or 3.6%, and portable storage average units on rent decreased by 33,503 units, or 20.7%, for the six months ended June 30, 2024. The lower demand was driven largely by decreased new construction project starts over the past year as compared to higher activity levels experienced during 2021 and 2022 and less demand in the retail and wholesale trade customer segment. The average modular space unit utilization rate during the six months ended June 30, 2024 was 62.5% as compared to 65.3% during the same period in 2023. The average portable storage unit utilization rate during the six months ended June 30, 2024 was 60.7%, as compared to 77.1% during the same period in 2023.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monthly rental rates increased 9.5% to $1,163 for the six months ended June 30, 2024. Increases were driven by a continuation of the long-term price optimization and VAPS penetration opportunities. Average portable storage monthly rental rates increased 20.2% to $262 for the six months ended June 30, 2024 as a result of our price management tools, processes and benefits from increased VAPS penetration opportunities, as well as higher rates on the climate-controlled containers and refrigerated storage units acquired in 2023 and 2024.</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 xml:space="preserve">Gross profit decreased $7.0 million, or 1.1%, to $644.0 million for the six months ended June 30, 2024 from $651.0 million for the six months ended June 30, 2023. The decrease in gross profit was a result of a $26.9 million increase in depreciation of rental equipment and decreased delivery and installation gross profit of $13.5 million. These decreases in gross profit were partially offset by a $25.4 million increase in leasing gross profit and increased new and rental unit sale gross profits of $8.1 million. The increase in leasing gross profit was primarily a result of increased revenues due to favorable average monthly rental rates including VAPS across both portable storage and modular space units, which offset lower unit on rent volumes. Cost of leasing and services increased by $7.2 million, or 2.0%, for the six months ended June 30, 2024 versus the six months ended June 30, 2023, driven by a $18.4 million, or 14.7%, increase in labor cost and a $4.4 million, or 9.1%, increase in vehicle, equipment and other costs partially offset by a $11.0 million, or 8.7%, decrease in subcontractor costs and a $4.6 million, or 8.7%, decrease in material costs. Cost of sales increased by $17.1 million, or 83.2%, which is directionally in line with increased sales revenues of 64.7% for the six months ended June 30, 2024.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gross profit percentage was 54.0% and 56.7% for the six months ended June 30, 2024 and 2023, respectively. Our gross profit percentage, excluding the effects of depreciation, was 66.7% and 67.5% for the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2024 and 2023, respectively. The decreases, as referenced above, were mainly driven by lower utilization rates, specifically on portable storage products.</w:t>
      </w:r>
    </w:p>
    <w:p>
      <w:pPr>
        <w:pStyle w:val="TextBody"/>
        <w:bidi w:val="0"/>
        <w:spacing w:lineRule="auto" w:line="288" w:before="0" w:after="120"/>
        <w:ind w:left="0" w:right="0" w:firstLine="720"/>
        <w:jc w:val="both"/>
        <w:rPr/>
      </w:pPr>
      <w:r>
        <w:rPr>
          <w:rFonts w:ascii="Arial;sans-serif" w:hAnsi="Arial;sans-serif"/>
          <w:b/>
          <w:i/>
          <w:color w:val="000000"/>
          <w:sz w:val="18"/>
        </w:rPr>
        <w:t>SG&amp;A:</w:t>
      </w:r>
      <w:r>
        <w:rPr>
          <w:color w:val="000000"/>
        </w:rPr>
        <w:t xml:space="preserve"> </w:t>
      </w:r>
      <w:r>
        <w:rPr>
          <w:rFonts w:ascii="Arial;sans-serif" w:hAnsi="Arial;sans-serif"/>
          <w:b w:val="false"/>
          <w:color w:val="000000"/>
          <w:sz w:val="18"/>
        </w:rPr>
        <w:t xml:space="preserve">SG&amp;A increased $44.5 million, or 14.9%, to $342.2 million for the six months ended June 30, 2024, compared to $297.7 million for the six months ended June 30, 2023. Discrete expenses for certain one-time projects, primarily legal and professional fees related to the acquisition of McGrath, increased $34.7 million. Real estate and occupancy costs increased $8.5 million, or 20.6%, and employee SG&amp;A excluding stock compensation increased $6.7 million, or 5.1%, primarily as a result of increased salaries and wages. Stock compensation expense increased $1.2 million to $18.7 million for the six months ended June 30, 2024, compared to $17.5 million for the six months ended June 30, 2023. These increases were partially offset by a $3.3 million, or 23.3%, decrease in travel costs and a $2.7 million, or 28.1%, decrease in our provision for credit losses. </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Adjusted EBITDA increased $3.4 million, or 1%, to $511.6 million for the six months ended June 30, 2024 from $508.2 million for the six months ended June 30, 2023. The increase was driven by a $25.4 million increase in leasing gross profit as discussed above, partially offset by decreased delivery and installation gross profit of $13.5 million and increased SG&amp;A, excluding discrete costs, of $8.8 million, or 3.2%, for the six months ended June 30, 2024 compared to the six months ended June 30, 2023.</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Other depreciation and amortization increased $1.5 million to $36.1 million for the six months ended June 30, 2024 compared to $34.5 million for the six months ended June 30, 2023.</w:t>
      </w:r>
    </w:p>
    <w:p>
      <w:pPr>
        <w:pStyle w:val="TextBody"/>
        <w:bidi w:val="0"/>
        <w:spacing w:lineRule="auto" w:line="288" w:before="0" w:after="120"/>
        <w:ind w:left="0" w:right="0" w:firstLine="720"/>
        <w:jc w:val="both"/>
        <w:rPr/>
      </w:pPr>
      <w:r>
        <w:rPr>
          <w:rFonts w:ascii="Arial;sans-serif" w:hAnsi="Arial;sans-serif"/>
          <w:b/>
          <w:i/>
          <w:color w:val="000000"/>
          <w:sz w:val="18"/>
        </w:rPr>
        <w:t>Impairment loss on intangible asset:</w:t>
      </w:r>
      <w:r>
        <w:rPr>
          <w:color w:val="000000"/>
        </w:rPr>
        <w:t xml:space="preserve"> </w:t>
      </w:r>
      <w:r>
        <w:rPr>
          <w:rFonts w:ascii="Arial;sans-serif" w:hAnsi="Arial;sans-serif"/>
          <w:b w:val="false"/>
          <w:color w:val="000000"/>
          <w:sz w:val="18"/>
        </w:rPr>
        <w:t>Impairment loss on intangible asset was $132.5 million for the six months ended June 30, 2024 related to the impairment of the Mobile Mini trade name based on the Company's plan to rebrand under a single WillScot brand name and discontinue the use of the Mobile Mini trade name.</w:t>
      </w:r>
    </w:p>
    <w:p>
      <w:pPr>
        <w:pStyle w:val="TextBody"/>
        <w:bidi w:val="0"/>
        <w:spacing w:lineRule="auto" w:line="288" w:before="0" w:after="120"/>
        <w:ind w:left="0" w:right="0" w:firstLine="720"/>
        <w:jc w:val="both"/>
        <w:rPr/>
      </w:pPr>
      <w:r>
        <w:rPr>
          <w:rFonts w:ascii="Arial;sans-serif" w:hAnsi="Arial;sans-serif"/>
          <w:b/>
          <w:i/>
          <w:color w:val="000000"/>
          <w:sz w:val="18"/>
        </w:rPr>
        <w:t>Lease impairment expense and other related charges:</w:t>
      </w:r>
      <w:r>
        <w:rPr>
          <w:color w:val="000000"/>
        </w:rPr>
        <w:t xml:space="preserve"> </w:t>
      </w:r>
      <w:r>
        <w:rPr>
          <w:rFonts w:ascii="Arial;sans-serif" w:hAnsi="Arial;sans-serif"/>
          <w:b w:val="false"/>
          <w:color w:val="000000"/>
          <w:sz w:val="18"/>
        </w:rPr>
        <w:t>Lease impairment expense and other related charges increased to $0.7 million for the six months ended June 30, 2024. These charges were related to the exit of an office property.</w:t>
      </w:r>
    </w:p>
    <w:p>
      <w:pPr>
        <w:pStyle w:val="TextBody"/>
        <w:bidi w:val="0"/>
        <w:spacing w:lineRule="auto" w:line="288" w:before="0" w:after="120"/>
        <w:ind w:left="0" w:right="0" w:firstLine="720"/>
        <w:jc w:val="both"/>
        <w:rPr/>
      </w:pPr>
      <w:r>
        <w:rPr>
          <w:rFonts w:ascii="Arial;sans-serif" w:hAnsi="Arial;sans-serif"/>
          <w:b/>
          <w:i/>
          <w:color w:val="000000"/>
          <w:sz w:val="18"/>
        </w:rPr>
        <w:t>Restructuring costs:</w:t>
      </w:r>
      <w:r>
        <w:rPr>
          <w:color w:val="000000"/>
        </w:rPr>
        <w:t xml:space="preserve"> </w:t>
      </w:r>
      <w:r>
        <w:rPr>
          <w:rFonts w:ascii="Arial;sans-serif" w:hAnsi="Arial;sans-serif"/>
          <w:b w:val="false"/>
          <w:color w:val="000000"/>
          <w:sz w:val="18"/>
        </w:rPr>
        <w:t>Restructuring costs of $6.2 million for the six months ended June 30, 2024 were primarily due to employee termination costs as a result of a cost-reduction plan implemented in June 2024.</w:t>
      </w:r>
    </w:p>
    <w:p>
      <w:pPr>
        <w:pStyle w:val="TextBody"/>
        <w:bidi w:val="0"/>
        <w:spacing w:lineRule="auto" w:line="288" w:before="0" w:after="120"/>
        <w:ind w:left="0" w:right="0" w:firstLine="720"/>
        <w:jc w:val="both"/>
        <w:rPr/>
      </w:pPr>
      <w:r>
        <w:rPr>
          <w:rFonts w:ascii="Arial;sans-serif" w:hAnsi="Arial;sans-serif"/>
          <w:b/>
          <w:i/>
          <w:color w:val="000000"/>
          <w:sz w:val="18"/>
        </w:rPr>
        <w:t>Currency losses, net:</w:t>
      </w:r>
      <w:r>
        <w:rPr>
          <w:color w:val="000000"/>
        </w:rPr>
        <w:t xml:space="preserve"> </w:t>
      </w:r>
      <w:r>
        <w:rPr>
          <w:rFonts w:ascii="Arial;sans-serif" w:hAnsi="Arial;sans-serif"/>
          <w:b w:val="false"/>
          <w:color w:val="000000"/>
          <w:sz w:val="18"/>
        </w:rPr>
        <w:t>Currency losses, net decreased by $6.8 million for the six months ended June 30, 2024. This change was primarily attributable to a $7.7 million loss in 2023 on the settlement of the contingent foreign currency forward contract relating to the sale of the former UK Storage Solutions segment in January 2023.</w:t>
      </w:r>
    </w:p>
    <w:p>
      <w:pPr>
        <w:pStyle w:val="TextBody"/>
        <w:bidi w:val="0"/>
        <w:spacing w:lineRule="auto" w:line="288" w:before="0" w:after="120"/>
        <w:ind w:left="0" w:right="0" w:firstLine="720"/>
        <w:jc w:val="both"/>
        <w:rPr/>
      </w:pPr>
      <w:r>
        <w:rPr>
          <w:rFonts w:ascii="Arial;sans-serif" w:hAnsi="Arial;sans-serif"/>
          <w:b/>
          <w:i/>
          <w:color w:val="000000"/>
          <w:sz w:val="18"/>
        </w:rPr>
        <w:t>Other expense (income), net:</w:t>
      </w:r>
      <w:r>
        <w:rPr>
          <w:color w:val="000000"/>
        </w:rPr>
        <w:t xml:space="preserve"> </w:t>
      </w:r>
      <w:r>
        <w:rPr>
          <w:rFonts w:ascii="Arial;sans-serif" w:hAnsi="Arial;sans-serif"/>
          <w:b w:val="false"/>
          <w:color w:val="000000"/>
          <w:sz w:val="18"/>
        </w:rPr>
        <w:t>Other expense, net was $1.6 million for the six months ended June 30, 2024 compared to other income, net of $6.2 million for the six months ended June 30, 2023. This change was primarily attributable to insurance recoveries received in 2023 related to Hurricane Ian in the Gulf Coast area of the United States in 2022.</w:t>
      </w:r>
    </w:p>
    <w:p>
      <w:pPr>
        <w:pStyle w:val="TextBody"/>
        <w:bidi w:val="0"/>
        <w:spacing w:lineRule="auto" w:line="288" w:before="0" w:after="120"/>
        <w:ind w:left="0" w:right="0" w:firstLine="720"/>
        <w:jc w:val="both"/>
        <w:rPr/>
      </w:pPr>
      <w:r>
        <w:rPr>
          <w:rFonts w:ascii="Arial;sans-serif" w:hAnsi="Arial;sans-serif"/>
          <w:b/>
          <w:i/>
          <w:color w:val="000000"/>
          <w:sz w:val="18"/>
        </w:rPr>
        <w:t>Interest expense, net:</w:t>
      </w:r>
      <w:r>
        <w:rPr>
          <w:color w:val="000000"/>
        </w:rPr>
        <w:t xml:space="preserve"> </w:t>
      </w:r>
      <w:r>
        <w:rPr>
          <w:rFonts w:ascii="Arial;sans-serif" w:hAnsi="Arial;sans-serif"/>
          <w:b w:val="false"/>
          <w:color w:val="000000"/>
          <w:sz w:val="18"/>
        </w:rPr>
        <w:t>Interest expense increased $20.0 million to $112.1 million for the six months ended June 30, 2024 from $92.1 million for the six months ended June 30, 2023. The increase in interest expense was a result of higher overall weighted average interest rates as a result of increased benchmark rates and higher outstanding debt balances. See Note 9 to the condensed consolidated financial statements for further discussion of our debt.</w:t>
      </w:r>
    </w:p>
    <w:p>
      <w:pPr>
        <w:pStyle w:val="TextBody"/>
        <w:bidi w:val="0"/>
        <w:spacing w:lineRule="auto" w:line="288" w:before="0" w:after="120"/>
        <w:ind w:left="0" w:right="0" w:firstLine="720"/>
        <w:jc w:val="both"/>
        <w:rPr/>
      </w:pPr>
      <w:r>
        <w:rPr>
          <w:rFonts w:ascii="Arial;sans-serif" w:hAnsi="Arial;sans-serif"/>
          <w:b/>
          <w:i/>
          <w:color w:val="000000"/>
          <w:sz w:val="18"/>
        </w:rPr>
        <w:t>Income tax expense:</w:t>
      </w:r>
      <w:r>
        <w:rPr>
          <w:color w:val="000000"/>
        </w:rPr>
        <w:t xml:space="preserve"> </w:t>
      </w:r>
      <w:r>
        <w:rPr>
          <w:rFonts w:ascii="Arial;sans-serif" w:hAnsi="Arial;sans-serif"/>
          <w:b w:val="false"/>
          <w:color w:val="000000"/>
          <w:sz w:val="18"/>
        </w:rPr>
        <w:t>Income tax expense decreased $58.9 million to $3.2 million for the six months ended June 30, 2024 compared to $62.1 million for the six months ended June 30, 2023. The decrease in expense was driven by a decrease in income from continuing operations before income tax for the six months ended June 30, 2024 as compared to the six months ended June 30, 2023.</w:t>
      </w:r>
    </w:p>
    <w:p>
      <w:pPr>
        <w:pStyle w:val="TextBody"/>
        <w:bidi w:val="0"/>
        <w:spacing w:lineRule="auto" w:line="288" w:before="0" w:after="120"/>
        <w:ind w:left="0" w:right="0" w:firstLine="720"/>
        <w:jc w:val="both"/>
        <w:rPr/>
      </w:pPr>
      <w:r>
        <w:rPr>
          <w:rFonts w:ascii="Arial;sans-serif" w:hAnsi="Arial;sans-serif"/>
          <w:b/>
          <w:i/>
          <w:color w:val="000000"/>
          <w:sz w:val="18"/>
        </w:rPr>
        <w:t>Income from discontinued operations:</w:t>
      </w:r>
      <w:r>
        <w:rPr>
          <w:color w:val="000000"/>
        </w:rPr>
        <w:t xml:space="preserve"> </w:t>
      </w:r>
      <w:r>
        <w:rPr>
          <w:rFonts w:ascii="Arial;sans-serif" w:hAnsi="Arial;sans-serif"/>
          <w:b w:val="false"/>
          <w:color w:val="000000"/>
          <w:sz w:val="18"/>
        </w:rPr>
        <w:t>Income from discontinued operations for the six months ended June 30, 2023 was related to the former UK Storage Solutions segment, which was sold January 2023.</w:t>
      </w:r>
    </w:p>
    <w:p>
      <w:pPr>
        <w:pStyle w:val="TextBody"/>
        <w:bidi w:val="0"/>
        <w:spacing w:lineRule="auto" w:line="288" w:before="0" w:after="120"/>
        <w:ind w:left="0" w:right="0" w:firstLine="720"/>
        <w:jc w:val="both"/>
        <w:rPr/>
      </w:pPr>
      <w:r>
        <w:rPr>
          <w:rFonts w:ascii="Arial;sans-serif" w:hAnsi="Arial;sans-serif"/>
          <w:b/>
          <w:i/>
          <w:color w:val="000000"/>
          <w:sz w:val="18"/>
        </w:rPr>
        <w:t>Capital Expenditures for Rental Equipment:</w:t>
      </w:r>
      <w:r>
        <w:rPr>
          <w:color w:val="000000"/>
        </w:rPr>
        <w:t xml:space="preserve"> </w:t>
      </w:r>
      <w:r>
        <w:rPr>
          <w:rFonts w:ascii="Arial;sans-serif" w:hAnsi="Arial;sans-serif"/>
          <w:b w:val="false"/>
          <w:color w:val="000000"/>
          <w:sz w:val="18"/>
        </w:rPr>
        <w:t>Capital expenditures for rental equipment increased $34.9 million, or 34.0%, to $137.6 million for the six months ended June 30, 2024 from $102.7 million for the six months ended June 30, 2023 as a result of increased refurbishment spending and new fleet purchases, including additional investment in climate-controlled containers and refrigerated storage units. Net CAPEX increased $31.1 million, or 35.2%, to $119.5 million for the six months ended June 30, 2024 from $88.4 million for the six months ended June 30, 2023 driven by the increase in capital expenditures for rental equipment as described above. This increase was partially offset by a $5.4 million increase in proceeds from the sale of rental equipment for the six months ended June 30, 2024.</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Reconciliation of Non-GAAP Financial Measures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Currency (gains) losses, net on monetary assets and liabilities denominated in foreign currencies other than the subsidiaries’ functional currency.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Costs to integrate acquired companies, including outside professional fees, non-capitalized costs associated with system integrations, non-lease branch and fleet relocation expenses, employee training costs, and other costs required to realize cost or revenue synergies.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Non-cash charges for stock compensation plans.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expenses, including consulting expenses related to certain one-time projects, financing costs not classified as interest expense, and gains and losses on disposals of property, plant, and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Chief Operating Decision Maker ("CODM") evaluates business performance utilizing Adjusted EBITDA as shown in the reconciliation of the Company’s consolidated income from continuing operations to Adjusted EBITDA below. Management believes that evaluating performance excluding such items is meaningful because it provides insight with respect to the intrinsic and ongoing operating results of the Company and captures the business performance inclusive of indirect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interest expense, or the cash requirements necessary to service interest or principal payments, on our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tax expense or the cash requirements to pay our taxes;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historical cash expenditures or future requirements for capital expenditures or contractual commitments;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the impact on earnings or changes resulting from matters that we consider not to be indicative of our future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Although depreciation and amortization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companies in our industry may calculate Adjusted EBITDA differently, limiting its usefulness as a comparative measure.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Because of these limitations, Adjusted EBITDA should not be considered as discretionary cash available to reinvest in the growth of our business or as a measure of cash that will be available to meet our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unaudited reconciliations of (Loss) income from continuing operations to Adjusted EBITDA from continuing operations:</w:t>
      </w:r>
    </w:p>
    <w:tbl>
      <w:tblPr>
        <w:tblW w:w="10205" w:type="dxa"/>
        <w:jc w:val="left"/>
        <w:tblInd w:w="0" w:type="dxa"/>
        <w:tblLayout w:type="fixed"/>
        <w:tblCellMar>
          <w:top w:w="28" w:type="dxa"/>
          <w:left w:w="28" w:type="dxa"/>
          <w:bottom w:w="28" w:type="dxa"/>
          <w:right w:w="28" w:type="dxa"/>
        </w:tblCellMar>
      </w:tblPr>
      <w:tblGrid>
        <w:gridCol w:w="1723"/>
        <w:gridCol w:w="1433"/>
        <w:gridCol w:w="14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2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459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from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92,112 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(gains) losses,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508,183 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EBITDA Margin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Adjusted EBITDA Margin as Adjusted EBITDA divided by revenue. Management believes that the presentation of Adjusted EBITDA Margin provides useful information to investors regarding the performance of our business. The following table provides unaudited reconciliations of Adjusted EBITDA Margin:</w:t>
      </w:r>
    </w:p>
    <w:tbl>
      <w:tblPr>
        <w:tblW w:w="10205" w:type="dxa"/>
        <w:jc w:val="left"/>
        <w:tblInd w:w="0" w:type="dxa"/>
        <w:tblLayout w:type="fixed"/>
        <w:tblCellMar>
          <w:top w:w="28" w:type="dxa"/>
          <w:left w:w="28" w:type="dxa"/>
          <w:bottom w:w="28" w:type="dxa"/>
          <w:right w:w="28" w:type="dxa"/>
        </w:tblCellMar>
      </w:tblPr>
      <w:tblGrid>
        <w:gridCol w:w="1322"/>
        <w:gridCol w:w="1160"/>
        <w:gridCol w:w="1163"/>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8"/>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364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263,576 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261,341 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511,585 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508,183 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1,147,557 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 from Continuing Operations (A/B)</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Margin (C/B)</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Gross Profit and Adjusted Gross Profit Percentage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define Adjusted Gross Profit as gross profit plus depreciation of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unaudited reconciliations of gross profit to Adjusted Gross Profit and gross profit percentage to Adjusted Gross Profit Percentage:</w:t>
      </w:r>
    </w:p>
    <w:tbl>
      <w:tblPr>
        <w:tblW w:w="9843" w:type="dxa"/>
        <w:jc w:val="left"/>
        <w:tblInd w:w="0" w:type="dxa"/>
        <w:tblLayout w:type="fixed"/>
        <w:tblCellMar>
          <w:top w:w="28" w:type="dxa"/>
          <w:left w:w="28" w:type="dxa"/>
          <w:bottom w:w="28" w:type="dxa"/>
          <w:right w:w="28" w:type="dxa"/>
        </w:tblCellMar>
      </w:tblPr>
      <w:tblGrid>
        <w:gridCol w:w="1191"/>
        <w:gridCol w:w="1046"/>
        <w:gridCol w:w="1048"/>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6"/>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32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604,590 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582,089 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1,191,771 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1,147,557 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(B)</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327,118 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644,006 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651,000 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Profit (C)</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402,729 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392,322 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794,525 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774,606 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Percentage (B/A)</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Profit Percentage (C/A)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Net CAPEX</w:t>
      </w:r>
    </w:p>
    <w:p>
      <w:pPr>
        <w:pStyle w:val="TextBody"/>
        <w:bidi w:val="0"/>
        <w:spacing w:lineRule="auto" w:line="288" w:before="0" w:after="60"/>
        <w:ind w:left="0" w:right="0" w:firstLine="720"/>
        <w:jc w:val="both"/>
        <w:rPr/>
      </w:pPr>
      <w:r>
        <w:rPr>
          <w:rFonts w:ascii="Arial;sans-serif" w:hAnsi="Arial;sans-serif"/>
          <w:b w:val="false"/>
          <w:color w:val="000000"/>
          <w:sz w:val="18"/>
        </w:rPr>
        <w:t>We define N</w:t>
      </w:r>
      <w:r>
        <w:rPr>
          <w:rFonts w:ascii="Arial;sans-serif" w:hAnsi="Arial;sans-serif"/>
          <w:b w:val="false"/>
          <w:color w:val="000000"/>
          <w:sz w:val="18"/>
          <w:shd w:fill="FFFFFF" w:val="clear"/>
        </w:rPr>
        <w:t xml:space="preserve">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UK Storage Solutions segment through January 31, 2023.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provides unaudited reconciliations of Net CAPEX:</w:t>
      </w:r>
    </w:p>
    <w:tbl>
      <w:tblPr>
        <w:tblW w:w="10080" w:type="dxa"/>
        <w:jc w:val="left"/>
        <w:tblInd w:w="0" w:type="dxa"/>
        <w:tblLayout w:type="fixed"/>
        <w:tblCellMar>
          <w:top w:w="28" w:type="dxa"/>
          <w:left w:w="28" w:type="dxa"/>
          <w:bottom w:w="28" w:type="dxa"/>
          <w:right w:w="28" w:type="dxa"/>
        </w:tblCellMar>
      </w:tblPr>
      <w:tblGrid>
        <w:gridCol w:w="1587"/>
        <w:gridCol w:w="1393"/>
        <w:gridCol w:w="1400"/>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(55,581)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(137,591)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sale of rental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 for Rental Equipment</w:t>
            </w:r>
          </w:p>
        </w:tc>
        <w:tc>
          <w:tcPr>
            <w:tcW w:w="10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(106,923)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(77,455)</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 of property, plant and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(88,379)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Liquidity and Capital Resources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WillScot is a holding company that derives its operating cash flow from its operating subsidiaries. Our principal sources of liquidity include cash flows generated from operating activities of our subsidiaries, borrowings under our ABL Facility, and sales of debt securities. We have consistently accessed the debt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 We believe that our liquidity sources are sufficient to satisfy our anticipated operating, debt service and capital cash requirements over the next twelve months and thereafter for the foreseeable future.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pPr>
      <w:r>
        <w:rPr>
          <w:rFonts w:ascii="Arial;sans-serif" w:hAnsi="Arial;sans-serif"/>
          <w:b w:val="false"/>
          <w:color w:val="000000"/>
          <w:sz w:val="18"/>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w:t>
      </w:r>
      <w:r>
        <w:rPr>
          <w:rFonts w:ascii="Arial;sans-serif" w:hAnsi="Arial;sans-serif"/>
          <w:b w:val="false"/>
          <w:color w:val="000000"/>
          <w:sz w:val="18"/>
          <w:shd w:fill="FFFFFF" w:val="clear"/>
        </w:rPr>
        <w:t xml:space="preserve">d the applicable borrowing bases. The borrowing bases are a function of, among other things, the value of the assets in the relevant collateral pool, of which our rental equipment represents the largest component. At June 30, 2024, we </w:t>
      </w:r>
      <w:r>
        <w:rPr>
          <w:rFonts w:ascii="Arial;sans-serif" w:hAnsi="Arial;sans-serif"/>
          <w:b w:val="false"/>
          <w:color w:val="000000"/>
          <w:sz w:val="18"/>
        </w:rPr>
        <w:t xml:space="preserve">had $1.8 billion </w:t>
      </w:r>
      <w:r>
        <w:rPr>
          <w:rFonts w:ascii="Arial;sans-serif" w:hAnsi="Arial;sans-serif"/>
          <w:b w:val="false"/>
          <w:color w:val="000000"/>
          <w:sz w:val="18"/>
          <w:shd w:fill="FFFFFF" w:val="clear"/>
        </w:rPr>
        <w:t xml:space="preserve">of available borrowing capacity under the ABL Facility.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Cash Flow Comparison of the Six Months Ended June 30, 2024 and 2023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consolidated statements of cash flows include amounts for the former UK Storage Solutions segment through January 31, 2023. See Note 3 to the financial statements for disclosure of significant investing items related to the former UK Storage Solutions segment.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summarizes our change in cash and cash equivalents for the periods presented:</w:t>
      </w:r>
    </w:p>
    <w:tbl>
      <w:tblPr>
        <w:tblW w:w="7869" w:type="dxa"/>
        <w:jc w:val="left"/>
        <w:tblInd w:w="0" w:type="dxa"/>
        <w:tblLayout w:type="fixed"/>
        <w:tblCellMar>
          <w:top w:w="28" w:type="dxa"/>
          <w:left w:w="28" w:type="dxa"/>
          <w:bottom w:w="28" w:type="dxa"/>
          <w:right w:w="28" w:type="dxa"/>
        </w:tblCellMar>
      </w:tblPr>
      <w:tblGrid>
        <w:gridCol w:w="1887"/>
        <w:gridCol w:w="1657"/>
        <w:gridCol w:w="1661"/>
        <w:gridCol w:w="211"/>
        <w:gridCol w:w="826"/>
        <w:gridCol w:w="109"/>
        <w:gridCol w:w="109"/>
        <w:gridCol w:w="109"/>
        <w:gridCol w:w="109"/>
        <w:gridCol w:w="211"/>
        <w:gridCol w:w="82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5205"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(195,662)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(520,257)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(5,034)</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Cash Flows from Operating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for the six months ended June 30, 2024 was $384.3 million as compared to $350.9 million for the six months ended June 30, 2023, an increase of $33.4 million. The increase was due to a change of $104.2 million in the net movements of the operating assets and liabilities, partially offset by a decrease of $70.8 million of net income, adjusted for non-cash items.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Cash Flows from Investing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used in investing activities for the six months ended June 30, 2024 was $193.3 million as compared to $158.5 million of net cash provided by investing activities for the six months ended June 30, 2023, a $351.8 million increase in net cash used in investing activities. The increase in net cash used in investing activities resulted from $404.0 million in proceeds from the sale of the former UK Storage Solutions in the six months ended June 30, 2023 and a $34.9 million increase in refurbishment spending and new fleet purchases, including additional investment in climate-controlled containers and refrigerated storage units, during the six months ended June 30, 2024.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increase in net cash used in investing activities was partially offset by a $78.8 million decrease in cash used in acquisitions, net of cash acquired, a $5.4 million increase in proceeds from the sale of rental equipment and a $7.7 million decrease in cash used for the settlement of a contingent foreign currency forward contract upon the closing of the sale of the former UK Storage Solutions segment in January 2023.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Cash Flows from Financing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Net cash used in financing activities for the six months ended June 30, 2024 was $195.7 million as compared to $520.3 million for the six months ended June 30, 2023, a decrease of $324.6 million. The decrease was primarily due to a $377.6 million decrease in cash used for the repurchase of common stock in the six months ended June 30, 2024. We paused share repurchases in the fourth quarter of 2023 as acquisition discussions advanced with McGrath and resumed repurchasing shares of our Common Stock in April 2024.</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decrease was partially offset by a $41.6 million increase in repayments of borrowings, net of receipts from borrowings, a $4.5 million increase in cash used for taxes paid on employee stock awards, a $5.2 million increase in cash used for payments for financing costs, and a $1.4 million increase in cash used for payments on finance lease obligations.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Free Cash Flow</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Free Cash Flow is a non-GAAP measure. We define Free Cash Flow as net cash provided by operating activities, less purchases of, and proceeds from, rental equipment and refurbishments and property, plant and equipment, which are all included in cash flows from investing activities. </w:t>
      </w:r>
      <w:r>
        <w:rPr>
          <w:rFonts w:ascii="Arial;sans-serif" w:hAnsi="Arial;sans-serif"/>
          <w:b w:val="false"/>
          <w:color w:val="000000"/>
          <w:sz w:val="18"/>
        </w:rPr>
        <w:t xml:space="preserve">Management believes that the presentation of Free Cash Flow </w:t>
      </w:r>
      <w:r>
        <w:rPr>
          <w:rFonts w:ascii="Arial;sans-serif" w:hAnsi="Arial;sans-serif"/>
          <w:b w:val="false"/>
          <w:color w:val="000000"/>
          <w:sz w:val="18"/>
          <w:shd w:fill="FFFFFF" w:val="clear"/>
        </w:rPr>
        <w:t>provides useful additional information concerning cash flow available to fund our capital allocation alternatives. The following table provides a reconciliation of net cash provided by operating activities to Free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60"/>
        <w:jc w:val="both"/>
        <w:rPr/>
      </w:pPr>
      <w:r>
        <w:rPr/>
      </w:r>
    </w:p>
    <w:tbl>
      <w:tblPr>
        <w:tblW w:w="9989" w:type="dxa"/>
        <w:jc w:val="left"/>
        <w:tblInd w:w="0" w:type="dxa"/>
        <w:tblLayout w:type="fixed"/>
        <w:tblCellMar>
          <w:top w:w="28" w:type="dxa"/>
          <w:left w:w="28" w:type="dxa"/>
          <w:bottom w:w="28" w:type="dxa"/>
          <w:right w:w="28" w:type="dxa"/>
        </w:tblCellMar>
      </w:tblPr>
      <w:tblGrid>
        <w:gridCol w:w="1588"/>
        <w:gridCol w:w="1394"/>
        <w:gridCol w:w="13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June 30,</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w:t>
              <w:br/>
              <w:t>June 30,</w:t>
            </w:r>
          </w:p>
        </w:tc>
      </w:tr>
      <w:tr>
        <w:trPr/>
        <w:tc>
          <w:tcPr>
            <w:tcW w:w="43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3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262,541 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Free Cash Flow for the six months ended June 30, 2024 was $264.8 million as compared to $262.5 million for the six months ended June 30, 2023, an increase of $2.2 million. Free Cash Flow increased principally as a result of the $33.4 million increase in cash provided by operating activities and the $5.4 million increase in proceeds from the sale of rental equipment. The increase was partially offset by the $34.9 million increase in cash used in the purchase of rental equipment and refurbishments.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$384.3 million in cash provided by operating activities for the six months ended June 30, 2024 was returned to shareholders through repurchases and cancellations of common stock of $78.7 million and reinvested into the business to support the purchase of rental equipment, including VAPS, and refurbishments, acquire three local storage and modular companies for $70.6 million, and fund repayment of borrowings under our ABL Facility.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Material cash requirements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Company’s material cash requirements include the following contractual and other obligations: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Debt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outstanding debt related to its ABL Facility, 2025 Secured Notes, 2028 Secured Notes, 2029 Secured Notes, 2031 Secured Notes, and finance leases totaling $3.5 billion as of June 30, 2024, $545.1 million of which is obligated to be repaid within the next twelve months. We have the intent and believe was have the ability to refinance the $526.5 million carrying value of the 2025 Secured Notes on a long-term basis as demonstrated by the forecasted available capacity under the ABL Facility if other refinancing efforts are unsuccessful or uneconomical. Refer to Note 9 for further information regarding outstanding debt.</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Operating leases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commitments for future minimum rental payments relating to operating leases, which are primarily for real estate. As of June 30, 2024, the Company had lease obligations of $297.4 million, with $69.5 million payable within the next twelve months.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Entry into an Agreement to Acquire McGrath RentCorp</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January 28, 2024, the Company entered into an agreement and plan of merger (the “Merger Agreement”) with McGrath RentCorp ("McGrath"). Upon consummation of the merger, each outstanding share of McGrath common stock shall be converted into the right to receive either (i) $123.00 in cash or (ii) 2.8211 shares of the Company’s common stock. Under the terms of the Merger Agreement, the Company expects McGrath’s shareholders will own approximately 12.6% of the Company following the McGrath acquisition. The McGrath acquisition has been approved by the Company's and McGrath’s respective boards of directors and McGrath's shareholders. The McGrath acquisition is subject to the satisfaction or waiver of certain customary closing conditions, including receipt of regulatory approval, and is expected to close in 2024.</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Merger Agreement, the Company entered into a commitment letter dated January 28, 2024, which was amended and restated on June 13, 2024 and modified by a Notice of Reduction of Bridge Commitments on June 28, 2024 (the "Commitment Letter"), pursuant to which certain financial institutions have committed to make available, in accordance with the terms of the Commitment Letter, (i) a $500 million eight-year senior secured bridge credit facility and (ii) an upsize to the existing $3.7 billion ABL Facility (as defined below) of Williams Scotsman, Inc., a subsidiary of the Company ("WSI"), by $750 million to $4.5 billion to repay McGrath's existing unsecured revolving lines of credit and notes, fund the cash portion of the consideration, and pay the fees, costs and expenses incurred in connection with the McGrath acquisition and the related transactions.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Other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the cash requirements described above, the Company has a share repurchase program authorized by the Board of Directors, which allows the Company to repurchase up to $1.0 billion of outstanding shares of Common Stock. This program does not obligate the Company to repurchase any specific amount of shares. As of June 30, 2024, $419.5 million of the approved share repurchase amount remained available.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Critical Accounting Estimates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t>
      </w:r>
      <w:r>
        <w:rPr>
          <w:rFonts w:ascii="Arial;sans-serif" w:hAnsi="Arial;sans-serif"/>
          <w:b w:val="false"/>
          <w:color w:val="000000"/>
          <w:sz w:val="18"/>
          <w:shd w:fill="FFFFFF" w:val="clear"/>
        </w:rPr>
        <w:t xml:space="preserve">For a </w:t>
      </w:r>
      <w:r>
        <w:rPr>
          <w:rFonts w:ascii="Arial;sans-serif" w:hAnsi="Arial;sans-serif"/>
          <w:b w:val="false"/>
          <w:color w:val="000000"/>
          <w:sz w:val="18"/>
        </w:rPr>
        <w:t>complete discussion of our significant critical accounting estimates, see the “Critical Accounting Estimates” section in Part II, Item 7 of our Annual Report on Form 10-K for the year ended December 31, 2023 (the "2023 Annual Report on Form 10-K").</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were no significant changes to our critical accounting estimates during the six months ended June 30, 2024.</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Recently Issued Accounting Standards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Refer to Part I, Item 1, Note 1 of the notes to our condensed consolidated financial statements included in this Quarterly Report on Form 10-Q for our assessment of recently issued and adopted accounting standards.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Cautionary Note Regarding Forward-Looking Statements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it can give no assurance that any such forward-looking statement will materialize. Important factors that may affect actual results or outcomes include, among others: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impacts of various laws and regulations and recent pronouncements related to laws and regulations governing antitrust, climate-related disclosures, privacy, government contracts, anti-corruption and the environment;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successfully acquire and integrate new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effect of global or local economic conditions in the industries and markets in which the Company operates and any changes therein, including financial market conditions and levels of end market demand;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cybersecurity threats and IT systems disruptions, including our ability to manage the business in the event a cybersecurity incident or a disaster shuts down or materially impacts our management information systems;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trade policies and changes in trade policies, including the imposition of tariffs, their enforcement and downstream consequences;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effectively compete in the modular space and portable storage industries;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effectively manage our credit risk, collect on our accounts receivable, or recover our rental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inflationary pressures and fluctuations in interest rates and commodity prices;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labor relations, labor costs and labor disruptions;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changes in the competitive environment of our customer base as a result of the global, national or local economic climate in which they operate and/or economic or financial disruptions to their industry;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adequately protect our intellectual property and other proprietary rights that are material to our business;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natural disasters and other business disruptions such as pandemics, fires, floods, hurricanes, earthquakes and terrorism;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establish and maintain the appropriate physical presence in our markets;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property, casualty or other losses not covered by our insurance;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close our unit sales transactions;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maintain an effective system of internal controls and accurately report our financial results;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evolving public disclosure, financial reporting and corporate governance expectations;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achieve our environmental, social and governance goals;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operational, economic, political and regulatory risks;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effective management of our rental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effect of changes in state building codes on our ability to remarket our buildings;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foreign currency exchange rate exposure;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significant increases in the costs and restrictions on the availability of raw materials and labor;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fluctuations in fuel costs or a reduction in fuel supplies;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reliance on third party manufacturers and suppliers;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impairment of our goodwill, intangible assets and indefinite-life intangible assets;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use our net operating loss carryforwards and other tax attributes;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recognize deferred tax assets such as those related to our tax loss carryforwards and, as a result, utilize future tax savings;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unanticipated changes in tax obligations, adoption of a new tax legislation, or exposure to additional income tax liabilities;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access the capital and credit markets or the ability of key counterparties to perform their obligations to us;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service our debt and operate our business;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incur significant additional amounts of debt, which could further exacerbate the risks associated with our substantial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covenants that limit our operating and financial flexibility;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stock price volatility;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the completion of the McGrath acquisition within the expected timeframe, the completion of the McGrath acquisition, and the realization of anticipated synergies from the McGrath acquisition;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such other risks and uncertainties described in the periodic reports we file with the SEC from time to time (including our 2023 Annual Report on Form 10-K), which are available through the SEC’s EDGAR system at www.sec.gov and on our website.</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3.    Quantitative and Qualitative Disclosures about Market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exposed to certain market risks from changes in foreign currency exchange rates and interest rates. Changes in these factors cause fluctuations in our earnings and cash flows. We evaluate and manage exposure to these market risks as follows: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primarily exposed to interest rate risk through our ABL Facility, which bears interest at variable rates. We had $1.4 billion in outstanding principal under the ABL Facility at June 30, 2024. To manage interest rate risk, in January 2024 and January 2023, respectively, we executed interest rate swap agreements relating to an aggregate of $500.0 million and $750.0 million in notional amount of variable-rate debt under our ABL Facility. The January 2024 and January 2023 swap agreements provide for us to pay a weighted average effective fixed interest rate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$1.2 million based on current outstanding borrowings.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currently generate approximately 93%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4.    Controls and Procedures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management, with participation of our Chief Executive Officer and Chief Financial Officer, has evaluated the effectiveness of our disclosure controls and procedures as defined in Rule 13a-15(e) under the Securities Exchange Act of 1934 as amended (the "Exchange Act") as of June 30, 2024. Based upon that evaluation, our Chief Executive Officer and Chief Financial Officer concluded that our disclosure controls and procedures were effective as of June 30, 2024.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Changes in Internal Controls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that occurred during the quarter ended June 30, 2024 that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center"/>
        <w:rPr/>
      </w:pPr>
      <w:r>
        <w:rPr/>
      </w:r>
    </w:p>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color w:val="1D2758"/>
          <w:sz w:val="44"/>
        </w:rPr>
      </w:pPr>
      <w:r>
        <w:rPr>
          <w:rFonts w:ascii="Arial;sans-serif" w:hAnsi="Arial;sans-serif"/>
          <w:b/>
          <w:color w:val="1D2758"/>
          <w:sz w:val="44"/>
        </w:rPr>
        <w:t>PART II</w:t>
      </w:r>
    </w:p>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1.    Legal Proceedings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June 30, 2024,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shd w:fill="FFFFFF" w:val="clear"/>
        </w:rPr>
      </w:pPr>
      <w:r>
        <w:rPr>
          <w:rFonts w:ascii="Arial;sans-serif" w:hAnsi="Arial;sans-serif"/>
          <w:b/>
          <w:color w:val="000000"/>
          <w:sz w:val="44"/>
          <w:shd w:fill="FFFFFF" w:val="clear"/>
        </w:rPr>
        <w:t xml:space="preserve">ITEM 1A.    Risk Factors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w:t>
      </w:r>
      <w:r>
        <w:rPr>
          <w:rFonts w:ascii="Arial;sans-serif" w:hAnsi="Arial;sans-serif"/>
          <w:b w:val="false"/>
          <w:color w:val="000000"/>
          <w:sz w:val="18"/>
        </w:rPr>
        <w:t>2023</w:t>
      </w:r>
      <w:r>
        <w:rPr>
          <w:color w:val="000000"/>
          <w:shd w:fill="FFFFFF" w:val="clear"/>
        </w:rPr>
        <w:t xml:space="preserve"> </w:t>
      </w:r>
      <w:r>
        <w:rPr>
          <w:rFonts w:ascii="Arial;sans-serif" w:hAnsi="Arial;sans-serif"/>
          <w:b w:val="false"/>
          <w:color w:val="000000"/>
          <w:sz w:val="18"/>
          <w:shd w:fill="FFFFFF" w:val="clear"/>
        </w:rPr>
        <w:t>Annual Report on Form 10-K, which have not materially changed.</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2.    Unregistered Sales of Equity Securities and Use of Proceeds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table summarizes our purchase of Common Stock during the second quarter of 2024. </w:t>
      </w:r>
    </w:p>
    <w:tbl>
      <w:tblPr>
        <w:tblW w:w="10205" w:type="dxa"/>
        <w:jc w:val="left"/>
        <w:tblInd w:w="0" w:type="dxa"/>
        <w:tblLayout w:type="fixed"/>
        <w:tblCellMar>
          <w:top w:w="28" w:type="dxa"/>
          <w:left w:w="28" w:type="dxa"/>
          <w:bottom w:w="28" w:type="dxa"/>
          <w:right w:w="28" w:type="dxa"/>
        </w:tblCellMar>
      </w:tblPr>
      <w:tblGrid>
        <w:gridCol w:w="371"/>
        <w:gridCol w:w="325"/>
        <w:gridCol w:w="327"/>
        <w:gridCol w:w="672"/>
        <w:gridCol w:w="651"/>
        <w:gridCol w:w="653"/>
        <w:gridCol w:w="109"/>
        <w:gridCol w:w="109"/>
        <w:gridCol w:w="109"/>
        <w:gridCol w:w="246"/>
        <w:gridCol w:w="719"/>
        <w:gridCol w:w="127"/>
        <w:gridCol w:w="109"/>
        <w:gridCol w:w="109"/>
        <w:gridCol w:w="109"/>
        <w:gridCol w:w="854"/>
        <w:gridCol w:w="833"/>
        <w:gridCol w:w="835"/>
        <w:gridCol w:w="109"/>
        <w:gridCol w:w="109"/>
        <w:gridCol w:w="109"/>
        <w:gridCol w:w="558"/>
        <w:gridCol w:w="1634"/>
        <w:gridCol w:w="419"/>
      </w:tblGrid>
      <w:tr>
        <w:trPr/>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Period</w:t>
            </w:r>
          </w:p>
        </w:tc>
        <w:tc>
          <w:tcPr>
            <w:tcW w:w="197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Number of Shares and Equivalents Purchased (in thousands)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Average Price Paid </w:t>
              <w:br/>
              <w:t>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Number of Shares and Equivalents Purchased as part of Publicly Announced Plan (in thousands)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Maximum Dollar Value of Shares and Equivalents that May Yet Be Purchased Under the Plans (in millions)</w:t>
            </w:r>
          </w:p>
        </w:tc>
      </w:tr>
      <w:tr>
        <w:trPr/>
        <w:tc>
          <w:tcPr>
            <w:tcW w:w="10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2024 to April 30, 2024</w:t>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573.4 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573.4 </w:t>
            </w:r>
          </w:p>
        </w:tc>
        <w:tc>
          <w:tcPr>
            <w:tcW w:w="8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476.2 </w:t>
            </w:r>
          </w:p>
        </w:tc>
        <w:tc>
          <w:tcPr>
            <w:tcW w:w="4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2024 to May 31, 2024</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838.0 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838.0 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2024 to June 30, 2024</w:t>
            </w:r>
          </w:p>
        </w:tc>
        <w:tc>
          <w:tcPr>
            <w:tcW w:w="13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624.1 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38.44 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624.1 </w:t>
            </w:r>
          </w:p>
        </w:tc>
        <w:tc>
          <w:tcPr>
            <w:tcW w:w="8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419.5 </w:t>
            </w:r>
          </w:p>
        </w:tc>
        <w:tc>
          <w:tcPr>
            <w:tcW w:w="4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2,035.5 </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2,035.5 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 share repurchase program authorizes the Company to repurchase its outstanding shares of Common Stock. In May 2023, the Board of Directors approved a reset of the share repurchase program authorizing the Company to repurchase up to $1.0 billion of its outstanding shares of Common Stock. As of June 30, 2024, $419.5 million of the $1.0 billion share repurchase authorization remained available for use.</w:t>
      </w:r>
    </w:p>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 xml:space="preserve">ITEM 3.    Defaults Upon Senior Securities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4.    Mine Safety Disclosures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5.    Other Information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three months ended June 30, 2024, no director or Section 16 officer of the Company adopted or terminated a "Rule 10b5-1 trading arrangement" or "non-Rule 10b5-1 trading arrangement," as each term is defined in Item 408(a) of Regulation S-K.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44"/>
        </w:rPr>
      </w:pPr>
      <w:r>
        <w:rPr>
          <w:rFonts w:ascii="Arial;sans-serif" w:hAnsi="Arial;sans-serif"/>
          <w:b/>
          <w:color w:val="000000"/>
          <w:sz w:val="44"/>
        </w:rPr>
        <w:t>ITEM 6.    Exhibits</w:t>
      </w:r>
    </w:p>
    <w:tbl>
      <w:tblPr>
        <w:tblW w:w="10205" w:type="dxa"/>
        <w:jc w:val="left"/>
        <w:tblInd w:w="0" w:type="dxa"/>
        <w:tblLayout w:type="fixed"/>
        <w:tblCellMar>
          <w:top w:w="28" w:type="dxa"/>
          <w:left w:w="28" w:type="dxa"/>
          <w:bottom w:w="28" w:type="dxa"/>
          <w:right w:w="28" w:type="dxa"/>
        </w:tblCellMar>
      </w:tblPr>
      <w:tblGrid>
        <w:gridCol w:w="307"/>
        <w:gridCol w:w="270"/>
        <w:gridCol w:w="271"/>
        <w:gridCol w:w="2869"/>
        <w:gridCol w:w="2683"/>
        <w:gridCol w:w="3805"/>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No.</w:t>
            </w:r>
          </w:p>
        </w:tc>
        <w:tc>
          <w:tcPr>
            <w:tcW w:w="93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Description</w:t>
            </w:r>
          </w:p>
        </w:tc>
      </w:tr>
      <w:tr>
        <w:trPr/>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00"/>
                  <w:sz w:val="18"/>
                </w:rPr>
                <w:t>4.1</w:t>
              </w:r>
            </w:hyperlink>
          </w:p>
        </w:tc>
        <w:tc>
          <w:tcPr>
            <w:tcW w:w="93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00"/>
                  <w:sz w:val="18"/>
                </w:rPr>
                <w:t>Indenture, dated as of June 28, 2024, by and among WSI, the Guarantors and Deutsche Bank Trust Company Americas, as trustee (incorporated by reference to Exhibit 4.1 of the Company's Current Report on Form 8-K, filed June 28, 2024)</w:t>
              </w:r>
            </w:hyperlink>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22024.htm">
              <w:r>
                <w:rPr>
                  <w:rStyle w:val="InternetLink"/>
                  <w:rFonts w:ascii="Arial;sans-serif" w:hAnsi="Arial;sans-serif"/>
                  <w:b w:val="false"/>
                  <w:color w:val="000080"/>
                  <w:sz w:val="18"/>
                </w:rPr>
                <w:t>31.1</w:t>
              </w:r>
            </w:hyperlink>
            <w:r>
              <w:rPr>
                <w:rFonts w:ascii="Arial;sans-serif" w:hAnsi="Arial;sans-serif"/>
                <w:b w:val="false"/>
                <w:color w:val="000000"/>
                <w:sz w:val="18"/>
              </w:rPr>
              <w:t>*</w:t>
            </w:r>
          </w:p>
        </w:tc>
        <w:tc>
          <w:tcPr>
            <w:tcW w:w="9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q22024.htm">
              <w:r>
                <w:rPr>
                  <w:rStyle w:val="InternetLink"/>
                  <w:rFonts w:ascii="Arial;sans-serif" w:hAnsi="Arial;sans-serif"/>
                  <w:b w:val="false"/>
                  <w:color w:val="000000"/>
                  <w:sz w:val="18"/>
                </w:rPr>
                <w:t>Certification of Chief Executive Officer pursuant to Section 302 of the Sarbanes-Oxley Act of 2002</w:t>
              </w:r>
            </w:hyperlink>
          </w:p>
        </w:tc>
      </w:tr>
      <w:tr>
        <w:trPr/>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12-q22024.htm">
              <w:r>
                <w:rPr>
                  <w:rStyle w:val="InternetLink"/>
                  <w:rFonts w:ascii="Arial;sans-serif" w:hAnsi="Arial;sans-serif"/>
                  <w:b w:val="false"/>
                  <w:color w:val="000080"/>
                  <w:sz w:val="18"/>
                </w:rPr>
                <w:t>31.2</w:t>
              </w:r>
            </w:hyperlink>
            <w:r>
              <w:rPr>
                <w:rFonts w:ascii="Arial;sans-serif" w:hAnsi="Arial;sans-serif"/>
                <w:b w:val="false"/>
                <w:color w:val="000000"/>
                <w:sz w:val="18"/>
              </w:rPr>
              <w:t>*</w:t>
            </w:r>
          </w:p>
        </w:tc>
        <w:tc>
          <w:tcPr>
            <w:tcW w:w="93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ex312-q22024.htm">
              <w:r>
                <w:rPr>
                  <w:rStyle w:val="InternetLink"/>
                  <w:rFonts w:ascii="Arial;sans-serif" w:hAnsi="Arial;sans-serif"/>
                  <w:b w:val="false"/>
                  <w:color w:val="000000"/>
                  <w:sz w:val="18"/>
                </w:rPr>
                <w:t>Certification of Chief Financial Officer pursuant to Section 302 of the Sarbanes-Oxley Act of 2002</w:t>
              </w:r>
            </w:hyperlink>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22024.htm">
              <w:r>
                <w:rPr>
                  <w:rStyle w:val="InternetLink"/>
                  <w:rFonts w:ascii="Arial;sans-serif" w:hAnsi="Arial;sans-serif"/>
                  <w:b w:val="false"/>
                  <w:color w:val="000080"/>
                  <w:sz w:val="18"/>
                </w:rPr>
                <w:t>32.1</w:t>
              </w:r>
            </w:hyperlink>
            <w:r>
              <w:rPr>
                <w:rFonts w:ascii="Arial;sans-serif" w:hAnsi="Arial;sans-serif"/>
                <w:b w:val="false"/>
                <w:color w:val="000000"/>
                <w:sz w:val="18"/>
              </w:rPr>
              <w:t>**</w:t>
            </w:r>
          </w:p>
        </w:tc>
        <w:tc>
          <w:tcPr>
            <w:tcW w:w="9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q22024.htm">
              <w:r>
                <w:rPr>
                  <w:rStyle w:val="InternetLink"/>
                  <w:rFonts w:ascii="Arial;sans-serif" w:hAnsi="Arial;sans-serif"/>
                  <w:b w:val="false"/>
                  <w:color w:val="000000"/>
                  <w:sz w:val="18"/>
                </w:rPr>
                <w:t>Certification of Chief Executive Officer pursuant to Section 906 of the Sarbanes-Oxley Act of 2002</w:t>
              </w:r>
            </w:hyperlink>
          </w:p>
        </w:tc>
      </w:tr>
      <w:tr>
        <w:trPr/>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22-q22024.htm">
              <w:r>
                <w:rPr>
                  <w:rStyle w:val="InternetLink"/>
                  <w:rFonts w:ascii="Arial;sans-serif" w:hAnsi="Arial;sans-serif"/>
                  <w:b w:val="false"/>
                  <w:color w:val="000080"/>
                  <w:sz w:val="18"/>
                </w:rPr>
                <w:t>32.2</w:t>
              </w:r>
            </w:hyperlink>
            <w:r>
              <w:rPr>
                <w:rFonts w:ascii="Arial;sans-serif" w:hAnsi="Arial;sans-serif"/>
                <w:b w:val="false"/>
                <w:color w:val="000000"/>
                <w:sz w:val="18"/>
              </w:rPr>
              <w:t>**</w:t>
            </w:r>
          </w:p>
        </w:tc>
        <w:tc>
          <w:tcPr>
            <w:tcW w:w="93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ex322-q22024.htm">
              <w:r>
                <w:rPr>
                  <w:rStyle w:val="InternetLink"/>
                  <w:rFonts w:ascii="Arial;sans-serif" w:hAnsi="Arial;sans-serif"/>
                  <w:b w:val="false"/>
                  <w:color w:val="000000"/>
                  <w:sz w:val="18"/>
                </w:rPr>
                <w:t>Certification of Chief Financial Officer pursuant to Section 906 of the Sarbanes-Oxley Act of 2002</w:t>
              </w:r>
            </w:hyperlink>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101.INS</w:t>
            </w:r>
          </w:p>
        </w:tc>
        <w:tc>
          <w:tcPr>
            <w:tcW w:w="9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r>
      <w:tr>
        <w:trPr/>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101.SCH</w:t>
            </w:r>
          </w:p>
        </w:tc>
        <w:tc>
          <w:tcPr>
            <w:tcW w:w="9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101.CAL</w:t>
            </w:r>
          </w:p>
        </w:tc>
        <w:tc>
          <w:tcPr>
            <w:tcW w:w="9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101.DEF</w:t>
            </w:r>
          </w:p>
        </w:tc>
        <w:tc>
          <w:tcPr>
            <w:tcW w:w="9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101.LAB</w:t>
            </w:r>
          </w:p>
        </w:tc>
        <w:tc>
          <w:tcPr>
            <w:tcW w:w="9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101.PRE</w:t>
            </w:r>
          </w:p>
        </w:tc>
        <w:tc>
          <w:tcPr>
            <w:tcW w:w="9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9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for the cover page of this Quarterly Report on Form 10-Q, included in the Exhibit 101 Inline XBRL Document Set.</w:t>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Furnished (and not filed) herewith pursuant to Item 601(b)(32)(ii) of Regulation S-K under the Exchange Act</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left"/>
        <w:rPr>
          <w:rFonts w:ascii="Arial;sans-serif" w:hAnsi="Arial;sans-serif"/>
          <w:b w:val="false"/>
          <w:color w:val="1D2758"/>
          <w:sz w:val="26"/>
        </w:rPr>
      </w:pPr>
      <w:r>
        <w:rPr>
          <w:rFonts w:ascii="Arial;sans-serif" w:hAnsi="Arial;sans-serif"/>
          <w:b w:val="false"/>
          <w:color w:val="1D2758"/>
          <w:sz w:val="26"/>
        </w:rPr>
        <w:t>Signature</w:t>
      </w:r>
    </w:p>
    <w:p>
      <w:pPr>
        <w:pStyle w:val="TextBody"/>
        <w:bidi w:val="0"/>
        <w:spacing w:lineRule="auto" w:line="288" w:before="0" w:after="100"/>
        <w:ind w:left="0" w:right="0" w:firstLine="7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8561" w:type="dxa"/>
        <w:jc w:val="left"/>
        <w:tblInd w:w="0" w:type="dxa"/>
        <w:tblLayout w:type="fixed"/>
        <w:tblCellMar>
          <w:top w:w="28" w:type="dxa"/>
          <w:left w:w="28" w:type="dxa"/>
          <w:bottom w:w="28" w:type="dxa"/>
          <w:right w:w="28" w:type="dxa"/>
        </w:tblCellMar>
      </w:tblPr>
      <w:tblGrid>
        <w:gridCol w:w="239"/>
        <w:gridCol w:w="210"/>
        <w:gridCol w:w="211"/>
        <w:gridCol w:w="444"/>
        <w:gridCol w:w="444"/>
        <w:gridCol w:w="446"/>
        <w:gridCol w:w="419"/>
        <w:gridCol w:w="419"/>
        <w:gridCol w:w="419"/>
        <w:gridCol w:w="1545"/>
        <w:gridCol w:w="1545"/>
        <w:gridCol w:w="2220"/>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WillScot Holdings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Dated:</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August 1, 2024</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8"/>
              </w:rPr>
            </w:pPr>
            <w:r>
              <w:rPr>
                <w:rFonts w:ascii="Arial;sans-serif" w:hAnsi="Arial;sans-serif"/>
                <w:b w:val="false"/>
                <w:i/>
                <w:color w:val="000000"/>
                <w:sz w:val="18"/>
              </w:rPr>
              <w:t xml:space="preserve">President &amp; Chief Financial Officer </w:t>
              <w:br/>
              <w:t>(Principal Financial Officer and Duly Authorized Signing Officer)</w:t>
            </w:r>
          </w:p>
        </w:tc>
      </w:tr>
    </w:tbl>
    <w:p>
      <w:pPr>
        <w:pStyle w:val="TextBody"/>
        <w:bidi w:val="0"/>
        <w:spacing w:before="0" w:after="60"/>
        <w:ind w:left="0" w:right="0" w:firstLine="720"/>
        <w:jc w:val="both"/>
        <w:rPr/>
      </w:pPr>
      <w:r>
        <w:rPr/>
      </w:r>
    </w:p>
    <w:p>
      <w:pPr>
        <w:pStyle w:val="TextBody"/>
        <w:bidi w:val="0"/>
        <w:spacing w:before="0" w:after="60"/>
        <w:jc w:val="center"/>
        <w:rPr/>
      </w:pPr>
      <w:r>
        <w:rPr/>
      </w:r>
    </w:p>
    <w:p>
      <w:pPr>
        <w:pStyle w:val="TextBody"/>
        <w:bidi w:val="0"/>
        <w:spacing w:before="0" w:after="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Bradley L. Soultz,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WillScot Holdings Corporation;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August 1, 2024 </w:t>
      </w:r>
    </w:p>
    <w:tbl>
      <w:tblPr>
        <w:tblW w:w="37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2"/>
        <w:gridCol w:w="902"/>
        <w:gridCol w:w="1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Executive Officer and Director </w:t>
              <w:br/>
              <w:t>(Principal Executive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Timothy D. Boswell,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WillScot Holdings Corporation;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August 1, 2024 </w:t>
      </w:r>
    </w:p>
    <w:tbl>
      <w:tblPr>
        <w:tblW w:w="3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1"/>
        <w:gridCol w:w="931"/>
        <w:gridCol w:w="1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President and Chief Financial Officer </w:t>
              <w:br/>
              <w:t>(Principal Financial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49" w:type="dxa"/>
        <w:jc w:val="center"/>
        <w:tblInd w:w="0" w:type="dxa"/>
        <w:tblLayout w:type="fixed"/>
        <w:tblCellMar>
          <w:top w:w="28" w:type="dxa"/>
          <w:left w:w="28" w:type="dxa"/>
          <w:bottom w:w="28" w:type="dxa"/>
          <w:right w:w="28" w:type="dxa"/>
        </w:tblCellMar>
      </w:tblPr>
      <w:tblGrid>
        <w:gridCol w:w="1103"/>
        <w:gridCol w:w="970"/>
        <w:gridCol w:w="1376"/>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Executive Officer</w:t>
            </w:r>
          </w:p>
        </w:tc>
      </w:tr>
    </w:tbl>
    <w:p>
      <w:pPr>
        <w:pStyle w:val="TextBody"/>
        <w:bidi w:val="0"/>
        <w:spacing w:before="0" w:after="0"/>
        <w:jc w:val="both"/>
        <w:rPr/>
      </w:pPr>
      <w:r>
        <w:rPr/>
      </w:r>
    </w:p>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Holdings Corporation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quarterly report on Form 10-Q of the Company for the period ended June 30, 2024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August 1, 2024 </w:t>
      </w:r>
    </w:p>
    <w:tbl>
      <w:tblPr>
        <w:tblW w:w="60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60"/>
        <w:gridCol w:w="1560"/>
        <w:gridCol w:w="2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Executive Officer and Director (Principal Executive Officer)</w:t>
            </w:r>
          </w:p>
        </w:tc>
      </w:tr>
    </w:tbl>
    <w:p>
      <w:pPr>
        <w:pStyle w:val="TextBody"/>
        <w:bidi w:val="0"/>
        <w:spacing w:before="120" w:after="283"/>
        <w:ind w:left="0" w:right="0" w:firstLine="36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60" w:type="dxa"/>
        <w:jc w:val="center"/>
        <w:tblInd w:w="0" w:type="dxa"/>
        <w:tblLayout w:type="fixed"/>
        <w:tblCellMar>
          <w:top w:w="28" w:type="dxa"/>
          <w:left w:w="28" w:type="dxa"/>
          <w:bottom w:w="28" w:type="dxa"/>
          <w:right w:w="28" w:type="dxa"/>
        </w:tblCellMar>
      </w:tblPr>
      <w:tblGrid>
        <w:gridCol w:w="1075"/>
        <w:gridCol w:w="945"/>
        <w:gridCol w:w="1340"/>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Financial Officer</w:t>
            </w:r>
          </w:p>
        </w:tc>
      </w:tr>
    </w:tbl>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Holdings Corporation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quarterly report on Form 10-Q of the Company for the period ended June 30, 2024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August 1, 2024 </w:t>
      </w:r>
    </w:p>
    <w:tbl>
      <w:tblPr>
        <w:tblW w:w="60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76"/>
        <w:gridCol w:w="1576"/>
        <w:gridCol w:w="2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President and Chief Financial Officer (Principal Financial Officer)</w:t>
            </w:r>
          </w:p>
        </w:tc>
      </w:tr>
    </w:tbl>
    <w:p>
      <w:pPr>
        <w:pStyle w:val="TextBody"/>
        <w:bidi w:val="0"/>
        <w:spacing w:before="120" w:after="283"/>
        <w:ind w:left="0" w:right="0" w:firstLine="36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47088/000164708824000120/ex41-indenture2029notes.htm" TargetMode="External"/><Relationship Id="rId4" Type="http://schemas.openxmlformats.org/officeDocument/2006/relationships/hyperlink" Target="https://www.sec.gov/Archives/edgar/data/1647088/000164708824000120/ex41-indenture2029note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22800</Words>
  <Characters>126157</Characters>
  <CharactersWithSpaces>147309</CharactersWithSpaces>
  <Paragraphs>3087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