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166370</wp:posOffset>
            </wp:positionH>
            <wp:positionV relativeFrom="page">
              <wp:posOffset>1015365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981075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080" w:right="2540" w:hanging="3386"/>
        <w:spacing w:after="0" w:line="301" w:lineRule="auto"/>
        <w:tabs>
          <w:tab w:leader="none" w:pos="149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2019</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3880" w:right="2540" w:hanging="3186"/>
        <w:spacing w:after="0" w:line="343" w:lineRule="auto"/>
        <w:tabs>
          <w:tab w:leader="none" w:pos="1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37"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95885</wp:posOffset>
            </wp:positionV>
            <wp:extent cx="257302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20" w:type="dxa"/>
        <w:tblCellMar>
          <w:top w:w="0" w:type="dxa"/>
          <w:left w:w="0" w:type="dxa"/>
          <w:bottom w:w="0" w:type="dxa"/>
          <w:right w:w="0" w:type="dxa"/>
        </w:tblCellMar>
      </w:tblPr>
      <w:tr>
        <w:trPr>
          <w:trHeight w:val="457"/>
        </w:trPr>
        <w:tc>
          <w:tcPr>
            <w:tcW w:w="8180" w:type="dxa"/>
            <w:vAlign w:val="bottom"/>
            <w:gridSpan w:val="2"/>
          </w:tcPr>
          <w:p>
            <w:pPr>
              <w:jc w:val="center"/>
              <w:ind w:left="3118"/>
              <w:spacing w:after="0"/>
              <w:rPr>
                <w:sz w:val="20"/>
                <w:szCs w:val="20"/>
                <w:color w:val="auto"/>
              </w:rPr>
            </w:pPr>
            <w:r>
              <w:rPr>
                <w:rFonts w:ascii="Arial" w:cs="Arial" w:eastAsia="Arial" w:hAnsi="Arial"/>
                <w:sz w:val="36"/>
                <w:szCs w:val="36"/>
                <w:b w:val="1"/>
                <w:bCs w:val="1"/>
                <w:color w:val="auto"/>
                <w:w w:val="99"/>
              </w:rPr>
              <w:t>WILLSCOT CORPORATION</w:t>
            </w:r>
          </w:p>
        </w:tc>
        <w:tc>
          <w:tcPr>
            <w:tcW w:w="3220" w:type="dxa"/>
            <w:vAlign w:val="bottom"/>
          </w:tcPr>
          <w:p>
            <w:pPr>
              <w:spacing w:after="0"/>
              <w:rPr>
                <w:sz w:val="24"/>
                <w:szCs w:val="24"/>
                <w:color w:val="auto"/>
              </w:rPr>
            </w:pPr>
          </w:p>
        </w:tc>
      </w:tr>
      <w:tr>
        <w:trPr>
          <w:trHeight w:val="194"/>
        </w:trPr>
        <w:tc>
          <w:tcPr>
            <w:tcW w:w="8180" w:type="dxa"/>
            <w:vAlign w:val="bottom"/>
            <w:gridSpan w:val="2"/>
          </w:tcPr>
          <w:p>
            <w:pPr>
              <w:jc w:val="center"/>
              <w:ind w:left="3138"/>
              <w:spacing w:after="0"/>
              <w:rPr>
                <w:sz w:val="20"/>
                <w:szCs w:val="20"/>
                <w:color w:val="auto"/>
              </w:rPr>
            </w:pPr>
            <w:r>
              <w:rPr>
                <w:rFonts w:ascii="Arial" w:cs="Arial" w:eastAsia="Arial" w:hAnsi="Arial"/>
                <w:sz w:val="14"/>
                <w:szCs w:val="14"/>
                <w:color w:val="auto"/>
              </w:rPr>
              <w:t>(Exact name of registrant as specified in its charter)</w:t>
            </w:r>
          </w:p>
        </w:tc>
        <w:tc>
          <w:tcPr>
            <w:tcW w:w="3220" w:type="dxa"/>
            <w:vAlign w:val="bottom"/>
          </w:tcPr>
          <w:p>
            <w:pPr>
              <w:spacing w:after="0"/>
              <w:rPr>
                <w:sz w:val="16"/>
                <w:szCs w:val="16"/>
                <w:color w:val="auto"/>
              </w:rPr>
            </w:pPr>
          </w:p>
        </w:tc>
      </w:tr>
      <w:tr>
        <w:trPr>
          <w:trHeight w:val="222"/>
        </w:trPr>
        <w:tc>
          <w:tcPr>
            <w:tcW w:w="4600" w:type="dxa"/>
            <w:vAlign w:val="bottom"/>
          </w:tcPr>
          <w:p>
            <w:pPr>
              <w:jc w:val="center"/>
              <w:ind w:right="678"/>
              <w:spacing w:after="0"/>
              <w:rPr>
                <w:sz w:val="20"/>
                <w:szCs w:val="20"/>
                <w:color w:val="auto"/>
              </w:rPr>
            </w:pPr>
            <w:r>
              <w:rPr>
                <w:rFonts w:ascii="Arial" w:cs="Arial" w:eastAsia="Arial" w:hAnsi="Arial"/>
                <w:sz w:val="14"/>
                <w:szCs w:val="14"/>
                <w:b w:val="1"/>
                <w:bCs w:val="1"/>
                <w:color w:val="auto"/>
              </w:rPr>
              <w:t>Delaware</w:t>
            </w:r>
          </w:p>
        </w:tc>
        <w:tc>
          <w:tcPr>
            <w:tcW w:w="3580" w:type="dxa"/>
            <w:vAlign w:val="bottom"/>
          </w:tcPr>
          <w:p>
            <w:pPr>
              <w:spacing w:after="0"/>
              <w:rPr>
                <w:sz w:val="19"/>
                <w:szCs w:val="19"/>
                <w:color w:val="auto"/>
              </w:rPr>
            </w:pPr>
          </w:p>
        </w:tc>
        <w:tc>
          <w:tcPr>
            <w:tcW w:w="3220" w:type="dxa"/>
            <w:vAlign w:val="bottom"/>
          </w:tcPr>
          <w:p>
            <w:pPr>
              <w:jc w:val="right"/>
              <w:ind w:right="1488"/>
              <w:spacing w:after="0"/>
              <w:rPr>
                <w:sz w:val="20"/>
                <w:szCs w:val="20"/>
                <w:color w:val="auto"/>
              </w:rPr>
            </w:pPr>
            <w:r>
              <w:rPr>
                <w:rFonts w:ascii="Arial" w:cs="Arial" w:eastAsia="Arial" w:hAnsi="Arial"/>
                <w:sz w:val="14"/>
                <w:szCs w:val="14"/>
                <w:b w:val="1"/>
                <w:bCs w:val="1"/>
                <w:color w:val="auto"/>
              </w:rPr>
              <w:t>82-3430194</w:t>
            </w:r>
          </w:p>
        </w:tc>
      </w:tr>
      <w:tr>
        <w:trPr>
          <w:trHeight w:val="210"/>
        </w:trPr>
        <w:tc>
          <w:tcPr>
            <w:tcW w:w="4600" w:type="dxa"/>
            <w:vAlign w:val="bottom"/>
          </w:tcPr>
          <w:p>
            <w:pPr>
              <w:jc w:val="center"/>
              <w:ind w:right="678"/>
              <w:spacing w:after="0"/>
              <w:rPr>
                <w:sz w:val="20"/>
                <w:szCs w:val="20"/>
                <w:color w:val="auto"/>
              </w:rPr>
            </w:pPr>
            <w:r>
              <w:rPr>
                <w:rFonts w:ascii="Arial" w:cs="Arial" w:eastAsia="Arial" w:hAnsi="Arial"/>
                <w:sz w:val="14"/>
                <w:szCs w:val="14"/>
                <w:color w:val="auto"/>
              </w:rPr>
              <w:t>(State or other jurisdiction of incorporation)</w:t>
            </w:r>
          </w:p>
        </w:tc>
        <w:tc>
          <w:tcPr>
            <w:tcW w:w="3580" w:type="dxa"/>
            <w:vAlign w:val="bottom"/>
          </w:tcPr>
          <w:p>
            <w:pPr>
              <w:spacing w:after="0"/>
              <w:rPr>
                <w:sz w:val="18"/>
                <w:szCs w:val="18"/>
                <w:color w:val="auto"/>
              </w:rPr>
            </w:pPr>
          </w:p>
        </w:tc>
        <w:tc>
          <w:tcPr>
            <w:tcW w:w="3220" w:type="dxa"/>
            <w:vAlign w:val="bottom"/>
          </w:tcPr>
          <w:p>
            <w:pPr>
              <w:jc w:val="center"/>
              <w:ind w:right="608"/>
              <w:spacing w:after="0"/>
              <w:rPr>
                <w:sz w:val="20"/>
                <w:szCs w:val="20"/>
                <w:color w:val="auto"/>
              </w:rPr>
            </w:pPr>
            <w:r>
              <w:rPr>
                <w:rFonts w:ascii="Arial" w:cs="Arial" w:eastAsia="Arial" w:hAnsi="Arial"/>
                <w:sz w:val="14"/>
                <w:szCs w:val="14"/>
                <w:color w:val="auto"/>
              </w:rPr>
              <w:t>(I.R.S. Employer Identification No.)</w:t>
            </w:r>
          </w:p>
        </w:tc>
      </w:tr>
      <w:tr>
        <w:trPr>
          <w:trHeight w:val="263"/>
        </w:trPr>
        <w:tc>
          <w:tcPr>
            <w:tcW w:w="4600" w:type="dxa"/>
            <w:vAlign w:val="bottom"/>
          </w:tcPr>
          <w:p>
            <w:pPr>
              <w:spacing w:after="0"/>
              <w:rPr>
                <w:sz w:val="22"/>
                <w:szCs w:val="22"/>
                <w:color w:val="auto"/>
              </w:rPr>
            </w:pPr>
          </w:p>
        </w:tc>
        <w:tc>
          <w:tcPr>
            <w:tcW w:w="3580" w:type="dxa"/>
            <w:vAlign w:val="bottom"/>
          </w:tcPr>
          <w:p>
            <w:pPr>
              <w:jc w:val="center"/>
              <w:ind w:right="1308"/>
              <w:spacing w:after="0"/>
              <w:rPr>
                <w:sz w:val="20"/>
                <w:szCs w:val="20"/>
                <w:color w:val="auto"/>
              </w:rPr>
            </w:pPr>
            <w:r>
              <w:rPr>
                <w:rFonts w:ascii="Arial" w:cs="Arial" w:eastAsia="Arial" w:hAnsi="Arial"/>
                <w:sz w:val="14"/>
                <w:szCs w:val="14"/>
                <w:b w:val="1"/>
                <w:bCs w:val="1"/>
                <w:color w:val="auto"/>
              </w:rPr>
              <w:t>901 S. Bond Street, #600</w:t>
            </w:r>
          </w:p>
        </w:tc>
        <w:tc>
          <w:tcPr>
            <w:tcW w:w="3220" w:type="dxa"/>
            <w:vAlign w:val="bottom"/>
          </w:tcPr>
          <w:p>
            <w:pPr>
              <w:spacing w:after="0"/>
              <w:rPr>
                <w:sz w:val="22"/>
                <w:szCs w:val="22"/>
                <w:color w:val="auto"/>
              </w:rPr>
            </w:pPr>
          </w:p>
        </w:tc>
      </w:tr>
      <w:tr>
        <w:trPr>
          <w:trHeight w:val="164"/>
        </w:trPr>
        <w:tc>
          <w:tcPr>
            <w:tcW w:w="4600" w:type="dxa"/>
            <w:vAlign w:val="bottom"/>
          </w:tcPr>
          <w:p>
            <w:pPr>
              <w:spacing w:after="0"/>
              <w:rPr>
                <w:sz w:val="14"/>
                <w:szCs w:val="14"/>
                <w:color w:val="auto"/>
              </w:rPr>
            </w:pPr>
          </w:p>
        </w:tc>
        <w:tc>
          <w:tcPr>
            <w:tcW w:w="3580" w:type="dxa"/>
            <w:vAlign w:val="bottom"/>
          </w:tcPr>
          <w:p>
            <w:pPr>
              <w:jc w:val="center"/>
              <w:ind w:right="1328"/>
              <w:spacing w:after="0"/>
              <w:rPr>
                <w:sz w:val="20"/>
                <w:szCs w:val="20"/>
                <w:color w:val="auto"/>
              </w:rPr>
            </w:pPr>
            <w:r>
              <w:rPr>
                <w:rFonts w:ascii="Arial" w:cs="Arial" w:eastAsia="Arial" w:hAnsi="Arial"/>
                <w:sz w:val="14"/>
                <w:szCs w:val="14"/>
                <w:b w:val="1"/>
                <w:bCs w:val="1"/>
                <w:color w:val="auto"/>
              </w:rPr>
              <w:t>Baltimore, Maryland 21231</w:t>
            </w:r>
          </w:p>
        </w:tc>
        <w:tc>
          <w:tcPr>
            <w:tcW w:w="3220" w:type="dxa"/>
            <w:vAlign w:val="bottom"/>
          </w:tcPr>
          <w:p>
            <w:pPr>
              <w:spacing w:after="0"/>
              <w:rPr>
                <w:sz w:val="14"/>
                <w:szCs w:val="14"/>
                <w:color w:val="auto"/>
              </w:rPr>
            </w:pPr>
          </w:p>
        </w:tc>
      </w:tr>
      <w:tr>
        <w:trPr>
          <w:trHeight w:val="160"/>
        </w:trPr>
        <w:tc>
          <w:tcPr>
            <w:tcW w:w="8180" w:type="dxa"/>
            <w:vAlign w:val="bottom"/>
            <w:gridSpan w:val="2"/>
          </w:tcPr>
          <w:p>
            <w:pPr>
              <w:jc w:val="center"/>
              <w:ind w:left="3138"/>
              <w:spacing w:after="0"/>
              <w:rPr>
                <w:sz w:val="20"/>
                <w:szCs w:val="20"/>
                <w:color w:val="auto"/>
              </w:rPr>
            </w:pPr>
            <w:r>
              <w:rPr>
                <w:rFonts w:ascii="Arial" w:cs="Arial" w:eastAsia="Arial" w:hAnsi="Arial"/>
                <w:sz w:val="14"/>
                <w:szCs w:val="14"/>
                <w:color w:val="auto"/>
              </w:rPr>
              <w:t>(Address, including zip code, of principal executive offices)</w:t>
            </w:r>
          </w:p>
        </w:tc>
        <w:tc>
          <w:tcPr>
            <w:tcW w:w="3220" w:type="dxa"/>
            <w:vAlign w:val="bottom"/>
          </w:tcPr>
          <w:p>
            <w:pPr>
              <w:spacing w:after="0"/>
              <w:rPr>
                <w:sz w:val="13"/>
                <w:szCs w:val="13"/>
                <w:color w:val="auto"/>
              </w:rPr>
            </w:pPr>
          </w:p>
        </w:tc>
      </w:tr>
      <w:tr>
        <w:trPr>
          <w:trHeight w:val="164"/>
        </w:trPr>
        <w:tc>
          <w:tcPr>
            <w:tcW w:w="4600" w:type="dxa"/>
            <w:vAlign w:val="bottom"/>
          </w:tcPr>
          <w:p>
            <w:pPr>
              <w:spacing w:after="0"/>
              <w:rPr>
                <w:sz w:val="14"/>
                <w:szCs w:val="14"/>
                <w:color w:val="auto"/>
              </w:rPr>
            </w:pPr>
          </w:p>
        </w:tc>
        <w:tc>
          <w:tcPr>
            <w:tcW w:w="3580" w:type="dxa"/>
            <w:vAlign w:val="bottom"/>
          </w:tcPr>
          <w:p>
            <w:pPr>
              <w:jc w:val="center"/>
              <w:ind w:right="1328"/>
              <w:spacing w:after="0"/>
              <w:rPr>
                <w:sz w:val="20"/>
                <w:szCs w:val="20"/>
                <w:color w:val="auto"/>
              </w:rPr>
            </w:pPr>
            <w:r>
              <w:rPr>
                <w:rFonts w:ascii="Arial" w:cs="Arial" w:eastAsia="Arial" w:hAnsi="Arial"/>
                <w:sz w:val="14"/>
                <w:szCs w:val="14"/>
                <w:b w:val="1"/>
                <w:bCs w:val="1"/>
                <w:color w:val="auto"/>
              </w:rPr>
              <w:t>(410) 931-6000</w:t>
            </w:r>
          </w:p>
        </w:tc>
        <w:tc>
          <w:tcPr>
            <w:tcW w:w="3220" w:type="dxa"/>
            <w:vAlign w:val="bottom"/>
          </w:tcPr>
          <w:p>
            <w:pPr>
              <w:spacing w:after="0"/>
              <w:rPr>
                <w:sz w:val="14"/>
                <w:szCs w:val="14"/>
                <w:color w:val="auto"/>
              </w:rPr>
            </w:pPr>
          </w:p>
        </w:tc>
      </w:tr>
      <w:tr>
        <w:trPr>
          <w:trHeight w:val="194"/>
        </w:trPr>
        <w:tc>
          <w:tcPr>
            <w:tcW w:w="8180" w:type="dxa"/>
            <w:vAlign w:val="bottom"/>
            <w:gridSpan w:val="2"/>
          </w:tcPr>
          <w:p>
            <w:pPr>
              <w:jc w:val="center"/>
              <w:ind w:left="3118"/>
              <w:spacing w:after="0"/>
              <w:rPr>
                <w:sz w:val="20"/>
                <w:szCs w:val="20"/>
                <w:color w:val="auto"/>
              </w:rPr>
            </w:pPr>
            <w:r>
              <w:rPr>
                <w:rFonts w:ascii="Arial" w:cs="Arial" w:eastAsia="Arial" w:hAnsi="Arial"/>
                <w:sz w:val="14"/>
                <w:szCs w:val="14"/>
                <w:color w:val="auto"/>
              </w:rPr>
              <w:t>(Registrant’s telephone number, including area code)</w:t>
            </w:r>
          </w:p>
        </w:tc>
        <w:tc>
          <w:tcPr>
            <w:tcW w:w="3220" w:type="dxa"/>
            <w:vAlign w:val="bottom"/>
          </w:tcPr>
          <w:p>
            <w:pPr>
              <w:spacing w:after="0"/>
              <w:rPr>
                <w:sz w:val="16"/>
                <w:szCs w:val="16"/>
                <w:color w:val="auto"/>
              </w:rPr>
            </w:pPr>
          </w:p>
        </w:tc>
      </w:tr>
      <w:tr>
        <w:trPr>
          <w:trHeight w:val="270"/>
        </w:trPr>
        <w:tc>
          <w:tcPr>
            <w:tcW w:w="8180" w:type="dxa"/>
            <w:vAlign w:val="bottom"/>
            <w:gridSpan w:val="2"/>
          </w:tcPr>
          <w:p>
            <w:pPr>
              <w:jc w:val="center"/>
              <w:ind w:left="3118"/>
              <w:spacing w:after="0"/>
              <w:rPr>
                <w:sz w:val="20"/>
                <w:szCs w:val="20"/>
                <w:color w:val="auto"/>
              </w:rPr>
            </w:pPr>
            <w:r>
              <w:rPr>
                <w:rFonts w:ascii="Arial" w:cs="Arial" w:eastAsia="Arial" w:hAnsi="Arial"/>
                <w:sz w:val="14"/>
                <w:szCs w:val="14"/>
                <w:color w:val="auto"/>
              </w:rPr>
              <w:t>Securities registered pursuant to Section 12(b) of the Act:</w:t>
            </w:r>
          </w:p>
        </w:tc>
        <w:tc>
          <w:tcPr>
            <w:tcW w:w="3220" w:type="dxa"/>
            <w:vAlign w:val="bottom"/>
          </w:tcPr>
          <w:p>
            <w:pPr>
              <w:spacing w:after="0"/>
              <w:rPr>
                <w:sz w:val="23"/>
                <w:szCs w:val="23"/>
                <w:color w:val="auto"/>
              </w:rPr>
            </w:pPr>
          </w:p>
        </w:tc>
      </w:tr>
      <w:tr>
        <w:trPr>
          <w:trHeight w:val="223"/>
        </w:trPr>
        <w:tc>
          <w:tcPr>
            <w:tcW w:w="4600" w:type="dxa"/>
            <w:vAlign w:val="bottom"/>
            <w:tcBorders>
              <w:bottom w:val="single" w:sz="8" w:color="auto"/>
            </w:tcBorders>
          </w:tcPr>
          <w:p>
            <w:pPr>
              <w:jc w:val="center"/>
              <w:ind w:left="798"/>
              <w:spacing w:after="0"/>
              <w:rPr>
                <w:sz w:val="20"/>
                <w:szCs w:val="20"/>
                <w:color w:val="auto"/>
              </w:rPr>
            </w:pPr>
            <w:r>
              <w:rPr>
                <w:rFonts w:ascii="Arial" w:cs="Arial" w:eastAsia="Arial" w:hAnsi="Arial"/>
                <w:sz w:val="14"/>
                <w:szCs w:val="14"/>
                <w:b w:val="1"/>
                <w:bCs w:val="1"/>
                <w:color w:val="auto"/>
              </w:rPr>
              <w:t>Title of each class</w:t>
            </w:r>
          </w:p>
        </w:tc>
        <w:tc>
          <w:tcPr>
            <w:tcW w:w="358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Trading Symbol(s)</w:t>
            </w:r>
          </w:p>
        </w:tc>
        <w:tc>
          <w:tcPr>
            <w:tcW w:w="32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rPr>
              <w:t>Principal US Public Trading Market</w:t>
            </w:r>
          </w:p>
        </w:tc>
      </w:tr>
      <w:tr>
        <w:trPr>
          <w:trHeight w:val="203"/>
        </w:trPr>
        <w:tc>
          <w:tcPr>
            <w:tcW w:w="4600" w:type="dxa"/>
            <w:vAlign w:val="bottom"/>
          </w:tcPr>
          <w:p>
            <w:pPr>
              <w:jc w:val="center"/>
              <w:ind w:left="818"/>
              <w:spacing w:after="0"/>
              <w:rPr>
                <w:sz w:val="20"/>
                <w:szCs w:val="20"/>
                <w:color w:val="auto"/>
              </w:rPr>
            </w:pPr>
            <w:r>
              <w:rPr>
                <w:rFonts w:ascii="Arial" w:cs="Arial" w:eastAsia="Arial" w:hAnsi="Arial"/>
                <w:sz w:val="14"/>
                <w:szCs w:val="14"/>
                <w:color w:val="auto"/>
              </w:rPr>
              <w:t>Class A common stock, par value $0.0001 per share</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w w:val="97"/>
              </w:rPr>
              <w:t>WSC</w:t>
            </w:r>
          </w:p>
        </w:tc>
        <w:tc>
          <w:tcPr>
            <w:tcW w:w="3220" w:type="dxa"/>
            <w:vAlign w:val="bottom"/>
          </w:tcPr>
          <w:p>
            <w:pPr>
              <w:jc w:val="center"/>
              <w:ind w:right="368"/>
              <w:spacing w:after="0"/>
              <w:rPr>
                <w:sz w:val="20"/>
                <w:szCs w:val="20"/>
                <w:color w:val="auto"/>
              </w:rPr>
            </w:pPr>
            <w:r>
              <w:rPr>
                <w:rFonts w:ascii="Arial" w:cs="Arial" w:eastAsia="Arial" w:hAnsi="Arial"/>
                <w:sz w:val="14"/>
                <w:szCs w:val="14"/>
                <w:color w:val="auto"/>
              </w:rPr>
              <w:t>The Nasdaq Capital Market</w:t>
            </w:r>
          </w:p>
        </w:tc>
      </w:tr>
      <w:tr>
        <w:trPr>
          <w:trHeight w:val="216"/>
        </w:trPr>
        <w:tc>
          <w:tcPr>
            <w:tcW w:w="4600" w:type="dxa"/>
            <w:vAlign w:val="bottom"/>
          </w:tcPr>
          <w:p>
            <w:pPr>
              <w:jc w:val="center"/>
              <w:ind w:left="798"/>
              <w:spacing w:after="0"/>
              <w:rPr>
                <w:sz w:val="20"/>
                <w:szCs w:val="20"/>
                <w:color w:val="auto"/>
              </w:rPr>
            </w:pPr>
            <w:r>
              <w:rPr>
                <w:rFonts w:ascii="Arial" w:cs="Arial" w:eastAsia="Arial" w:hAnsi="Arial"/>
                <w:sz w:val="14"/>
                <w:szCs w:val="14"/>
                <w:color w:val="auto"/>
              </w:rPr>
              <w:t>Warrants to purchase Class A common stock(1)</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rPr>
              <w:t>WSCWW</w:t>
            </w:r>
          </w:p>
        </w:tc>
        <w:tc>
          <w:tcPr>
            <w:tcW w:w="3220" w:type="dxa"/>
            <w:vAlign w:val="bottom"/>
          </w:tcPr>
          <w:p>
            <w:pPr>
              <w:jc w:val="center"/>
              <w:ind w:right="368"/>
              <w:spacing w:after="0"/>
              <w:rPr>
                <w:sz w:val="20"/>
                <w:szCs w:val="20"/>
                <w:color w:val="auto"/>
              </w:rPr>
            </w:pPr>
            <w:r>
              <w:rPr>
                <w:rFonts w:ascii="Arial" w:cs="Arial" w:eastAsia="Arial" w:hAnsi="Arial"/>
                <w:sz w:val="14"/>
                <w:szCs w:val="14"/>
                <w:color w:val="auto"/>
              </w:rPr>
              <w:t>OTC Markets Group Inc.</w:t>
            </w:r>
          </w:p>
        </w:tc>
      </w:tr>
      <w:tr>
        <w:trPr>
          <w:trHeight w:val="216"/>
        </w:trPr>
        <w:tc>
          <w:tcPr>
            <w:tcW w:w="4600" w:type="dxa"/>
            <w:vAlign w:val="bottom"/>
          </w:tcPr>
          <w:p>
            <w:pPr>
              <w:jc w:val="center"/>
              <w:ind w:left="798"/>
              <w:spacing w:after="0"/>
              <w:rPr>
                <w:sz w:val="20"/>
                <w:szCs w:val="20"/>
                <w:color w:val="auto"/>
              </w:rPr>
            </w:pPr>
            <w:r>
              <w:rPr>
                <w:rFonts w:ascii="Arial" w:cs="Arial" w:eastAsia="Arial" w:hAnsi="Arial"/>
                <w:sz w:val="14"/>
                <w:szCs w:val="14"/>
                <w:color w:val="auto"/>
              </w:rPr>
              <w:t>Warrants to purchase Class A common stock(2)</w:t>
            </w:r>
          </w:p>
        </w:tc>
        <w:tc>
          <w:tcPr>
            <w:tcW w:w="3580" w:type="dxa"/>
            <w:vAlign w:val="bottom"/>
          </w:tcPr>
          <w:p>
            <w:pPr>
              <w:jc w:val="center"/>
              <w:ind w:left="388"/>
              <w:spacing w:after="0"/>
              <w:rPr>
                <w:sz w:val="20"/>
                <w:szCs w:val="20"/>
                <w:color w:val="auto"/>
              </w:rPr>
            </w:pPr>
            <w:r>
              <w:rPr>
                <w:rFonts w:ascii="Arial" w:cs="Arial" w:eastAsia="Arial" w:hAnsi="Arial"/>
                <w:sz w:val="14"/>
                <w:szCs w:val="14"/>
                <w:color w:val="auto"/>
              </w:rPr>
              <w:t>WSCTW</w:t>
            </w:r>
          </w:p>
        </w:tc>
        <w:tc>
          <w:tcPr>
            <w:tcW w:w="3220" w:type="dxa"/>
            <w:vAlign w:val="bottom"/>
          </w:tcPr>
          <w:p>
            <w:pPr>
              <w:jc w:val="center"/>
              <w:ind w:right="368"/>
              <w:spacing w:after="0"/>
              <w:rPr>
                <w:sz w:val="20"/>
                <w:szCs w:val="20"/>
                <w:color w:val="auto"/>
              </w:rPr>
            </w:pPr>
            <w:r>
              <w:rPr>
                <w:rFonts w:ascii="Arial" w:cs="Arial" w:eastAsia="Arial" w:hAnsi="Arial"/>
                <w:sz w:val="14"/>
                <w:szCs w:val="14"/>
                <w:color w:val="auto"/>
              </w:rPr>
              <w:t>OTC Markets Group Inc.</w:t>
            </w:r>
          </w:p>
        </w:tc>
      </w:tr>
    </w:tbl>
    <w:p>
      <w:pPr>
        <w:spacing w:after="0" w:line="94" w:lineRule="exact"/>
        <w:rPr>
          <w:sz w:val="24"/>
          <w:szCs w:val="24"/>
          <w:color w:val="auto"/>
        </w:rPr>
      </w:pPr>
    </w:p>
    <w:p>
      <w:pPr>
        <w:ind w:right="120" w:firstLine="8"/>
        <w:spacing w:after="0" w:line="229"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initial public offering of Double Eagle Acquisition Corp., the registrant’s legal predecessor company, in September 2015, which are exercisable for one-half of one share of the registrant’s Class A common stock for an exercise price of $5.75.</w:t>
      </w:r>
    </w:p>
    <w:p>
      <w:pPr>
        <w:ind w:right="120" w:firstLine="8"/>
        <w:spacing w:after="0" w:line="232" w:lineRule="auto"/>
        <w:tabs>
          <w:tab w:leader="none" w:pos="189" w:val="left"/>
        </w:tabs>
        <w:numPr>
          <w:ilvl w:val="0"/>
          <w:numId w:val="3"/>
        </w:numPr>
        <w:rPr>
          <w:rFonts w:ascii="Arial" w:cs="Arial" w:eastAsia="Arial" w:hAnsi="Arial"/>
          <w:sz w:val="13"/>
          <w:szCs w:val="13"/>
          <w:color w:val="auto"/>
        </w:rPr>
      </w:pPr>
      <w:r>
        <w:rPr>
          <w:rFonts w:ascii="Arial" w:cs="Arial" w:eastAsia="Arial" w:hAnsi="Arial"/>
          <w:sz w:val="13"/>
          <w:szCs w:val="13"/>
          <w:color w:val="auto"/>
        </w:rPr>
        <w:t>Issued in connection with the registrant’s acquisition of Modular Space Holdings, Inc. in August 2018, which are exercisable for one share of the registrant’s Class A common stock at an exercise price of $15.50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8890</wp:posOffset>
            </wp:positionV>
            <wp:extent cx="7237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43" w:lineRule="exact"/>
        <w:rPr>
          <w:sz w:val="24"/>
          <w:szCs w:val="24"/>
          <w:color w:val="auto"/>
        </w:rPr>
      </w:pPr>
    </w:p>
    <w:p>
      <w:pPr>
        <w:ind w:firstLine="648"/>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80" w:hanging="172"/>
        <w:spacing w:after="0" w:line="161" w:lineRule="exact"/>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54" w:lineRule="exact"/>
        <w:rPr>
          <w:sz w:val="24"/>
          <w:szCs w:val="24"/>
          <w:color w:val="auto"/>
        </w:rPr>
      </w:pPr>
    </w:p>
    <w:p>
      <w:pPr>
        <w:jc w:val="both"/>
        <w:ind w:firstLine="64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2"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ind w:left="60"/>
        <w:spacing w:after="0" w:line="161" w:lineRule="exact"/>
        <w:tabs>
          <w:tab w:leader="none" w:pos="57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ind w:left="57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440" w:right="239" w:bottom="1440" w:gutter="0" w:footer="0" w:header="0"/>
          <w:type w:val="continuous"/>
        </w:sectPr>
      </w:pPr>
    </w:p>
    <w:bookmarkStart w:id="1" w:name="page2"/>
    <w:bookmarkEnd w:id="1"/>
    <w:p>
      <w:pPr>
        <w:ind w:firstLine="64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0"/>
          <w:szCs w:val="20"/>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A common stock, par value $0.0001 per share, outstanding: 108,693,209 shares at April 22, 2019.</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Shares of Class B common stock, par value $0.0001 per share, outstanding: 8,024,419 shares at April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53"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23"/>
          <w:szCs w:val="23"/>
          <w:b w:val="1"/>
          <w:bCs w:val="1"/>
          <w:color w:val="008A5F"/>
        </w:rPr>
        <w:t>WILLSCOT CORPORATION</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008A5F"/>
        </w:rPr>
        <w:t>Quarterly Report on Form 10-Q</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Table of Contents</w:t>
      </w:r>
    </w:p>
    <w:p>
      <w:pPr>
        <w:spacing w:after="0" w:line="265" w:lineRule="exact"/>
        <w:rPr>
          <w:sz w:val="20"/>
          <w:szCs w:val="20"/>
          <w:color w:val="auto"/>
        </w:rPr>
      </w:pPr>
    </w:p>
    <w:p>
      <w:pPr>
        <w:ind w:left="20"/>
        <w:spacing w:after="0"/>
        <w:rPr>
          <w:rFonts w:ascii="Arial" w:cs="Arial" w:eastAsia="Arial" w:hAnsi="Arial"/>
          <w:sz w:val="16"/>
          <w:szCs w:val="16"/>
          <w:b w:val="1"/>
          <w:bCs w:val="1"/>
          <w:color w:val="auto"/>
        </w:rPr>
      </w:pPr>
      <w:hyperlink w:anchor="page3">
        <w:r>
          <w:rPr>
            <w:rFonts w:ascii="Arial" w:cs="Arial" w:eastAsia="Arial" w:hAnsi="Arial"/>
            <w:sz w:val="16"/>
            <w:szCs w:val="16"/>
            <w:b w:val="1"/>
            <w:bCs w:val="1"/>
            <w:color w:val="auto"/>
          </w:rPr>
          <w:t xml:space="preserve">PART I </w:t>
        </w:r>
      </w:hyperlink>
      <w:r>
        <w:rPr>
          <w:rFonts w:ascii="Arial" w:cs="Arial" w:eastAsia="Arial" w:hAnsi="Arial"/>
          <w:sz w:val="16"/>
          <w:szCs w:val="16"/>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237730"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90" w:lineRule="exact"/>
        <w:rPr>
          <w:sz w:val="20"/>
          <w:szCs w:val="20"/>
          <w:color w:val="auto"/>
        </w:rPr>
      </w:pPr>
    </w:p>
    <w:p>
      <w:pPr>
        <w:ind w:left="200"/>
        <w:spacing w:after="0"/>
        <w:tabs>
          <w:tab w:leader="none" w:pos="1060" w:val="left"/>
        </w:tabs>
        <w:rPr>
          <w:rFonts w:ascii="Arial" w:cs="Arial" w:eastAsia="Arial" w:hAnsi="Arial"/>
          <w:sz w:val="16"/>
          <w:szCs w:val="16"/>
          <w:color w:val="auto"/>
        </w:rPr>
      </w:pPr>
      <w:hyperlink w:anchor="page4">
        <w:r>
          <w:rPr>
            <w:rFonts w:ascii="Arial" w:cs="Arial" w:eastAsia="Arial" w:hAnsi="Arial"/>
            <w:sz w:val="16"/>
            <w:szCs w:val="16"/>
            <w:color w:val="auto"/>
          </w:rPr>
          <w:t>Item 1</w:t>
        </w:r>
      </w:hyperlink>
      <w:r>
        <w:rPr>
          <w:rFonts w:ascii="Arial" w:cs="Arial" w:eastAsia="Arial" w:hAnsi="Arial"/>
          <w:sz w:val="16"/>
          <w:szCs w:val="16"/>
          <w:color w:val="auto"/>
        </w:rPr>
        <w:tab/>
      </w:r>
      <w:hyperlink w:anchor="page4">
        <w:r>
          <w:rPr>
            <w:rFonts w:ascii="Arial" w:cs="Arial" w:eastAsia="Arial" w:hAnsi="Arial"/>
            <w:sz w:val="16"/>
            <w:szCs w:val="16"/>
            <w:color w:val="auto"/>
          </w:rPr>
          <w:t>Financial Statements (unaudited)</w:t>
        </w:r>
      </w:hyperlink>
    </w:p>
    <w:p>
      <w:pPr>
        <w:spacing w:after="0" w:line="208" w:lineRule="exact"/>
        <w:rPr>
          <w:sz w:val="20"/>
          <w:szCs w:val="20"/>
          <w:color w:val="auto"/>
        </w:rPr>
      </w:pPr>
    </w:p>
    <w:p>
      <w:pPr>
        <w:ind w:left="1260"/>
        <w:spacing w:after="0"/>
        <w:rPr>
          <w:rFonts w:ascii="Arial" w:cs="Arial" w:eastAsia="Arial" w:hAnsi="Arial"/>
          <w:sz w:val="16"/>
          <w:szCs w:val="16"/>
          <w:color w:val="auto"/>
        </w:rPr>
      </w:pPr>
      <w:hyperlink w:anchor="page4">
        <w:r>
          <w:rPr>
            <w:rFonts w:ascii="Arial" w:cs="Arial" w:eastAsia="Arial" w:hAnsi="Arial"/>
            <w:sz w:val="16"/>
            <w:szCs w:val="16"/>
            <w:color w:val="auto"/>
          </w:rPr>
          <w:t>Condensed Consolidated Balance Sheets as of March 31,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3773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1260" w:right="1760"/>
        <w:spacing w:after="0" w:line="519" w:lineRule="auto"/>
        <w:rPr>
          <w:rFonts w:ascii="Arial" w:cs="Arial" w:eastAsia="Arial" w:hAnsi="Arial"/>
          <w:sz w:val="16"/>
          <w:szCs w:val="16"/>
          <w:color w:val="auto"/>
        </w:rPr>
      </w:pPr>
      <w:hyperlink w:anchor="page4">
        <w:r>
          <w:rPr>
            <w:rFonts w:ascii="Arial" w:cs="Arial" w:eastAsia="Arial" w:hAnsi="Arial"/>
            <w:sz w:val="16"/>
            <w:szCs w:val="16"/>
            <w:color w:val="auto"/>
          </w:rPr>
          <w:t>Condensed Consolidated Statements of Operations for the Three Months Ended March 31, 2019 and 2018</w:t>
        </w:r>
      </w:hyperlink>
      <w:r>
        <w:rPr>
          <w:rFonts w:ascii="Arial" w:cs="Arial" w:eastAsia="Arial" w:hAnsi="Arial"/>
          <w:sz w:val="16"/>
          <w:szCs w:val="16"/>
          <w:color w:val="auto"/>
        </w:rPr>
        <w:t xml:space="preserve"> </w:t>
      </w:r>
      <w:hyperlink w:anchor="page5">
        <w:r>
          <w:rPr>
            <w:rFonts w:ascii="Arial" w:cs="Arial" w:eastAsia="Arial" w:hAnsi="Arial"/>
            <w:sz w:val="16"/>
            <w:szCs w:val="16"/>
            <w:color w:val="auto"/>
          </w:rPr>
          <w:t>Condensed Consolidated Statements of Comprehensive Loss for the Three Months Ended March 31,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-252730</wp:posOffset>
            </wp:positionV>
            <wp:extent cx="7237730" cy="248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ind w:left="1260" w:right="2040"/>
        <w:spacing w:after="0" w:line="344" w:lineRule="auto"/>
        <w:rPr>
          <w:rFonts w:ascii="Arial" w:cs="Arial" w:eastAsia="Arial" w:hAnsi="Arial"/>
          <w:sz w:val="16"/>
          <w:szCs w:val="16"/>
          <w:color w:val="auto"/>
        </w:rPr>
      </w:pPr>
      <w:r>
        <w:rPr>
          <w:rFonts w:ascii="Arial" w:cs="Arial" w:eastAsia="Arial" w:hAnsi="Arial"/>
          <w:sz w:val="16"/>
          <w:szCs w:val="16"/>
          <w:color w:val="auto"/>
        </w:rPr>
        <w:t xml:space="preserve">Condensed Consolidated Statement of Changes in Equity for the Three Months Ended March 31, 2019 and 2018 </w:t>
      </w:r>
      <w:hyperlink w:anchor="page7">
        <w:r>
          <w:rPr>
            <w:rFonts w:ascii="Arial" w:cs="Arial" w:eastAsia="Arial" w:hAnsi="Arial"/>
            <w:sz w:val="16"/>
            <w:szCs w:val="16"/>
            <w:color w:val="auto"/>
          </w:rPr>
          <w:t>Condensed Consolidated Statements of Cash Flows for the Three Months Ended March 31, 2019 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-185420</wp:posOffset>
            </wp:positionV>
            <wp:extent cx="723773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74" w:lineRule="exact"/>
        <w:rPr>
          <w:sz w:val="20"/>
          <w:szCs w:val="20"/>
          <w:color w:val="auto"/>
        </w:rPr>
      </w:pPr>
    </w:p>
    <w:p>
      <w:pPr>
        <w:ind w:left="1260"/>
        <w:spacing w:after="0"/>
        <w:rPr>
          <w:rFonts w:ascii="Arial" w:cs="Arial" w:eastAsia="Arial" w:hAnsi="Arial"/>
          <w:sz w:val="16"/>
          <w:szCs w:val="16"/>
          <w:color w:val="auto"/>
        </w:rPr>
      </w:pPr>
      <w:hyperlink w:anchor="page8">
        <w:r>
          <w:rPr>
            <w:rFonts w:ascii="Arial" w:cs="Arial" w:eastAsia="Arial" w:hAnsi="Arial"/>
            <w:sz w:val="16"/>
            <w:szCs w:val="16"/>
            <w:color w:val="auto"/>
          </w:rPr>
          <w:t>Notes to the Condensed Consolidated Financial Statements</w:t>
        </w:r>
      </w:hyperlink>
    </w:p>
    <w:p>
      <w:pPr>
        <w:spacing w:after="0" w:line="208" w:lineRule="exact"/>
        <w:rPr>
          <w:sz w:val="20"/>
          <w:szCs w:val="20"/>
          <w:color w:val="auto"/>
        </w:rPr>
      </w:pPr>
    </w:p>
    <w:p>
      <w:pPr>
        <w:ind w:left="200"/>
        <w:spacing w:after="0"/>
        <w:tabs>
          <w:tab w:leader="none" w:pos="1060" w:val="left"/>
        </w:tabs>
        <w:rPr>
          <w:rFonts w:ascii="Arial" w:cs="Arial" w:eastAsia="Arial" w:hAnsi="Arial"/>
          <w:sz w:val="16"/>
          <w:szCs w:val="16"/>
          <w:color w:val="auto"/>
        </w:rPr>
      </w:pPr>
      <w:hyperlink w:anchor="page27">
        <w:r>
          <w:rPr>
            <w:rFonts w:ascii="Arial" w:cs="Arial" w:eastAsia="Arial" w:hAnsi="Arial"/>
            <w:sz w:val="16"/>
            <w:szCs w:val="16"/>
            <w:color w:val="auto"/>
          </w:rPr>
          <w:t>Item 2</w:t>
        </w:r>
      </w:hyperlink>
      <w:r>
        <w:rPr>
          <w:rFonts w:ascii="Arial" w:cs="Arial" w:eastAsia="Arial" w:hAnsi="Arial"/>
          <w:sz w:val="16"/>
          <w:szCs w:val="16"/>
          <w:color w:val="auto"/>
        </w:rPr>
        <w:tab/>
      </w:r>
      <w:hyperlink w:anchor="page27">
        <w:r>
          <w:rPr>
            <w:rFonts w:ascii="Arial" w:cs="Arial" w:eastAsia="Arial" w:hAnsi="Arial"/>
            <w:sz w:val="16"/>
            <w:szCs w:val="16"/>
            <w:color w:val="auto"/>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3773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8" w:lineRule="exact"/>
        <w:rPr>
          <w:sz w:val="20"/>
          <w:szCs w:val="20"/>
          <w:color w:val="auto"/>
        </w:rPr>
      </w:pPr>
    </w:p>
    <w:p>
      <w:pPr>
        <w:ind w:left="200"/>
        <w:spacing w:after="0"/>
        <w:tabs>
          <w:tab w:leader="none" w:pos="1060" w:val="left"/>
        </w:tabs>
        <w:rPr>
          <w:rFonts w:ascii="Arial" w:cs="Arial" w:eastAsia="Arial" w:hAnsi="Arial"/>
          <w:sz w:val="16"/>
          <w:szCs w:val="16"/>
          <w:color w:val="auto"/>
        </w:rPr>
      </w:pPr>
      <w:hyperlink w:anchor="page37">
        <w:r>
          <w:rPr>
            <w:rFonts w:ascii="Arial" w:cs="Arial" w:eastAsia="Arial" w:hAnsi="Arial"/>
            <w:sz w:val="16"/>
            <w:szCs w:val="16"/>
            <w:color w:val="auto"/>
          </w:rPr>
          <w:t>Item 3</w:t>
        </w:r>
      </w:hyperlink>
      <w:r>
        <w:rPr>
          <w:rFonts w:ascii="Arial" w:cs="Arial" w:eastAsia="Arial" w:hAnsi="Arial"/>
          <w:sz w:val="16"/>
          <w:szCs w:val="16"/>
          <w:color w:val="auto"/>
        </w:rPr>
        <w:tab/>
      </w:r>
      <w:hyperlink w:anchor="page37">
        <w:r>
          <w:rPr>
            <w:rFonts w:ascii="Arial" w:cs="Arial" w:eastAsia="Arial" w:hAnsi="Arial"/>
            <w:sz w:val="16"/>
            <w:szCs w:val="16"/>
            <w:color w:val="auto"/>
          </w:rPr>
          <w:t>Quantitative and Qualitative Disclosures About Market Risk</w:t>
        </w:r>
      </w:hyperlink>
    </w:p>
    <w:p>
      <w:pPr>
        <w:spacing w:after="0" w:line="208" w:lineRule="exact"/>
        <w:rPr>
          <w:sz w:val="20"/>
          <w:szCs w:val="20"/>
          <w:color w:val="auto"/>
        </w:rPr>
      </w:pPr>
    </w:p>
    <w:p>
      <w:pPr>
        <w:ind w:left="200"/>
        <w:spacing w:after="0"/>
        <w:tabs>
          <w:tab w:leader="none" w:pos="1060" w:val="left"/>
        </w:tabs>
        <w:rPr>
          <w:rFonts w:ascii="Arial" w:cs="Arial" w:eastAsia="Arial" w:hAnsi="Arial"/>
          <w:sz w:val="16"/>
          <w:szCs w:val="16"/>
          <w:color w:val="auto"/>
        </w:rPr>
      </w:pPr>
      <w:hyperlink w:anchor="page38">
        <w:r>
          <w:rPr>
            <w:rFonts w:ascii="Arial" w:cs="Arial" w:eastAsia="Arial" w:hAnsi="Arial"/>
            <w:sz w:val="16"/>
            <w:szCs w:val="16"/>
            <w:color w:val="auto"/>
          </w:rPr>
          <w:t>Item 4</w:t>
        </w:r>
      </w:hyperlink>
      <w:r>
        <w:rPr>
          <w:rFonts w:ascii="Arial" w:cs="Arial" w:eastAsia="Arial" w:hAnsi="Arial"/>
          <w:sz w:val="16"/>
          <w:szCs w:val="16"/>
          <w:color w:val="auto"/>
        </w:rPr>
        <w:tab/>
      </w:r>
      <w:hyperlink w:anchor="page38">
        <w:r>
          <w:rPr>
            <w:rFonts w:ascii="Arial" w:cs="Arial" w:eastAsia="Arial" w:hAnsi="Arial"/>
            <w:sz w:val="16"/>
            <w:szCs w:val="16"/>
            <w:color w:val="auto"/>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3773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248920"/>
                    </a:xfrm>
                    <a:prstGeom prst="rect">
                      <a:avLst/>
                    </a:prstGeom>
                    <a:noFill/>
                  </pic:spPr>
                </pic:pic>
              </a:graphicData>
            </a:graphic>
          </wp:anchor>
        </w:drawing>
      </w:r>
    </w:p>
    <w:p>
      <w:pPr>
        <w:spacing w:after="0" w:line="186" w:lineRule="exact"/>
        <w:rPr>
          <w:sz w:val="20"/>
          <w:szCs w:val="20"/>
          <w:color w:val="auto"/>
        </w:rPr>
      </w:pPr>
    </w:p>
    <w:p>
      <w:pPr>
        <w:ind w:left="20"/>
        <w:spacing w:after="0"/>
        <w:rPr>
          <w:rFonts w:ascii="Arial" w:cs="Arial" w:eastAsia="Arial" w:hAnsi="Arial"/>
          <w:sz w:val="16"/>
          <w:szCs w:val="16"/>
          <w:b w:val="1"/>
          <w:bCs w:val="1"/>
          <w:color w:val="auto"/>
        </w:rPr>
      </w:pPr>
      <w:hyperlink w:anchor="page38">
        <w:r>
          <w:rPr>
            <w:rFonts w:ascii="Arial" w:cs="Arial" w:eastAsia="Arial" w:hAnsi="Arial"/>
            <w:sz w:val="16"/>
            <w:szCs w:val="16"/>
            <w:b w:val="1"/>
            <w:bCs w:val="1"/>
            <w:color w:val="auto"/>
          </w:rPr>
          <w:t xml:space="preserve">PART II </w:t>
        </w:r>
      </w:hyperlink>
      <w:r>
        <w:rPr>
          <w:rFonts w:ascii="Arial" w:cs="Arial" w:eastAsia="Arial" w:hAnsi="Arial"/>
          <w:sz w:val="16"/>
          <w:szCs w:val="16"/>
          <w:b w:val="1"/>
          <w:bCs w:val="1"/>
          <w:color w:val="auto"/>
        </w:rPr>
        <w:t>Other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shd w:val="clear" w:color="auto" w:fill="E7E7E8"/>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1</w:t>
              </w:r>
            </w:hyperlink>
          </w:p>
        </w:tc>
        <w:tc>
          <w:tcPr>
            <w:tcW w:w="10380" w:type="dxa"/>
            <w:vAlign w:val="bottom"/>
            <w:shd w:val="clear" w:color="auto" w:fill="E7E7E8"/>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Legal Proceedings</w:t>
              </w:r>
            </w:hyperlink>
          </w:p>
        </w:tc>
      </w:tr>
      <w:tr>
        <w:trPr>
          <w:trHeight w:val="153"/>
        </w:trPr>
        <w:tc>
          <w:tcPr>
            <w:tcW w:w="1020" w:type="dxa"/>
            <w:vAlign w:val="bottom"/>
            <w:shd w:val="clear" w:color="auto" w:fill="E7E7E8"/>
          </w:tcPr>
          <w:p>
            <w:pPr>
              <w:spacing w:after="0"/>
              <w:rPr>
                <w:sz w:val="13"/>
                <w:szCs w:val="13"/>
                <w:color w:val="auto"/>
              </w:rPr>
            </w:pPr>
          </w:p>
        </w:tc>
        <w:tc>
          <w:tcPr>
            <w:tcW w:w="10380" w:type="dxa"/>
            <w:vAlign w:val="bottom"/>
            <w:shd w:val="clear" w:color="auto" w:fill="E7E7E8"/>
          </w:tcPr>
          <w:p>
            <w:pPr>
              <w:spacing w:after="0"/>
              <w:rPr>
                <w:sz w:val="13"/>
                <w:szCs w:val="13"/>
                <w:color w:val="auto"/>
              </w:rPr>
            </w:pPr>
          </w:p>
        </w:tc>
      </w:tr>
      <w:tr>
        <w:trPr>
          <w:trHeight w:val="219"/>
        </w:trPr>
        <w:tc>
          <w:tcPr>
            <w:tcW w:w="1020" w:type="dxa"/>
            <w:vAlign w:val="bottom"/>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1A</w:t>
              </w:r>
            </w:hyperlink>
          </w:p>
        </w:tc>
        <w:tc>
          <w:tcPr>
            <w:tcW w:w="10380" w:type="dxa"/>
            <w:vAlign w:val="bottom"/>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Risk Factors</w:t>
              </w:r>
            </w:hyperlink>
          </w:p>
        </w:tc>
      </w:tr>
      <w:tr>
        <w:trPr>
          <w:trHeight w:val="173"/>
        </w:trPr>
        <w:tc>
          <w:tcPr>
            <w:tcW w:w="1020" w:type="dxa"/>
            <w:vAlign w:val="bottom"/>
          </w:tcPr>
          <w:p>
            <w:pPr>
              <w:spacing w:after="0"/>
              <w:rPr>
                <w:sz w:val="15"/>
                <w:szCs w:val="15"/>
                <w:color w:val="auto"/>
              </w:rPr>
            </w:pPr>
          </w:p>
        </w:tc>
        <w:tc>
          <w:tcPr>
            <w:tcW w:w="10380" w:type="dxa"/>
            <w:vAlign w:val="bottom"/>
          </w:tcPr>
          <w:p>
            <w:pPr>
              <w:spacing w:after="0"/>
              <w:rPr>
                <w:sz w:val="15"/>
                <w:szCs w:val="15"/>
                <w:color w:val="auto"/>
              </w:rPr>
            </w:pPr>
          </w:p>
        </w:tc>
      </w:tr>
      <w:tr>
        <w:trPr>
          <w:trHeight w:val="219"/>
        </w:trPr>
        <w:tc>
          <w:tcPr>
            <w:tcW w:w="1020" w:type="dxa"/>
            <w:vAlign w:val="bottom"/>
            <w:shd w:val="clear" w:color="auto" w:fill="E7E7E8"/>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2</w:t>
              </w:r>
            </w:hyperlink>
          </w:p>
        </w:tc>
        <w:tc>
          <w:tcPr>
            <w:tcW w:w="10380" w:type="dxa"/>
            <w:vAlign w:val="bottom"/>
            <w:shd w:val="clear" w:color="auto" w:fill="E7E7E8"/>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Unregistered Sales of Equity Securities and Use of Proceeds</w:t>
              </w:r>
            </w:hyperlink>
          </w:p>
        </w:tc>
      </w:tr>
      <w:tr>
        <w:trPr>
          <w:trHeight w:val="173"/>
        </w:trPr>
        <w:tc>
          <w:tcPr>
            <w:tcW w:w="1020" w:type="dxa"/>
            <w:vAlign w:val="bottom"/>
            <w:shd w:val="clear" w:color="auto" w:fill="E7E7E8"/>
          </w:tcPr>
          <w:p>
            <w:pPr>
              <w:spacing w:after="0"/>
              <w:rPr>
                <w:sz w:val="15"/>
                <w:szCs w:val="15"/>
                <w:color w:val="auto"/>
              </w:rPr>
            </w:pPr>
          </w:p>
        </w:tc>
        <w:tc>
          <w:tcPr>
            <w:tcW w:w="10380" w:type="dxa"/>
            <w:vAlign w:val="bottom"/>
            <w:shd w:val="clear" w:color="auto" w:fill="E7E7E8"/>
          </w:tcPr>
          <w:p>
            <w:pPr>
              <w:spacing w:after="0"/>
              <w:rPr>
                <w:sz w:val="15"/>
                <w:szCs w:val="15"/>
                <w:color w:val="auto"/>
              </w:rPr>
            </w:pPr>
          </w:p>
        </w:tc>
      </w:tr>
      <w:tr>
        <w:trPr>
          <w:trHeight w:val="219"/>
        </w:trPr>
        <w:tc>
          <w:tcPr>
            <w:tcW w:w="1020" w:type="dxa"/>
            <w:vAlign w:val="bottom"/>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3</w:t>
              </w:r>
            </w:hyperlink>
          </w:p>
        </w:tc>
        <w:tc>
          <w:tcPr>
            <w:tcW w:w="10380" w:type="dxa"/>
            <w:vAlign w:val="bottom"/>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Defaults Upon Senior Securities</w:t>
              </w:r>
            </w:hyperlink>
          </w:p>
        </w:tc>
      </w:tr>
      <w:tr>
        <w:trPr>
          <w:trHeight w:val="173"/>
        </w:trPr>
        <w:tc>
          <w:tcPr>
            <w:tcW w:w="1020" w:type="dxa"/>
            <w:vAlign w:val="bottom"/>
          </w:tcPr>
          <w:p>
            <w:pPr>
              <w:spacing w:after="0"/>
              <w:rPr>
                <w:sz w:val="15"/>
                <w:szCs w:val="15"/>
                <w:color w:val="auto"/>
              </w:rPr>
            </w:pPr>
          </w:p>
        </w:tc>
        <w:tc>
          <w:tcPr>
            <w:tcW w:w="10380" w:type="dxa"/>
            <w:vAlign w:val="bottom"/>
          </w:tcPr>
          <w:p>
            <w:pPr>
              <w:spacing w:after="0"/>
              <w:rPr>
                <w:sz w:val="15"/>
                <w:szCs w:val="15"/>
                <w:color w:val="auto"/>
              </w:rPr>
            </w:pPr>
          </w:p>
        </w:tc>
      </w:tr>
      <w:tr>
        <w:trPr>
          <w:trHeight w:val="219"/>
        </w:trPr>
        <w:tc>
          <w:tcPr>
            <w:tcW w:w="1020" w:type="dxa"/>
            <w:vAlign w:val="bottom"/>
            <w:shd w:val="clear" w:color="auto" w:fill="E7E7E8"/>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4</w:t>
              </w:r>
            </w:hyperlink>
          </w:p>
        </w:tc>
        <w:tc>
          <w:tcPr>
            <w:tcW w:w="10380" w:type="dxa"/>
            <w:vAlign w:val="bottom"/>
            <w:shd w:val="clear" w:color="auto" w:fill="E7E7E8"/>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Mine Safety Disclosures</w:t>
              </w:r>
            </w:hyperlink>
          </w:p>
        </w:tc>
      </w:tr>
      <w:tr>
        <w:trPr>
          <w:trHeight w:val="173"/>
        </w:trPr>
        <w:tc>
          <w:tcPr>
            <w:tcW w:w="1020" w:type="dxa"/>
            <w:vAlign w:val="bottom"/>
            <w:shd w:val="clear" w:color="auto" w:fill="E7E7E8"/>
          </w:tcPr>
          <w:p>
            <w:pPr>
              <w:spacing w:after="0"/>
              <w:rPr>
                <w:sz w:val="15"/>
                <w:szCs w:val="15"/>
                <w:color w:val="auto"/>
              </w:rPr>
            </w:pPr>
          </w:p>
        </w:tc>
        <w:tc>
          <w:tcPr>
            <w:tcW w:w="10380" w:type="dxa"/>
            <w:vAlign w:val="bottom"/>
            <w:shd w:val="clear" w:color="auto" w:fill="E7E7E8"/>
          </w:tcPr>
          <w:p>
            <w:pPr>
              <w:spacing w:after="0"/>
              <w:rPr>
                <w:sz w:val="15"/>
                <w:szCs w:val="15"/>
                <w:color w:val="auto"/>
              </w:rPr>
            </w:pPr>
          </w:p>
        </w:tc>
      </w:tr>
      <w:tr>
        <w:trPr>
          <w:trHeight w:val="219"/>
        </w:trPr>
        <w:tc>
          <w:tcPr>
            <w:tcW w:w="1020" w:type="dxa"/>
            <w:vAlign w:val="bottom"/>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5</w:t>
              </w:r>
            </w:hyperlink>
          </w:p>
        </w:tc>
        <w:tc>
          <w:tcPr>
            <w:tcW w:w="10380" w:type="dxa"/>
            <w:vAlign w:val="bottom"/>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Other Information</w:t>
              </w:r>
            </w:hyperlink>
          </w:p>
        </w:tc>
      </w:tr>
      <w:tr>
        <w:trPr>
          <w:trHeight w:val="173"/>
        </w:trPr>
        <w:tc>
          <w:tcPr>
            <w:tcW w:w="1020" w:type="dxa"/>
            <w:vAlign w:val="bottom"/>
          </w:tcPr>
          <w:p>
            <w:pPr>
              <w:spacing w:after="0"/>
              <w:rPr>
                <w:sz w:val="15"/>
                <w:szCs w:val="15"/>
                <w:color w:val="auto"/>
              </w:rPr>
            </w:pPr>
          </w:p>
        </w:tc>
        <w:tc>
          <w:tcPr>
            <w:tcW w:w="10380" w:type="dxa"/>
            <w:vAlign w:val="bottom"/>
          </w:tcPr>
          <w:p>
            <w:pPr>
              <w:spacing w:after="0"/>
              <w:rPr>
                <w:sz w:val="15"/>
                <w:szCs w:val="15"/>
                <w:color w:val="auto"/>
              </w:rPr>
            </w:pPr>
          </w:p>
        </w:tc>
      </w:tr>
      <w:tr>
        <w:trPr>
          <w:trHeight w:val="219"/>
        </w:trPr>
        <w:tc>
          <w:tcPr>
            <w:tcW w:w="1020" w:type="dxa"/>
            <w:vAlign w:val="bottom"/>
            <w:shd w:val="clear" w:color="auto" w:fill="E7E7E8"/>
          </w:tcPr>
          <w:p>
            <w:pPr>
              <w:ind w:left="200"/>
              <w:spacing w:after="0"/>
              <w:rPr>
                <w:rFonts w:ascii="Arial" w:cs="Arial" w:eastAsia="Arial" w:hAnsi="Arial"/>
                <w:sz w:val="16"/>
                <w:szCs w:val="16"/>
                <w:color w:val="auto"/>
              </w:rPr>
            </w:pPr>
            <w:hyperlink w:anchor="page39">
              <w:r>
                <w:rPr>
                  <w:rFonts w:ascii="Arial" w:cs="Arial" w:eastAsia="Arial" w:hAnsi="Arial"/>
                  <w:sz w:val="16"/>
                  <w:szCs w:val="16"/>
                  <w:color w:val="auto"/>
                </w:rPr>
                <w:t>Item 6</w:t>
              </w:r>
            </w:hyperlink>
          </w:p>
        </w:tc>
        <w:tc>
          <w:tcPr>
            <w:tcW w:w="10380" w:type="dxa"/>
            <w:vAlign w:val="bottom"/>
            <w:shd w:val="clear" w:color="auto" w:fill="E7E7E8"/>
          </w:tcPr>
          <w:p>
            <w:pPr>
              <w:ind w:left="60"/>
              <w:spacing w:after="0"/>
              <w:rPr>
                <w:rFonts w:ascii="Arial" w:cs="Arial" w:eastAsia="Arial" w:hAnsi="Arial"/>
                <w:sz w:val="16"/>
                <w:szCs w:val="16"/>
                <w:color w:val="auto"/>
              </w:rPr>
            </w:pPr>
            <w:hyperlink w:anchor="page39">
              <w:r>
                <w:rPr>
                  <w:rFonts w:ascii="Arial" w:cs="Arial" w:eastAsia="Arial" w:hAnsi="Arial"/>
                  <w:sz w:val="16"/>
                  <w:szCs w:val="16"/>
                  <w:color w:val="auto"/>
                </w:rPr>
                <w:t>Exhibits</w:t>
              </w:r>
            </w:hyperlink>
          </w:p>
        </w:tc>
      </w:tr>
      <w:tr>
        <w:trPr>
          <w:trHeight w:val="173"/>
        </w:trPr>
        <w:tc>
          <w:tcPr>
            <w:tcW w:w="1020" w:type="dxa"/>
            <w:vAlign w:val="bottom"/>
            <w:shd w:val="clear" w:color="auto" w:fill="E7E7E8"/>
          </w:tcPr>
          <w:p>
            <w:pPr>
              <w:spacing w:after="0"/>
              <w:rPr>
                <w:sz w:val="15"/>
                <w:szCs w:val="15"/>
                <w:color w:val="auto"/>
              </w:rPr>
            </w:pPr>
          </w:p>
        </w:tc>
        <w:tc>
          <w:tcPr>
            <w:tcW w:w="10380" w:type="dxa"/>
            <w:vAlign w:val="bottom"/>
            <w:shd w:val="clear" w:color="auto" w:fill="E7E7E8"/>
          </w:tcPr>
          <w:p>
            <w:pPr>
              <w:spacing w:after="0"/>
              <w:rPr>
                <w:sz w:val="15"/>
                <w:szCs w:val="15"/>
                <w:color w:val="auto"/>
              </w:rPr>
            </w:pPr>
          </w:p>
        </w:tc>
      </w:tr>
      <w:tr>
        <w:trPr>
          <w:trHeight w:val="229"/>
        </w:trPr>
        <w:tc>
          <w:tcPr>
            <w:tcW w:w="1020" w:type="dxa"/>
            <w:vAlign w:val="bottom"/>
          </w:tcPr>
          <w:p>
            <w:pPr>
              <w:ind w:left="20"/>
              <w:spacing w:after="0"/>
              <w:rPr>
                <w:rFonts w:ascii="Arial" w:cs="Arial" w:eastAsia="Arial" w:hAnsi="Arial"/>
                <w:sz w:val="16"/>
                <w:szCs w:val="16"/>
                <w:b w:val="1"/>
                <w:bCs w:val="1"/>
                <w:color w:val="auto"/>
              </w:rPr>
            </w:pPr>
            <w:hyperlink w:anchor="page40">
              <w:r>
                <w:rPr>
                  <w:rFonts w:ascii="Arial" w:cs="Arial" w:eastAsia="Arial" w:hAnsi="Arial"/>
                  <w:sz w:val="16"/>
                  <w:szCs w:val="16"/>
                  <w:b w:val="1"/>
                  <w:bCs w:val="1"/>
                  <w:color w:val="auto"/>
                </w:rPr>
                <w:t>SIGNATURE</w:t>
              </w:r>
            </w:hyperlink>
          </w:p>
        </w:tc>
        <w:tc>
          <w:tcPr>
            <w:tcW w:w="10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1084" w:right="239" w:bottom="1440" w:gutter="0" w:footer="0" w:header="0"/>
        </w:sectPr>
      </w:pPr>
    </w:p>
    <w:bookmarkStart w:id="3" w:name="page4"/>
    <w:bookmarkEnd w:id="3"/>
    <w:p>
      <w:pPr>
        <w:ind w:left="5080"/>
        <w:spacing w:after="0"/>
        <w:rPr>
          <w:sz w:val="20"/>
          <w:szCs w:val="20"/>
          <w:color w:val="auto"/>
        </w:rPr>
      </w:pPr>
      <w:r>
        <w:rPr>
          <w:rFonts w:ascii="Arial" w:cs="Arial" w:eastAsia="Arial" w:hAnsi="Arial"/>
          <w:sz w:val="40"/>
          <w:szCs w:val="40"/>
          <w:b w:val="1"/>
          <w:bCs w:val="1"/>
          <w:color w:val="008A5F"/>
        </w:rPr>
        <w:t>PART I</w:t>
      </w:r>
    </w:p>
    <w:p>
      <w:pPr>
        <w:spacing w:after="0" w:line="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Financial Statements</w:t>
      </w:r>
    </w:p>
    <w:p>
      <w:pPr>
        <w:jc w:val="center"/>
        <w:spacing w:after="0"/>
        <w:rPr>
          <w:sz w:val="20"/>
          <w:szCs w:val="20"/>
          <w:color w:val="auto"/>
        </w:rPr>
      </w:pPr>
      <w:r>
        <w:rPr>
          <w:rFonts w:ascii="Arial" w:cs="Arial" w:eastAsia="Arial" w:hAnsi="Arial"/>
          <w:sz w:val="23"/>
          <w:szCs w:val="23"/>
          <w:color w:val="008A5F"/>
        </w:rPr>
        <w:t>WillScot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3"/>
          <w:szCs w:val="23"/>
          <w:color w:val="008A5F"/>
        </w:rPr>
        <w:t>Condensed Consolidated Balance Sheets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00" w:type="dxa"/>
            <w:vAlign w:val="bottom"/>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16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March 31, 2019</w:t>
            </w:r>
          </w:p>
        </w:tc>
        <w:tc>
          <w:tcPr>
            <w:tcW w:w="440" w:type="dxa"/>
            <w:vAlign w:val="bottom"/>
            <w:shd w:val="clear" w:color="auto" w:fill="008A5F"/>
          </w:tcPr>
          <w:p>
            <w:pPr>
              <w:spacing w:after="0"/>
              <w:rPr>
                <w:sz w:val="16"/>
                <w:szCs w:val="16"/>
                <w:color w:val="auto"/>
              </w:rPr>
            </w:pPr>
          </w:p>
        </w:tc>
        <w:tc>
          <w:tcPr>
            <w:tcW w:w="1200" w:type="dxa"/>
            <w:vAlign w:val="bottom"/>
            <w:shd w:val="clear" w:color="auto" w:fill="008A5F"/>
          </w:tcPr>
          <w:p>
            <w:pPr>
              <w:spacing w:after="0"/>
              <w:rPr>
                <w:sz w:val="16"/>
                <w:szCs w:val="16"/>
                <w:color w:val="auto"/>
              </w:rPr>
            </w:pPr>
          </w:p>
        </w:tc>
      </w:tr>
      <w:tr>
        <w:trPr>
          <w:trHeight w:val="236"/>
        </w:trPr>
        <w:tc>
          <w:tcPr>
            <w:tcW w:w="80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16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(unaudited)</w:t>
            </w:r>
          </w:p>
        </w:tc>
        <w:tc>
          <w:tcPr>
            <w:tcW w:w="1640" w:type="dxa"/>
            <w:vAlign w:val="bottom"/>
            <w:gridSpan w:val="2"/>
            <w:shd w:val="clear" w:color="auto" w:fill="008A5F"/>
          </w:tcPr>
          <w:p>
            <w:pPr>
              <w:jc w:val="right"/>
              <w:ind w:right="1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spacing w:after="0"/>
              <w:rPr>
                <w:sz w:val="21"/>
                <w:szCs w:val="2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12,779</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206"/>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 net of allowances for doubtful accounts at March 31, 2019 and December 31, 2018 of</w:t>
            </w:r>
          </w:p>
        </w:tc>
        <w:tc>
          <w:tcPr>
            <w:tcW w:w="160" w:type="dxa"/>
            <w:vAlign w:val="bottom"/>
            <w:shd w:val="clear" w:color="auto" w:fill="E7E7E8"/>
          </w:tcPr>
          <w:p>
            <w:pPr>
              <w:spacing w:after="0"/>
              <w:rPr>
                <w:sz w:val="17"/>
                <w:szCs w:val="17"/>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229,563</w:t>
            </w: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206,502</w:t>
            </w:r>
          </w:p>
        </w:tc>
      </w:tr>
      <w:tr>
        <w:trPr>
          <w:trHeight w:val="234"/>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$11,889 and $9,340, respectively</w:t>
            </w:r>
          </w:p>
        </w:tc>
        <w:tc>
          <w:tcPr>
            <w:tcW w:w="160" w:type="dxa"/>
            <w:vAlign w:val="bottom"/>
            <w:shd w:val="clear" w:color="auto" w:fill="E7E7E8"/>
          </w:tcPr>
          <w:p>
            <w:pPr>
              <w:spacing w:after="0"/>
              <w:rPr>
                <w:sz w:val="20"/>
                <w:szCs w:val="20"/>
                <w:color w:val="auto"/>
              </w:rPr>
            </w:pPr>
          </w:p>
        </w:tc>
        <w:tc>
          <w:tcPr>
            <w:tcW w:w="148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200" w:type="dxa"/>
            <w:vAlign w:val="bottom"/>
            <w:shd w:val="clear" w:color="auto" w:fill="E7E7E8"/>
          </w:tcPr>
          <w:p>
            <w:pPr>
              <w:spacing w:after="0"/>
              <w:rPr>
                <w:sz w:val="20"/>
                <w:szCs w:val="20"/>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17,412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16,218</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22,039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21,828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Assets held for sale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20,962</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302,755</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256,347</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Rental equipment, net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1,940,617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1,929,290</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167,464</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183,750</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242,984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247,017</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131,246</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131,801</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5,461</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long-term assets</w:t>
            </w:r>
          </w:p>
        </w:tc>
        <w:tc>
          <w:tcPr>
            <w:tcW w:w="16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2,487,772</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2,496,138</w:t>
            </w: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2,790,527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2,752,485</w:t>
            </w:r>
          </w:p>
        </w:tc>
      </w:tr>
      <w:tr>
        <w:trPr>
          <w:trHeight w:val="21"/>
        </w:trPr>
        <w:tc>
          <w:tcPr>
            <w:tcW w:w="8000" w:type="dxa"/>
            <w:vAlign w:val="bottom"/>
            <w:tcBorders>
              <w:bottom w:val="single" w:sz="8" w:color="E7E7E8"/>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E7E7E8"/>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6"/>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Liabilities and equity</w:t>
            </w:r>
          </w:p>
        </w:tc>
        <w:tc>
          <w:tcPr>
            <w:tcW w:w="160" w:type="dxa"/>
            <w:vAlign w:val="bottom"/>
            <w:shd w:val="clear" w:color="auto" w:fill="E7E7E8"/>
          </w:tcPr>
          <w:p>
            <w:pPr>
              <w:spacing w:after="0"/>
              <w:rPr>
                <w:sz w:val="18"/>
                <w:szCs w:val="18"/>
                <w:color w:val="auto"/>
              </w:rPr>
            </w:pPr>
          </w:p>
        </w:tc>
        <w:tc>
          <w:tcPr>
            <w:tcW w:w="148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440" w:type="dxa"/>
            <w:vAlign w:val="bottom"/>
            <w:shd w:val="clear" w:color="auto" w:fill="E7E7E8"/>
          </w:tcPr>
          <w:p>
            <w:pPr>
              <w:spacing w:after="0"/>
              <w:rPr>
                <w:sz w:val="18"/>
                <w:szCs w:val="18"/>
                <w:color w:val="auto"/>
              </w:rPr>
            </w:pPr>
          </w:p>
        </w:tc>
        <w:tc>
          <w:tcPr>
            <w:tcW w:w="1200" w:type="dxa"/>
            <w:vAlign w:val="bottom"/>
            <w:shd w:val="clear" w:color="auto" w:fill="E7E7E8"/>
          </w:tcPr>
          <w:p>
            <w:pPr>
              <w:spacing w:after="0"/>
              <w:rPr>
                <w:sz w:val="18"/>
                <w:szCs w:val="18"/>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96,184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90,353</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88,680</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84,696</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14,669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20,237</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74,616</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71,778</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Total current liabilities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276,139</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269,023</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1,709,266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1,674,540</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Deferred tax liabilities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68,297</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67,384</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7,723</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33,887</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31,618</w:t>
            </w:r>
          </w:p>
        </w:tc>
      </w:tr>
      <w:tr>
        <w:trPr>
          <w:trHeight w:val="230"/>
        </w:trPr>
        <w:tc>
          <w:tcPr>
            <w:tcW w:w="8000" w:type="dxa"/>
            <w:vAlign w:val="bottom"/>
            <w:tcBorders>
              <w:bottom w:val="single" w:sz="8" w:color="E7E7E8"/>
            </w:tcBorders>
          </w:tcPr>
          <w:p>
            <w:pPr>
              <w:ind w:left="420"/>
              <w:spacing w:after="0"/>
              <w:rPr>
                <w:sz w:val="20"/>
                <w:szCs w:val="20"/>
                <w:color w:val="auto"/>
              </w:rPr>
            </w:pPr>
            <w:r>
              <w:rPr>
                <w:rFonts w:ascii="Arial" w:cs="Arial" w:eastAsia="Arial" w:hAnsi="Arial"/>
                <w:sz w:val="16"/>
                <w:szCs w:val="16"/>
                <w:color w:val="auto"/>
              </w:rPr>
              <w:t>Long-term liabilities</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1,820,457</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1,781,265</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2,096,596</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2,050,288</w:t>
            </w: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14)</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06"/>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Class A common stock: $0.0001 par, 400,000,000 shares authorized at March 31, 2019 and December 31,</w:t>
            </w:r>
          </w:p>
        </w:tc>
        <w:tc>
          <w:tcPr>
            <w:tcW w:w="160" w:type="dxa"/>
            <w:vAlign w:val="bottom"/>
            <w:shd w:val="clear" w:color="auto" w:fill="E7E7E8"/>
          </w:tcPr>
          <w:p>
            <w:pPr>
              <w:spacing w:after="0"/>
              <w:rPr>
                <w:sz w:val="17"/>
                <w:szCs w:val="17"/>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E7E7E8"/>
          </w:tcPr>
          <w:p>
            <w:pPr>
              <w:spacing w:after="0"/>
              <w:rPr>
                <w:sz w:val="17"/>
                <w:szCs w:val="17"/>
                <w:color w:val="auto"/>
              </w:rPr>
            </w:pPr>
          </w:p>
        </w:tc>
        <w:tc>
          <w:tcPr>
            <w:tcW w:w="440" w:type="dxa"/>
            <w:vAlign w:val="bottom"/>
            <w:shd w:val="clear" w:color="auto" w:fill="E7E7E8"/>
          </w:tcPr>
          <w:p>
            <w:pPr>
              <w:spacing w:after="0"/>
              <w:rPr>
                <w:sz w:val="17"/>
                <w:szCs w:val="17"/>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2018; 108,693,209 and 108,508,997 shares issued and outstanding at March 31, 2019 and December 31,</w:t>
            </w:r>
          </w:p>
        </w:tc>
        <w:tc>
          <w:tcPr>
            <w:tcW w:w="160" w:type="dxa"/>
            <w:vAlign w:val="bottom"/>
            <w:shd w:val="clear" w:color="auto" w:fill="E7E7E8"/>
          </w:tcPr>
          <w:p>
            <w:pPr>
              <w:spacing w:after="0"/>
              <w:rPr>
                <w:sz w:val="16"/>
                <w:szCs w:val="16"/>
                <w:color w:val="auto"/>
              </w:rPr>
            </w:pPr>
          </w:p>
        </w:tc>
        <w:tc>
          <w:tcPr>
            <w:tcW w:w="148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440" w:type="dxa"/>
            <w:vAlign w:val="bottom"/>
            <w:shd w:val="clear" w:color="auto" w:fill="E7E7E8"/>
          </w:tcPr>
          <w:p>
            <w:pPr>
              <w:spacing w:after="0"/>
              <w:rPr>
                <w:sz w:val="16"/>
                <w:szCs w:val="16"/>
                <w:color w:val="auto"/>
              </w:rPr>
            </w:pPr>
          </w:p>
        </w:tc>
        <w:tc>
          <w:tcPr>
            <w:tcW w:w="1200" w:type="dxa"/>
            <w:vAlign w:val="bottom"/>
            <w:shd w:val="clear" w:color="auto" w:fill="E7E7E8"/>
          </w:tcPr>
          <w:p>
            <w:pPr>
              <w:spacing w:after="0"/>
              <w:rPr>
                <w:sz w:val="16"/>
                <w:szCs w:val="16"/>
                <w:color w:val="auto"/>
              </w:rPr>
            </w:pPr>
          </w:p>
        </w:tc>
      </w:tr>
      <w:tr>
        <w:trPr>
          <w:trHeight w:val="234"/>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2018, respectively</w:t>
            </w:r>
          </w:p>
        </w:tc>
        <w:tc>
          <w:tcPr>
            <w:tcW w:w="160" w:type="dxa"/>
            <w:vAlign w:val="bottom"/>
            <w:shd w:val="clear" w:color="auto" w:fill="E7E7E8"/>
          </w:tcPr>
          <w:p>
            <w:pPr>
              <w:spacing w:after="0"/>
              <w:rPr>
                <w:sz w:val="20"/>
                <w:szCs w:val="20"/>
                <w:color w:val="auto"/>
              </w:rPr>
            </w:pPr>
          </w:p>
        </w:tc>
        <w:tc>
          <w:tcPr>
            <w:tcW w:w="1480" w:type="dxa"/>
            <w:vAlign w:val="bottom"/>
            <w:shd w:val="clear" w:color="auto" w:fill="E7E7E8"/>
          </w:tcPr>
          <w:p>
            <w:pPr>
              <w:spacing w:after="0"/>
              <w:rPr>
                <w:sz w:val="20"/>
                <w:szCs w:val="20"/>
                <w:color w:val="auto"/>
              </w:rPr>
            </w:pPr>
          </w:p>
        </w:tc>
        <w:tc>
          <w:tcPr>
            <w:tcW w:w="120" w:type="dxa"/>
            <w:vAlign w:val="bottom"/>
            <w:shd w:val="clear" w:color="auto" w:fill="E7E7E8"/>
          </w:tcPr>
          <w:p>
            <w:pPr>
              <w:spacing w:after="0"/>
              <w:rPr>
                <w:sz w:val="20"/>
                <w:szCs w:val="20"/>
                <w:color w:val="auto"/>
              </w:rPr>
            </w:pPr>
          </w:p>
        </w:tc>
        <w:tc>
          <w:tcPr>
            <w:tcW w:w="440" w:type="dxa"/>
            <w:vAlign w:val="bottom"/>
            <w:shd w:val="clear" w:color="auto" w:fill="E7E7E8"/>
          </w:tcPr>
          <w:p>
            <w:pPr>
              <w:spacing w:after="0"/>
              <w:rPr>
                <w:sz w:val="20"/>
                <w:szCs w:val="20"/>
                <w:color w:val="auto"/>
              </w:rPr>
            </w:pPr>
          </w:p>
        </w:tc>
        <w:tc>
          <w:tcPr>
            <w:tcW w:w="1200" w:type="dxa"/>
            <w:vAlign w:val="bottom"/>
            <w:shd w:val="clear" w:color="auto" w:fill="E7E7E8"/>
          </w:tcPr>
          <w:p>
            <w:pPr>
              <w:spacing w:after="0"/>
              <w:rPr>
                <w:sz w:val="20"/>
                <w:szCs w:val="20"/>
                <w:color w:val="auto"/>
              </w:rPr>
            </w:pPr>
          </w:p>
        </w:tc>
      </w:tr>
      <w:tr>
        <w:trPr>
          <w:trHeight w:val="198"/>
        </w:trPr>
        <w:tc>
          <w:tcPr>
            <w:tcW w:w="8000" w:type="dxa"/>
            <w:vAlign w:val="bottom"/>
          </w:tcPr>
          <w:p>
            <w:pPr>
              <w:ind w:left="220"/>
              <w:spacing w:after="0"/>
              <w:rPr>
                <w:sz w:val="20"/>
                <w:szCs w:val="20"/>
                <w:color w:val="auto"/>
              </w:rPr>
            </w:pPr>
            <w:r>
              <w:rPr>
                <w:rFonts w:ascii="Arial" w:cs="Arial" w:eastAsia="Arial" w:hAnsi="Arial"/>
                <w:sz w:val="16"/>
                <w:szCs w:val="16"/>
                <w:color w:val="auto"/>
              </w:rPr>
              <w:t>Class B common stock: $0.0001 par, 100,000,000 shares authorized at March 31, 2019 and December 31,</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6"/>
        </w:trPr>
        <w:tc>
          <w:tcPr>
            <w:tcW w:w="8000" w:type="dxa"/>
            <w:vAlign w:val="bottom"/>
          </w:tcPr>
          <w:p>
            <w:pPr>
              <w:ind w:left="220"/>
              <w:spacing w:after="0"/>
              <w:rPr>
                <w:sz w:val="20"/>
                <w:szCs w:val="20"/>
                <w:color w:val="auto"/>
              </w:rPr>
            </w:pPr>
            <w:r>
              <w:rPr>
                <w:rFonts w:ascii="Arial" w:cs="Arial" w:eastAsia="Arial" w:hAnsi="Arial"/>
                <w:sz w:val="16"/>
                <w:szCs w:val="16"/>
                <w:color w:val="auto"/>
              </w:rPr>
              <w:t>2018; 8,024,419 shares issued and outstanding at March 31, 2019 and December 31, 2018</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Additional paid-in-capital</w:t>
            </w:r>
          </w:p>
        </w:tc>
        <w:tc>
          <w:tcPr>
            <w:tcW w:w="16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2,390,184</w:t>
            </w:r>
          </w:p>
        </w:tc>
        <w:tc>
          <w:tcPr>
            <w:tcW w:w="120" w:type="dxa"/>
            <w:vAlign w:val="bottom"/>
            <w:shd w:val="clear" w:color="auto" w:fill="E7E7E8"/>
          </w:tcPr>
          <w:p>
            <w:pPr>
              <w:spacing w:after="0"/>
              <w:rPr>
                <w:sz w:val="21"/>
                <w:szCs w:val="21"/>
                <w:color w:val="auto"/>
              </w:rPr>
            </w:pPr>
          </w:p>
        </w:tc>
        <w:tc>
          <w:tcPr>
            <w:tcW w:w="440" w:type="dxa"/>
            <w:vAlign w:val="bottom"/>
            <w:shd w:val="clear" w:color="auto" w:fill="E7E7E8"/>
          </w:tcPr>
          <w:p>
            <w:pPr>
              <w:spacing w:after="0"/>
              <w:rPr>
                <w:sz w:val="21"/>
                <w:szCs w:val="21"/>
                <w:color w:val="auto"/>
              </w:rPr>
            </w:pP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2,389,548</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(66,278)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(68,026)</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(1,693,275)</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(1,683,319)</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Total shareholders' equity</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630,643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638,215</w:t>
            </w:r>
          </w:p>
        </w:tc>
      </w:tr>
      <w:tr>
        <w:trPr>
          <w:trHeight w:val="251"/>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shd w:val="clear" w:color="auto" w:fill="E7E7E8"/>
          </w:tcPr>
          <w:p>
            <w:pPr>
              <w:spacing w:after="0"/>
              <w:rPr>
                <w:sz w:val="21"/>
                <w:szCs w:val="21"/>
                <w:color w:val="auto"/>
              </w:rPr>
            </w:pP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63,288</w:t>
            </w:r>
          </w:p>
        </w:tc>
        <w:tc>
          <w:tcPr>
            <w:tcW w:w="120" w:type="dxa"/>
            <w:vAlign w:val="bottom"/>
            <w:shd w:val="clear" w:color="auto" w:fill="E7E7E8"/>
          </w:tcPr>
          <w:p>
            <w:pPr>
              <w:spacing w:after="0"/>
              <w:rPr>
                <w:sz w:val="21"/>
                <w:szCs w:val="21"/>
                <w:color w:val="auto"/>
              </w:rPr>
            </w:pPr>
          </w:p>
        </w:tc>
        <w:tc>
          <w:tcPr>
            <w:tcW w:w="440" w:type="dxa"/>
            <w:vAlign w:val="bottom"/>
            <w:tcBorders>
              <w:bottom w:val="single" w:sz="8" w:color="auto"/>
            </w:tcBorders>
            <w:shd w:val="clear" w:color="auto" w:fill="E7E7E8"/>
          </w:tcPr>
          <w:p>
            <w:pPr>
              <w:spacing w:after="0"/>
              <w:rPr>
                <w:sz w:val="21"/>
                <w:szCs w:val="21"/>
                <w:color w:val="auto"/>
              </w:rPr>
            </w:pP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63,982</w:t>
            </w:r>
          </w:p>
        </w:tc>
      </w:tr>
      <w:tr>
        <w:trPr>
          <w:trHeight w:val="230"/>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693,931</w:t>
            </w:r>
          </w:p>
        </w:tc>
        <w:tc>
          <w:tcPr>
            <w:tcW w:w="120" w:type="dxa"/>
            <w:vAlign w:val="bottom"/>
            <w:tcBorders>
              <w:bottom w:val="single" w:sz="8" w:color="E7E7E8"/>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702,197</w:t>
            </w: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2,790,527</w:t>
            </w:r>
          </w:p>
        </w:tc>
        <w:tc>
          <w:tcPr>
            <w:tcW w:w="120" w:type="dxa"/>
            <w:vAlign w:val="bottom"/>
            <w:tcBorders>
              <w:bottom w:val="single" w:sz="8" w:color="E7E7E8"/>
            </w:tcBorders>
            <w:shd w:val="clear" w:color="auto" w:fill="E7E7E8"/>
          </w:tcPr>
          <w:p>
            <w:pPr>
              <w:spacing w:after="0"/>
              <w:rPr>
                <w:sz w:val="22"/>
                <w:szCs w:val="22"/>
                <w:color w:val="auto"/>
              </w:rPr>
            </w:pPr>
          </w:p>
        </w:tc>
        <w:tc>
          <w:tcPr>
            <w:tcW w:w="440" w:type="dxa"/>
            <w:vAlign w:val="bottom"/>
            <w:tcBorders>
              <w:bottom w:val="single" w:sz="8" w:color="auto"/>
            </w:tcBorders>
            <w:shd w:val="clear" w:color="auto" w:fill="E7E7E8"/>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2,752,485</w:t>
            </w: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440" w:type="dxa"/>
            <w:vAlign w:val="bottom"/>
            <w:tcBorders>
              <w:top w:val="single" w:sz="8" w:color="E7E7E8"/>
              <w:bottom w:val="single" w:sz="8" w:color="auto"/>
            </w:tcBorders>
          </w:tcPr>
          <w:p>
            <w:pPr>
              <w:spacing w:after="0" w:line="20" w:lineRule="exact"/>
              <w:rPr>
                <w:sz w:val="1"/>
                <w:szCs w:val="1"/>
                <w:color w:val="auto"/>
              </w:rPr>
            </w:pPr>
          </w:p>
        </w:tc>
        <w:tc>
          <w:tcPr>
            <w:tcW w:w="1200" w:type="dxa"/>
            <w:vAlign w:val="bottom"/>
            <w:tcBorders>
              <w:top w:val="single" w:sz="8" w:color="E7E7E8"/>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20"/>
          </w:cols>
          <w:pgMar w:left="240" w:top="1076"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76" w:right="2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37730" cy="360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360045"/>
                    </a:xfrm>
                    <a:prstGeom prst="rect">
                      <a:avLst/>
                    </a:prstGeom>
                    <a:noFill/>
                  </pic:spPr>
                </pic:pic>
              </a:graphicData>
            </a:graphic>
          </wp:anchor>
        </w:drawing>
      </w:r>
    </w:p>
    <w:p>
      <w:pPr>
        <w:spacing w:after="0" w:line="2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60" w:type="dxa"/>
            <w:vAlign w:val="bottom"/>
            <w:shd w:val="clear" w:color="auto" w:fill="008A5F"/>
          </w:tcPr>
          <w:p>
            <w:pPr>
              <w:spacing w:after="0"/>
              <w:rPr>
                <w:sz w:val="20"/>
                <w:szCs w:val="20"/>
                <w:color w:val="auto"/>
              </w:rPr>
            </w:pPr>
          </w:p>
        </w:tc>
        <w:tc>
          <w:tcPr>
            <w:tcW w:w="128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68"/>
        </w:trPr>
        <w:tc>
          <w:tcPr>
            <w:tcW w:w="8000" w:type="dxa"/>
            <w:vAlign w:val="bottom"/>
          </w:tcPr>
          <w:p>
            <w:pPr>
              <w:spacing w:after="0"/>
              <w:rPr>
                <w:sz w:val="5"/>
                <w:szCs w:val="5"/>
                <w:color w:val="auto"/>
              </w:rPr>
            </w:pPr>
          </w:p>
        </w:tc>
        <w:tc>
          <w:tcPr>
            <w:tcW w:w="360" w:type="dxa"/>
            <w:vAlign w:val="bottom"/>
            <w:shd w:val="clear" w:color="auto" w:fill="008A5F"/>
          </w:tcPr>
          <w:p>
            <w:pPr>
              <w:spacing w:after="0"/>
              <w:rPr>
                <w:sz w:val="5"/>
                <w:szCs w:val="5"/>
                <w:color w:val="auto"/>
              </w:rPr>
            </w:pPr>
          </w:p>
        </w:tc>
        <w:tc>
          <w:tcPr>
            <w:tcW w:w="1280" w:type="dxa"/>
            <w:vAlign w:val="bottom"/>
            <w:vMerge w:val="continue"/>
            <w:shd w:val="clear" w:color="auto" w:fill="008A5F"/>
          </w:tcPr>
          <w:p>
            <w:pPr>
              <w:spacing w:after="0"/>
              <w:rPr>
                <w:sz w:val="5"/>
                <w:szCs w:val="5"/>
                <w:color w:val="auto"/>
              </w:rPr>
            </w:pPr>
          </w:p>
        </w:tc>
        <w:tc>
          <w:tcPr>
            <w:tcW w:w="120" w:type="dxa"/>
            <w:vAlign w:val="bottom"/>
            <w:shd w:val="clear" w:color="auto" w:fill="008A5F"/>
          </w:tcPr>
          <w:p>
            <w:pPr>
              <w:spacing w:after="0"/>
              <w:rPr>
                <w:sz w:val="5"/>
                <w:szCs w:val="5"/>
                <w:color w:val="auto"/>
              </w:rPr>
            </w:pPr>
          </w:p>
        </w:tc>
        <w:tc>
          <w:tcPr>
            <w:tcW w:w="360" w:type="dxa"/>
            <w:vAlign w:val="bottom"/>
            <w:shd w:val="clear" w:color="auto" w:fill="008A5F"/>
          </w:tcPr>
          <w:p>
            <w:pPr>
              <w:spacing w:after="0"/>
              <w:rPr>
                <w:sz w:val="5"/>
                <w:szCs w:val="5"/>
                <w:color w:val="auto"/>
              </w:rPr>
            </w:pPr>
          </w:p>
        </w:tc>
        <w:tc>
          <w:tcPr>
            <w:tcW w:w="1280" w:type="dxa"/>
            <w:vAlign w:val="bottom"/>
            <w:vMerge w:val="continue"/>
            <w:shd w:val="clear" w:color="auto" w:fill="008A5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178,222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97,262</w:t>
            </w:r>
          </w:p>
        </w:tc>
        <w:tc>
          <w:tcPr>
            <w:tcW w:w="0" w:type="dxa"/>
            <w:vAlign w:val="bottom"/>
          </w:tcPr>
          <w:p>
            <w:pPr>
              <w:spacing w:after="0"/>
              <w:rPr>
                <w:sz w:val="1"/>
                <w:szCs w:val="1"/>
                <w:color w:val="auto"/>
              </w:rPr>
            </w:pPr>
          </w:p>
        </w:tc>
      </w:tr>
      <w:tr>
        <w:trPr>
          <w:trHeight w:val="235"/>
        </w:trPr>
        <w:tc>
          <w:tcPr>
            <w:tcW w:w="800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7,428</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11,601</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29"/>
        </w:trPr>
        <w:tc>
          <w:tcPr>
            <w:tcW w:w="800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255,008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134,751</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Modular leasing</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47,235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27,162</w:t>
            </w:r>
          </w:p>
        </w:tc>
        <w:tc>
          <w:tcPr>
            <w:tcW w:w="0" w:type="dxa"/>
            <w:vAlign w:val="bottom"/>
          </w:tcPr>
          <w:p>
            <w:pPr>
              <w:spacing w:after="0"/>
              <w:rPr>
                <w:sz w:val="1"/>
                <w:szCs w:val="1"/>
                <w:color w:val="auto"/>
              </w:rPr>
            </w:pPr>
          </w:p>
        </w:tc>
      </w:tr>
      <w:tr>
        <w:trPr>
          <w:trHeight w:val="235"/>
        </w:trPr>
        <w:tc>
          <w:tcPr>
            <w:tcW w:w="8000" w:type="dxa"/>
            <w:vAlign w:val="bottom"/>
          </w:tcPr>
          <w:p>
            <w:pPr>
              <w:ind w:left="420"/>
              <w:spacing w:after="0"/>
              <w:rPr>
                <w:sz w:val="20"/>
                <w:szCs w:val="20"/>
                <w:color w:val="auto"/>
              </w:rPr>
            </w:pPr>
            <w:r>
              <w:rPr>
                <w:rFonts w:ascii="Arial" w:cs="Arial" w:eastAsia="Arial" w:hAnsi="Arial"/>
                <w:sz w:val="16"/>
                <w:szCs w:val="16"/>
                <w:color w:val="auto"/>
              </w:rPr>
              <w:t>Modular delivery and installation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43,343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25,521</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20"/>
              <w:spacing w:after="0"/>
              <w:rPr>
                <w:sz w:val="20"/>
                <w:szCs w:val="20"/>
                <w:color w:val="auto"/>
              </w:rPr>
            </w:pPr>
            <w:r>
              <w:rPr>
                <w:rFonts w:ascii="Arial" w:cs="Arial" w:eastAsia="Arial" w:hAnsi="Arial"/>
                <w:sz w:val="16"/>
                <w:szCs w:val="16"/>
                <w:color w:val="auto"/>
              </w:rPr>
              <w:t>New units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Rental units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7,795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41,103</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23,845</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104,654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50,921</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Expenses: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73,485</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45,214</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21,189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4,464</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31,972</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11,719</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(10,783)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Net loss attributable to WillScot</w:t>
            </w: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(10,301)</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(6,187)</w:t>
            </w:r>
          </w:p>
        </w:tc>
        <w:tc>
          <w:tcPr>
            <w:tcW w:w="0" w:type="dxa"/>
            <w:vAlign w:val="bottom"/>
          </w:tcPr>
          <w:p>
            <w:pPr>
              <w:spacing w:after="0"/>
              <w:rPr>
                <w:sz w:val="1"/>
                <w:szCs w:val="1"/>
                <w:color w:val="auto"/>
              </w:rPr>
            </w:pP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 per share attributable to WillScot – basic and diluted</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28"/>
        </w:trPr>
        <w:tc>
          <w:tcPr>
            <w:tcW w:w="8000" w:type="dxa"/>
            <w:vAlign w:val="bottom"/>
          </w:tcPr>
          <w:p>
            <w:pPr>
              <w:ind w:left="20"/>
              <w:spacing w:after="0"/>
              <w:rPr>
                <w:sz w:val="20"/>
                <w:szCs w:val="20"/>
                <w:color w:val="auto"/>
              </w:rPr>
            </w:pPr>
            <w:r>
              <w:rPr>
                <w:rFonts w:ascii="Arial" w:cs="Arial" w:eastAsia="Arial" w:hAnsi="Arial"/>
                <w:sz w:val="16"/>
                <w:szCs w:val="16"/>
                <w:color w:val="auto"/>
              </w:rPr>
              <w:t>Weighted average shares - basic and diluted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108,523,269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77,189,774</w:t>
            </w: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1086"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3773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411480"/>
                    </a:xfrm>
                    <a:prstGeom prst="rect">
                      <a:avLst/>
                    </a:prstGeom>
                    <a:noFill/>
                  </pic:spPr>
                </pic:pic>
              </a:graphicData>
            </a:graphic>
          </wp:anchor>
        </w:drawing>
      </w:r>
    </w:p>
    <w:p>
      <w:pPr>
        <w:spacing w:after="0" w:line="2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2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4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380" w:type="dxa"/>
            <w:vAlign w:val="bottom"/>
            <w:shd w:val="clear" w:color="auto" w:fill="008A5F"/>
          </w:tcPr>
          <w:p>
            <w:pPr>
              <w:spacing w:after="0"/>
              <w:rPr>
                <w:sz w:val="21"/>
                <w:szCs w:val="21"/>
                <w:color w:val="auto"/>
              </w:rPr>
            </w:pPr>
          </w:p>
        </w:tc>
        <w:tc>
          <w:tcPr>
            <w:tcW w:w="1260" w:type="dxa"/>
            <w:vAlign w:val="bottom"/>
            <w:vMerge w:val="restart"/>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33"/>
        </w:trPr>
        <w:tc>
          <w:tcPr>
            <w:tcW w:w="8000" w:type="dxa"/>
            <w:vAlign w:val="bottom"/>
          </w:tcPr>
          <w:p>
            <w:pPr>
              <w:spacing w:after="0"/>
              <w:rPr>
                <w:sz w:val="11"/>
                <w:szCs w:val="11"/>
                <w:color w:val="auto"/>
              </w:rPr>
            </w:pPr>
          </w:p>
        </w:tc>
        <w:tc>
          <w:tcPr>
            <w:tcW w:w="1020" w:type="dxa"/>
            <w:vAlign w:val="bottom"/>
            <w:vMerge w:val="continue"/>
            <w:shd w:val="clear" w:color="auto" w:fill="008A5F"/>
          </w:tcPr>
          <w:p>
            <w:pPr>
              <w:spacing w:after="0"/>
              <w:rPr>
                <w:sz w:val="11"/>
                <w:szCs w:val="11"/>
                <w:color w:val="auto"/>
              </w:rPr>
            </w:pPr>
          </w:p>
        </w:tc>
        <w:tc>
          <w:tcPr>
            <w:tcW w:w="640" w:type="dxa"/>
            <w:vAlign w:val="bottom"/>
            <w:shd w:val="clear" w:color="auto" w:fill="008A5F"/>
          </w:tcPr>
          <w:p>
            <w:pPr>
              <w:spacing w:after="0"/>
              <w:rPr>
                <w:sz w:val="11"/>
                <w:szCs w:val="11"/>
                <w:color w:val="auto"/>
              </w:rPr>
            </w:pPr>
          </w:p>
        </w:tc>
        <w:tc>
          <w:tcPr>
            <w:tcW w:w="100" w:type="dxa"/>
            <w:vAlign w:val="bottom"/>
            <w:shd w:val="clear" w:color="auto" w:fill="008A5F"/>
          </w:tcPr>
          <w:p>
            <w:pPr>
              <w:spacing w:after="0"/>
              <w:rPr>
                <w:sz w:val="11"/>
                <w:szCs w:val="11"/>
                <w:color w:val="auto"/>
              </w:rPr>
            </w:pPr>
          </w:p>
        </w:tc>
        <w:tc>
          <w:tcPr>
            <w:tcW w:w="380" w:type="dxa"/>
            <w:vAlign w:val="bottom"/>
            <w:shd w:val="clear" w:color="auto" w:fill="008A5F"/>
          </w:tcPr>
          <w:p>
            <w:pPr>
              <w:spacing w:after="0"/>
              <w:rPr>
                <w:sz w:val="11"/>
                <w:szCs w:val="11"/>
                <w:color w:val="auto"/>
              </w:rPr>
            </w:pPr>
          </w:p>
        </w:tc>
        <w:tc>
          <w:tcPr>
            <w:tcW w:w="1260" w:type="dxa"/>
            <w:vAlign w:val="bottom"/>
            <w:vMerge w:val="continue"/>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(11,161)</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Foreign currency translation adjustment, net of income tax expense of $0 and $148 for the three months</w:t>
            </w:r>
          </w:p>
        </w:tc>
        <w:tc>
          <w:tcPr>
            <w:tcW w:w="1020" w:type="dxa"/>
            <w:vAlign w:val="bottom"/>
            <w:shd w:val="clear" w:color="auto" w:fill="E7E7E8"/>
          </w:tcPr>
          <w:p>
            <w:pPr>
              <w:spacing w:after="0"/>
              <w:rPr>
                <w:sz w:val="17"/>
                <w:szCs w:val="17"/>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4,115</w:t>
            </w:r>
          </w:p>
        </w:tc>
        <w:tc>
          <w:tcPr>
            <w:tcW w:w="100" w:type="dxa"/>
            <w:vAlign w:val="bottom"/>
            <w:shd w:val="clear" w:color="auto" w:fill="E7E7E8"/>
          </w:tcPr>
          <w:p>
            <w:pPr>
              <w:spacing w:after="0"/>
              <w:rPr>
                <w:sz w:val="17"/>
                <w:szCs w:val="17"/>
                <w:color w:val="auto"/>
              </w:rPr>
            </w:pPr>
          </w:p>
        </w:tc>
        <w:tc>
          <w:tcPr>
            <w:tcW w:w="380" w:type="dxa"/>
            <w:vAlign w:val="bottom"/>
            <w:shd w:val="clear" w:color="auto" w:fill="E7E7E8"/>
          </w:tcPr>
          <w:p>
            <w:pPr>
              <w:spacing w:after="0"/>
              <w:rPr>
                <w:sz w:val="17"/>
                <w:szCs w:val="17"/>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4"/>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ended March 31, 2019 and 2018, respectively</w:t>
            </w:r>
          </w:p>
        </w:tc>
        <w:tc>
          <w:tcPr>
            <w:tcW w:w="1020" w:type="dxa"/>
            <w:vAlign w:val="bottom"/>
            <w:shd w:val="clear" w:color="auto" w:fill="E7E7E8"/>
          </w:tcPr>
          <w:p>
            <w:pPr>
              <w:spacing w:after="0"/>
              <w:rPr>
                <w:sz w:val="20"/>
                <w:szCs w:val="20"/>
                <w:color w:val="auto"/>
              </w:rPr>
            </w:pPr>
          </w:p>
        </w:tc>
        <w:tc>
          <w:tcPr>
            <w:tcW w:w="640" w:type="dxa"/>
            <w:vAlign w:val="bottom"/>
            <w:shd w:val="clear" w:color="auto" w:fill="E7E7E8"/>
          </w:tcPr>
          <w:p>
            <w:pPr>
              <w:spacing w:after="0"/>
              <w:rPr>
                <w:sz w:val="20"/>
                <w:szCs w:val="20"/>
                <w:color w:val="auto"/>
              </w:rPr>
            </w:pPr>
          </w:p>
        </w:tc>
        <w:tc>
          <w:tcPr>
            <w:tcW w:w="100" w:type="dxa"/>
            <w:vAlign w:val="bottom"/>
            <w:shd w:val="clear" w:color="auto" w:fill="E7E7E8"/>
          </w:tcPr>
          <w:p>
            <w:pPr>
              <w:spacing w:after="0"/>
              <w:rPr>
                <w:sz w:val="20"/>
                <w:szCs w:val="20"/>
                <w:color w:val="auto"/>
              </w:rPr>
            </w:pPr>
          </w:p>
        </w:tc>
        <w:tc>
          <w:tcPr>
            <w:tcW w:w="380" w:type="dxa"/>
            <w:vAlign w:val="bottom"/>
            <w:shd w:val="clear" w:color="auto" w:fill="E7E7E8"/>
          </w:tcPr>
          <w:p>
            <w:pPr>
              <w:spacing w:after="0"/>
              <w:rPr>
                <w:sz w:val="20"/>
                <w:szCs w:val="20"/>
                <w:color w:val="auto"/>
              </w:rPr>
            </w:pPr>
          </w:p>
        </w:tc>
        <w:tc>
          <w:tcPr>
            <w:tcW w:w="1260" w:type="dxa"/>
            <w:vAlign w:val="bottom"/>
            <w:shd w:val="clear" w:color="auto" w:fill="E7E7E8"/>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220"/>
              <w:spacing w:after="0"/>
              <w:rPr>
                <w:sz w:val="20"/>
                <w:szCs w:val="20"/>
                <w:color w:val="auto"/>
              </w:rPr>
            </w:pPr>
            <w:r>
              <w:rPr>
                <w:rFonts w:ascii="Arial" w:cs="Arial" w:eastAsia="Arial" w:hAnsi="Arial"/>
                <w:sz w:val="16"/>
                <w:szCs w:val="16"/>
                <w:color w:val="auto"/>
              </w:rPr>
              <w:t>Net losses on derivatives, net of income tax benefit of $673 and $0 for the three months ended March 31,</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2019 and 2018, respectively</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E7E7E8"/>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Comprehensive loss</w:t>
            </w:r>
          </w:p>
        </w:tc>
        <w:tc>
          <w:tcPr>
            <w:tcW w:w="102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(9,247)</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Comprehensive loss attributable to non-controlling interest</w:t>
            </w:r>
          </w:p>
        </w:tc>
        <w:tc>
          <w:tcPr>
            <w:tcW w:w="10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comprehensive loss attributable to WillScot</w:t>
            </w:r>
          </w:p>
        </w:tc>
        <w:tc>
          <w:tcPr>
            <w:tcW w:w="1020" w:type="dxa"/>
            <w:vAlign w:val="bottom"/>
            <w:tcBorders>
              <w:bottom w:val="single" w:sz="8" w:color="auto"/>
            </w:tcBorders>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(8,553)</w:t>
            </w:r>
          </w:p>
        </w:tc>
        <w:tc>
          <w:tcPr>
            <w:tcW w:w="10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2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086"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8A5F"/>
        </w:rPr>
        <w:t>Condensed Consolidated Statements of Changes in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377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Three Months Ended March 31,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shd w:val="clear" w:color="auto" w:fill="008A5F"/>
          </w:tcPr>
          <w:p>
            <w:pPr>
              <w:spacing w:after="0"/>
              <w:rPr>
                <w:sz w:val="13"/>
                <w:szCs w:val="13"/>
                <w:color w:val="auto"/>
              </w:rPr>
            </w:pPr>
          </w:p>
        </w:tc>
        <w:tc>
          <w:tcPr>
            <w:tcW w:w="1780" w:type="dxa"/>
            <w:vAlign w:val="bottom"/>
            <w:gridSpan w:val="3"/>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Class A Common Stock</w:t>
            </w:r>
          </w:p>
        </w:tc>
        <w:tc>
          <w:tcPr>
            <w:tcW w:w="1700" w:type="dxa"/>
            <w:vAlign w:val="bottom"/>
            <w:gridSpan w:val="3"/>
            <w:vMerge w:val="restart"/>
            <w:shd w:val="clear" w:color="auto" w:fill="008A5F"/>
          </w:tcPr>
          <w:p>
            <w:pPr>
              <w:jc w:val="right"/>
              <w:ind w:right="109"/>
              <w:spacing w:after="0"/>
              <w:rPr>
                <w:sz w:val="20"/>
                <w:szCs w:val="20"/>
                <w:color w:val="auto"/>
              </w:rPr>
            </w:pPr>
            <w:r>
              <w:rPr>
                <w:rFonts w:ascii="Arial" w:cs="Arial" w:eastAsia="Arial" w:hAnsi="Arial"/>
                <w:sz w:val="13"/>
                <w:szCs w:val="13"/>
                <w:b w:val="1"/>
                <w:bCs w:val="1"/>
                <w:color w:val="FFFFFF"/>
              </w:rPr>
              <w:t>Class B Common Stock</w:t>
            </w:r>
          </w:p>
        </w:tc>
        <w:tc>
          <w:tcPr>
            <w:tcW w:w="16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00" w:type="dxa"/>
            <w:vAlign w:val="bottom"/>
            <w:shd w:val="clear" w:color="auto" w:fill="008A5F"/>
          </w:tcPr>
          <w:p>
            <w:pPr>
              <w:jc w:val="center"/>
              <w:ind w:right="31"/>
              <w:spacing w:after="0"/>
              <w:rPr>
                <w:sz w:val="20"/>
                <w:szCs w:val="20"/>
                <w:color w:val="auto"/>
              </w:rPr>
            </w:pPr>
            <w:r>
              <w:rPr>
                <w:rFonts w:ascii="Arial" w:cs="Arial" w:eastAsia="Arial" w:hAnsi="Arial"/>
                <w:sz w:val="13"/>
                <w:szCs w:val="13"/>
                <w:b w:val="1"/>
                <w:bCs w:val="1"/>
                <w:color w:val="FFFFFF"/>
                <w:w w:val="97"/>
              </w:rPr>
              <w:t>Accumulated</w:t>
            </w:r>
          </w:p>
        </w:tc>
        <w:tc>
          <w:tcPr>
            <w:tcW w:w="100" w:type="dxa"/>
            <w:vAlign w:val="bottom"/>
            <w:shd w:val="clear" w:color="auto" w:fill="008A5F"/>
          </w:tcPr>
          <w:p>
            <w:pPr>
              <w:spacing w:after="0"/>
              <w:rPr>
                <w:sz w:val="13"/>
                <w:szCs w:val="13"/>
                <w:color w:val="auto"/>
              </w:rPr>
            </w:pPr>
          </w:p>
        </w:tc>
        <w:tc>
          <w:tcPr>
            <w:tcW w:w="90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720" w:type="dxa"/>
            <w:vAlign w:val="bottom"/>
            <w:vMerge w:val="restart"/>
            <w:shd w:val="clear" w:color="auto" w:fill="008A5F"/>
          </w:tcPr>
          <w:p>
            <w:pPr>
              <w:jc w:val="right"/>
              <w:ind w:right="230"/>
              <w:spacing w:after="0"/>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3"/>
                <w:szCs w:val="13"/>
                <w:color w:val="auto"/>
              </w:rPr>
            </w:pPr>
          </w:p>
        </w:tc>
        <w:tc>
          <w:tcPr>
            <w:tcW w:w="700" w:type="dxa"/>
            <w:vAlign w:val="bottom"/>
            <w:vMerge w:val="restart"/>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4"/>
              </w:rPr>
              <w:t>Non-</w:t>
            </w:r>
          </w:p>
        </w:tc>
        <w:tc>
          <w:tcPr>
            <w:tcW w:w="200" w:type="dxa"/>
            <w:vAlign w:val="bottom"/>
            <w:shd w:val="clear" w:color="auto" w:fill="008A5F"/>
          </w:tcPr>
          <w:p>
            <w:pPr>
              <w:spacing w:after="0"/>
              <w:rPr>
                <w:sz w:val="13"/>
                <w:szCs w:val="13"/>
                <w:color w:val="auto"/>
              </w:rPr>
            </w:pPr>
          </w:p>
        </w:tc>
        <w:tc>
          <w:tcPr>
            <w:tcW w:w="6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1780" w:type="dxa"/>
            <w:vAlign w:val="bottom"/>
            <w:gridSpan w:val="3"/>
            <w:vMerge w:val="continue"/>
            <w:shd w:val="clear" w:color="auto" w:fill="008A5F"/>
          </w:tcPr>
          <w:p>
            <w:pPr>
              <w:spacing w:after="0"/>
              <w:rPr>
                <w:sz w:val="11"/>
                <w:szCs w:val="11"/>
                <w:color w:val="auto"/>
              </w:rPr>
            </w:pPr>
          </w:p>
        </w:tc>
        <w:tc>
          <w:tcPr>
            <w:tcW w:w="1700" w:type="dxa"/>
            <w:vAlign w:val="bottom"/>
            <w:gridSpan w:val="3"/>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900" w:type="dxa"/>
            <w:vAlign w:val="bottom"/>
            <w:shd w:val="clear" w:color="auto" w:fill="008A5F"/>
          </w:tcPr>
          <w:p>
            <w:pPr>
              <w:jc w:val="center"/>
              <w:ind w:right="51"/>
              <w:spacing w:after="0" w:line="135" w:lineRule="exact"/>
              <w:rPr>
                <w:sz w:val="20"/>
                <w:szCs w:val="20"/>
                <w:color w:val="auto"/>
              </w:rPr>
            </w:pPr>
            <w:r>
              <w:rPr>
                <w:rFonts w:ascii="Arial" w:cs="Arial" w:eastAsia="Arial" w:hAnsi="Arial"/>
                <w:sz w:val="13"/>
                <w:szCs w:val="13"/>
                <w:b w:val="1"/>
                <w:bCs w:val="1"/>
                <w:color w:val="FFFFFF"/>
                <w:w w:val="97"/>
              </w:rPr>
              <w:t>Other</w:t>
            </w:r>
          </w:p>
        </w:tc>
        <w:tc>
          <w:tcPr>
            <w:tcW w:w="100" w:type="dxa"/>
            <w:vAlign w:val="bottom"/>
            <w:shd w:val="clear" w:color="auto" w:fill="008A5F"/>
          </w:tcPr>
          <w:p>
            <w:pPr>
              <w:spacing w:after="0"/>
              <w:rPr>
                <w:sz w:val="11"/>
                <w:szCs w:val="11"/>
                <w:color w:val="auto"/>
              </w:rPr>
            </w:pPr>
          </w:p>
        </w:tc>
        <w:tc>
          <w:tcPr>
            <w:tcW w:w="900" w:type="dxa"/>
            <w:vAlign w:val="bottom"/>
            <w:vMerge w:val="restart"/>
            <w:shd w:val="clear" w:color="auto" w:fill="008A5F"/>
          </w:tcPr>
          <w:p>
            <w:pPr>
              <w:jc w:val="right"/>
              <w:ind w:right="50"/>
              <w:spacing w:after="0"/>
              <w:rPr>
                <w:sz w:val="20"/>
                <w:szCs w:val="20"/>
                <w:color w:val="auto"/>
              </w:rPr>
            </w:pPr>
            <w:r>
              <w:rPr>
                <w:rFonts w:ascii="Arial" w:cs="Arial" w:eastAsia="Arial" w:hAnsi="Arial"/>
                <w:sz w:val="13"/>
                <w:szCs w:val="13"/>
                <w:b w:val="1"/>
                <w:bCs w:val="1"/>
                <w:color w:val="FFFFFF"/>
                <w:w w:val="93"/>
              </w:rPr>
              <w:t>Accumulated</w:t>
            </w:r>
          </w:p>
        </w:tc>
        <w:tc>
          <w:tcPr>
            <w:tcW w:w="160" w:type="dxa"/>
            <w:vAlign w:val="bottom"/>
            <w:shd w:val="clear" w:color="auto" w:fill="008A5F"/>
          </w:tcPr>
          <w:p>
            <w:pPr>
              <w:spacing w:after="0"/>
              <w:rPr>
                <w:sz w:val="11"/>
                <w:szCs w:val="11"/>
                <w:color w:val="auto"/>
              </w:rPr>
            </w:pPr>
          </w:p>
        </w:tc>
        <w:tc>
          <w:tcPr>
            <w:tcW w:w="720" w:type="dxa"/>
            <w:vAlign w:val="bottom"/>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700" w:type="dxa"/>
            <w:vAlign w:val="bottom"/>
            <w:vMerge w:val="continue"/>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vMerge w:val="restart"/>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1"/>
                <w:szCs w:val="11"/>
                <w:color w:val="auto"/>
              </w:rPr>
            </w:pPr>
          </w:p>
        </w:tc>
        <w:tc>
          <w:tcPr>
            <w:tcW w:w="780" w:type="dxa"/>
            <w:vAlign w:val="bottom"/>
            <w:vMerge w:val="restart"/>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rPr>
              <w:t>Amount</w:t>
            </w:r>
          </w:p>
        </w:tc>
        <w:tc>
          <w:tcPr>
            <w:tcW w:w="800" w:type="dxa"/>
            <w:vAlign w:val="bottom"/>
            <w:vMerge w:val="restart"/>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1"/>
                <w:szCs w:val="11"/>
                <w:color w:val="auto"/>
              </w:rPr>
            </w:pPr>
          </w:p>
        </w:tc>
        <w:tc>
          <w:tcPr>
            <w:tcW w:w="740" w:type="dxa"/>
            <w:vAlign w:val="bottom"/>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Amount</w:t>
            </w:r>
          </w:p>
        </w:tc>
        <w:tc>
          <w:tcPr>
            <w:tcW w:w="2000" w:type="dxa"/>
            <w:vAlign w:val="bottom"/>
            <w:gridSpan w:val="4"/>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Additional Paid- Comprehensive</w:t>
            </w:r>
          </w:p>
        </w:tc>
        <w:tc>
          <w:tcPr>
            <w:tcW w:w="100" w:type="dxa"/>
            <w:vAlign w:val="bottom"/>
            <w:shd w:val="clear" w:color="auto" w:fill="008A5F"/>
          </w:tcPr>
          <w:p>
            <w:pPr>
              <w:spacing w:after="0"/>
              <w:rPr>
                <w:sz w:val="11"/>
                <w:szCs w:val="11"/>
                <w:color w:val="auto"/>
              </w:rPr>
            </w:pPr>
          </w:p>
        </w:tc>
        <w:tc>
          <w:tcPr>
            <w:tcW w:w="900" w:type="dxa"/>
            <w:vAlign w:val="bottom"/>
            <w:vMerge w:val="continue"/>
            <w:shd w:val="clear" w:color="auto" w:fill="008A5F"/>
          </w:tcPr>
          <w:p>
            <w:pPr>
              <w:spacing w:after="0"/>
              <w:rPr>
                <w:sz w:val="11"/>
                <w:szCs w:val="11"/>
                <w:color w:val="auto"/>
              </w:rPr>
            </w:pPr>
          </w:p>
        </w:tc>
        <w:tc>
          <w:tcPr>
            <w:tcW w:w="880" w:type="dxa"/>
            <w:vAlign w:val="bottom"/>
            <w:gridSpan w:val="2"/>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84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gridSpan w:val="2"/>
            <w:vMerge w:val="restart"/>
            <w:shd w:val="clear" w:color="auto" w:fill="008A5F"/>
          </w:tcPr>
          <w:p>
            <w:pPr>
              <w:jc w:val="right"/>
              <w:ind w:right="8"/>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186"/>
        </w:trPr>
        <w:tc>
          <w:tcPr>
            <w:tcW w:w="2340" w:type="dxa"/>
            <w:vAlign w:val="bottom"/>
            <w:vMerge w:val="continue"/>
            <w:shd w:val="clear" w:color="auto" w:fill="008A5F"/>
          </w:tcPr>
          <w:p>
            <w:pPr>
              <w:spacing w:after="0"/>
              <w:rPr>
                <w:sz w:val="16"/>
                <w:szCs w:val="16"/>
                <w:color w:val="auto"/>
              </w:rPr>
            </w:pPr>
          </w:p>
        </w:tc>
        <w:tc>
          <w:tcPr>
            <w:tcW w:w="84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780" w:type="dxa"/>
            <w:vAlign w:val="bottom"/>
            <w:vMerge w:val="continue"/>
            <w:shd w:val="clear" w:color="auto" w:fill="008A5F"/>
          </w:tcPr>
          <w:p>
            <w:pPr>
              <w:spacing w:after="0"/>
              <w:rPr>
                <w:sz w:val="16"/>
                <w:szCs w:val="16"/>
                <w:color w:val="auto"/>
              </w:rPr>
            </w:pPr>
          </w:p>
        </w:tc>
        <w:tc>
          <w:tcPr>
            <w:tcW w:w="80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74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82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in-Capital</w:t>
            </w:r>
          </w:p>
        </w:tc>
        <w:tc>
          <w:tcPr>
            <w:tcW w:w="120" w:type="dxa"/>
            <w:vAlign w:val="bottom"/>
            <w:shd w:val="clear" w:color="auto" w:fill="008A5F"/>
          </w:tcPr>
          <w:p>
            <w:pPr>
              <w:spacing w:after="0"/>
              <w:rPr>
                <w:sz w:val="16"/>
                <w:szCs w:val="16"/>
                <w:color w:val="auto"/>
              </w:rPr>
            </w:pPr>
          </w:p>
        </w:tc>
        <w:tc>
          <w:tcPr>
            <w:tcW w:w="900" w:type="dxa"/>
            <w:vAlign w:val="bottom"/>
            <w:shd w:val="clear" w:color="auto" w:fill="008A5F"/>
          </w:tcPr>
          <w:p>
            <w:pPr>
              <w:jc w:val="center"/>
              <w:ind w:right="71"/>
              <w:spacing w:after="0"/>
              <w:rPr>
                <w:sz w:val="20"/>
                <w:szCs w:val="20"/>
                <w:color w:val="auto"/>
              </w:rPr>
            </w:pPr>
            <w:r>
              <w:rPr>
                <w:rFonts w:ascii="Arial" w:cs="Arial" w:eastAsia="Arial" w:hAnsi="Arial"/>
                <w:sz w:val="13"/>
                <w:szCs w:val="13"/>
                <w:b w:val="1"/>
                <w:bCs w:val="1"/>
                <w:color w:val="FFFFFF"/>
                <w:w w:val="96"/>
              </w:rPr>
              <w:t>Income</w:t>
            </w:r>
          </w:p>
        </w:tc>
        <w:tc>
          <w:tcPr>
            <w:tcW w:w="100" w:type="dxa"/>
            <w:vAlign w:val="bottom"/>
            <w:shd w:val="clear" w:color="auto" w:fill="008A5F"/>
          </w:tcPr>
          <w:p>
            <w:pPr>
              <w:spacing w:after="0"/>
              <w:rPr>
                <w:sz w:val="16"/>
                <w:szCs w:val="16"/>
                <w:color w:val="auto"/>
              </w:rPr>
            </w:pPr>
          </w:p>
        </w:tc>
        <w:tc>
          <w:tcPr>
            <w:tcW w:w="900" w:type="dxa"/>
            <w:vAlign w:val="bottom"/>
            <w:shd w:val="clear" w:color="auto" w:fill="008A5F"/>
          </w:tcPr>
          <w:p>
            <w:pPr>
              <w:jc w:val="right"/>
              <w:ind w:right="270"/>
              <w:spacing w:after="0"/>
              <w:rPr>
                <w:sz w:val="20"/>
                <w:szCs w:val="20"/>
                <w:color w:val="auto"/>
              </w:rPr>
            </w:pPr>
            <w:r>
              <w:rPr>
                <w:rFonts w:ascii="Arial" w:cs="Arial" w:eastAsia="Arial" w:hAnsi="Arial"/>
                <w:sz w:val="13"/>
                <w:szCs w:val="13"/>
                <w:b w:val="1"/>
                <w:bCs w:val="1"/>
                <w:color w:val="FFFFFF"/>
              </w:rPr>
              <w:t>Deficit</w:t>
            </w:r>
          </w:p>
        </w:tc>
        <w:tc>
          <w:tcPr>
            <w:tcW w:w="16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21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700" w:type="dxa"/>
            <w:vAlign w:val="bottom"/>
            <w:shd w:val="clear" w:color="auto" w:fill="008A5F"/>
          </w:tcPr>
          <w:p>
            <w:pPr>
              <w:jc w:val="center"/>
              <w:ind w:right="9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gridSpan w:val="2"/>
            <w:vMerge w:val="continue"/>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2018</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108,509</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11</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2,389,548</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(68,026)</w:t>
            </w:r>
          </w:p>
        </w:tc>
        <w:tc>
          <w:tcPr>
            <w:tcW w:w="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(1,683,319)</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638,215</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63,982</w:t>
            </w:r>
          </w:p>
        </w:tc>
        <w:tc>
          <w:tcPr>
            <w:tcW w:w="2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702,197</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(10,301)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(10,301)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(11,161)</w:t>
            </w:r>
          </w:p>
        </w:tc>
        <w:tc>
          <w:tcPr>
            <w:tcW w:w="0" w:type="dxa"/>
            <w:vAlign w:val="bottom"/>
          </w:tcPr>
          <w:p>
            <w:pPr>
              <w:spacing w:after="0"/>
              <w:rPr>
                <w:sz w:val="1"/>
                <w:szCs w:val="1"/>
                <w:color w:val="auto"/>
              </w:rPr>
            </w:pPr>
          </w:p>
        </w:tc>
      </w:tr>
      <w:tr>
        <w:trPr>
          <w:trHeight w:val="220"/>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Other comprehensive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1,748</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166</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4"/>
                <w:szCs w:val="14"/>
                <w:color w:val="auto"/>
              </w:rPr>
              <w:t>Adoption of Topic 606</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20"/>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184</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2,390,184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(1,693,275)</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630,643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63,288</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693,931</w:t>
            </w: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3773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Three Months Ended March 31,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shd w:val="clear" w:color="auto" w:fill="008A5F"/>
          </w:tcPr>
          <w:p>
            <w:pPr>
              <w:spacing w:after="0"/>
              <w:rPr>
                <w:sz w:val="13"/>
                <w:szCs w:val="13"/>
                <w:color w:val="auto"/>
              </w:rPr>
            </w:pPr>
          </w:p>
        </w:tc>
        <w:tc>
          <w:tcPr>
            <w:tcW w:w="1780" w:type="dxa"/>
            <w:vAlign w:val="bottom"/>
            <w:gridSpan w:val="3"/>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Class A Common Stock</w:t>
            </w:r>
          </w:p>
        </w:tc>
        <w:tc>
          <w:tcPr>
            <w:tcW w:w="1700" w:type="dxa"/>
            <w:vAlign w:val="bottom"/>
            <w:gridSpan w:val="3"/>
            <w:vMerge w:val="restart"/>
            <w:shd w:val="clear" w:color="auto" w:fill="008A5F"/>
          </w:tcPr>
          <w:p>
            <w:pPr>
              <w:jc w:val="right"/>
              <w:ind w:right="109"/>
              <w:spacing w:after="0"/>
              <w:rPr>
                <w:sz w:val="20"/>
                <w:szCs w:val="20"/>
                <w:color w:val="auto"/>
              </w:rPr>
            </w:pPr>
            <w:r>
              <w:rPr>
                <w:rFonts w:ascii="Arial" w:cs="Arial" w:eastAsia="Arial" w:hAnsi="Arial"/>
                <w:sz w:val="13"/>
                <w:szCs w:val="13"/>
                <w:b w:val="1"/>
                <w:bCs w:val="1"/>
                <w:color w:val="FFFFFF"/>
              </w:rPr>
              <w:t>Class B Common Stock</w:t>
            </w:r>
          </w:p>
        </w:tc>
        <w:tc>
          <w:tcPr>
            <w:tcW w:w="160" w:type="dxa"/>
            <w:vAlign w:val="bottom"/>
            <w:shd w:val="clear" w:color="auto" w:fill="008A5F"/>
          </w:tcPr>
          <w:p>
            <w:pPr>
              <w:spacing w:after="0"/>
              <w:rPr>
                <w:sz w:val="13"/>
                <w:szCs w:val="13"/>
                <w:color w:val="auto"/>
              </w:rPr>
            </w:pPr>
          </w:p>
        </w:tc>
        <w:tc>
          <w:tcPr>
            <w:tcW w:w="820" w:type="dxa"/>
            <w:vAlign w:val="bottom"/>
            <w:shd w:val="clear" w:color="auto" w:fill="008A5F"/>
          </w:tcPr>
          <w:p>
            <w:pPr>
              <w:spacing w:after="0"/>
              <w:rPr>
                <w:sz w:val="13"/>
                <w:szCs w:val="13"/>
                <w:color w:val="auto"/>
              </w:rPr>
            </w:pPr>
          </w:p>
        </w:tc>
        <w:tc>
          <w:tcPr>
            <w:tcW w:w="120" w:type="dxa"/>
            <w:vAlign w:val="bottom"/>
            <w:shd w:val="clear" w:color="auto" w:fill="008A5F"/>
          </w:tcPr>
          <w:p>
            <w:pPr>
              <w:spacing w:after="0"/>
              <w:rPr>
                <w:sz w:val="13"/>
                <w:szCs w:val="13"/>
                <w:color w:val="auto"/>
              </w:rPr>
            </w:pPr>
          </w:p>
        </w:tc>
        <w:tc>
          <w:tcPr>
            <w:tcW w:w="900" w:type="dxa"/>
            <w:vAlign w:val="bottom"/>
            <w:shd w:val="clear" w:color="auto" w:fill="008A5F"/>
          </w:tcPr>
          <w:p>
            <w:pPr>
              <w:jc w:val="center"/>
              <w:ind w:right="31"/>
              <w:spacing w:after="0"/>
              <w:rPr>
                <w:sz w:val="20"/>
                <w:szCs w:val="20"/>
                <w:color w:val="auto"/>
              </w:rPr>
            </w:pPr>
            <w:r>
              <w:rPr>
                <w:rFonts w:ascii="Arial" w:cs="Arial" w:eastAsia="Arial" w:hAnsi="Arial"/>
                <w:sz w:val="13"/>
                <w:szCs w:val="13"/>
                <w:b w:val="1"/>
                <w:bCs w:val="1"/>
                <w:color w:val="FFFFFF"/>
                <w:w w:val="97"/>
              </w:rPr>
              <w:t>Accumulated</w:t>
            </w:r>
          </w:p>
        </w:tc>
        <w:tc>
          <w:tcPr>
            <w:tcW w:w="100" w:type="dxa"/>
            <w:vAlign w:val="bottom"/>
            <w:shd w:val="clear" w:color="auto" w:fill="008A5F"/>
          </w:tcPr>
          <w:p>
            <w:pPr>
              <w:spacing w:after="0"/>
              <w:rPr>
                <w:sz w:val="13"/>
                <w:szCs w:val="13"/>
                <w:color w:val="auto"/>
              </w:rPr>
            </w:pPr>
          </w:p>
        </w:tc>
        <w:tc>
          <w:tcPr>
            <w:tcW w:w="900" w:type="dxa"/>
            <w:vAlign w:val="bottom"/>
            <w:shd w:val="clear" w:color="auto" w:fill="008A5F"/>
          </w:tcPr>
          <w:p>
            <w:pPr>
              <w:spacing w:after="0"/>
              <w:rPr>
                <w:sz w:val="13"/>
                <w:szCs w:val="13"/>
                <w:color w:val="auto"/>
              </w:rPr>
            </w:pPr>
          </w:p>
        </w:tc>
        <w:tc>
          <w:tcPr>
            <w:tcW w:w="160" w:type="dxa"/>
            <w:vAlign w:val="bottom"/>
            <w:shd w:val="clear" w:color="auto" w:fill="008A5F"/>
          </w:tcPr>
          <w:p>
            <w:pPr>
              <w:spacing w:after="0"/>
              <w:rPr>
                <w:sz w:val="13"/>
                <w:szCs w:val="13"/>
                <w:color w:val="auto"/>
              </w:rPr>
            </w:pPr>
          </w:p>
        </w:tc>
        <w:tc>
          <w:tcPr>
            <w:tcW w:w="720" w:type="dxa"/>
            <w:vAlign w:val="bottom"/>
            <w:vMerge w:val="restart"/>
            <w:shd w:val="clear" w:color="auto" w:fill="008A5F"/>
          </w:tcPr>
          <w:p>
            <w:pPr>
              <w:jc w:val="right"/>
              <w:ind w:right="230"/>
              <w:spacing w:after="0"/>
              <w:rPr>
                <w:sz w:val="20"/>
                <w:szCs w:val="20"/>
                <w:color w:val="auto"/>
              </w:rPr>
            </w:pPr>
            <w:r>
              <w:rPr>
                <w:rFonts w:ascii="Arial" w:cs="Arial" w:eastAsia="Arial" w:hAnsi="Arial"/>
                <w:sz w:val="13"/>
                <w:szCs w:val="13"/>
                <w:b w:val="1"/>
                <w:bCs w:val="1"/>
                <w:color w:val="FFFFFF"/>
              </w:rPr>
              <w:t>Total</w:t>
            </w:r>
          </w:p>
        </w:tc>
        <w:tc>
          <w:tcPr>
            <w:tcW w:w="140" w:type="dxa"/>
            <w:vAlign w:val="bottom"/>
            <w:shd w:val="clear" w:color="auto" w:fill="008A5F"/>
          </w:tcPr>
          <w:p>
            <w:pPr>
              <w:spacing w:after="0"/>
              <w:rPr>
                <w:sz w:val="13"/>
                <w:szCs w:val="13"/>
                <w:color w:val="auto"/>
              </w:rPr>
            </w:pPr>
          </w:p>
        </w:tc>
        <w:tc>
          <w:tcPr>
            <w:tcW w:w="700" w:type="dxa"/>
            <w:vAlign w:val="bottom"/>
            <w:vMerge w:val="restart"/>
            <w:shd w:val="clear" w:color="auto" w:fill="008A5F"/>
          </w:tcPr>
          <w:p>
            <w:pPr>
              <w:jc w:val="center"/>
              <w:ind w:right="70"/>
              <w:spacing w:after="0"/>
              <w:rPr>
                <w:sz w:val="20"/>
                <w:szCs w:val="20"/>
                <w:color w:val="auto"/>
              </w:rPr>
            </w:pPr>
            <w:r>
              <w:rPr>
                <w:rFonts w:ascii="Arial" w:cs="Arial" w:eastAsia="Arial" w:hAnsi="Arial"/>
                <w:sz w:val="13"/>
                <w:szCs w:val="13"/>
                <w:b w:val="1"/>
                <w:bCs w:val="1"/>
                <w:color w:val="FFFFFF"/>
                <w:w w:val="94"/>
              </w:rPr>
              <w:t>Non-</w:t>
            </w:r>
          </w:p>
        </w:tc>
        <w:tc>
          <w:tcPr>
            <w:tcW w:w="200" w:type="dxa"/>
            <w:vAlign w:val="bottom"/>
            <w:shd w:val="clear" w:color="auto" w:fill="008A5F"/>
          </w:tcPr>
          <w:p>
            <w:pPr>
              <w:spacing w:after="0"/>
              <w:rPr>
                <w:sz w:val="13"/>
                <w:szCs w:val="13"/>
                <w:color w:val="auto"/>
              </w:rPr>
            </w:pPr>
          </w:p>
        </w:tc>
        <w:tc>
          <w:tcPr>
            <w:tcW w:w="660" w:type="dxa"/>
            <w:vAlign w:val="bottom"/>
            <w:shd w:val="clear" w:color="auto" w:fill="008A5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008A5F"/>
          </w:tcPr>
          <w:p>
            <w:pPr>
              <w:spacing w:after="0"/>
              <w:rPr>
                <w:sz w:val="11"/>
                <w:szCs w:val="11"/>
                <w:color w:val="auto"/>
              </w:rPr>
            </w:pPr>
          </w:p>
        </w:tc>
        <w:tc>
          <w:tcPr>
            <w:tcW w:w="1780" w:type="dxa"/>
            <w:vAlign w:val="bottom"/>
            <w:gridSpan w:val="3"/>
            <w:vMerge w:val="continue"/>
            <w:shd w:val="clear" w:color="auto" w:fill="008A5F"/>
          </w:tcPr>
          <w:p>
            <w:pPr>
              <w:spacing w:after="0"/>
              <w:rPr>
                <w:sz w:val="11"/>
                <w:szCs w:val="11"/>
                <w:color w:val="auto"/>
              </w:rPr>
            </w:pPr>
          </w:p>
        </w:tc>
        <w:tc>
          <w:tcPr>
            <w:tcW w:w="1700" w:type="dxa"/>
            <w:vAlign w:val="bottom"/>
            <w:gridSpan w:val="3"/>
            <w:vMerge w:val="continue"/>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82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900" w:type="dxa"/>
            <w:vAlign w:val="bottom"/>
            <w:shd w:val="clear" w:color="auto" w:fill="008A5F"/>
          </w:tcPr>
          <w:p>
            <w:pPr>
              <w:jc w:val="center"/>
              <w:ind w:right="51"/>
              <w:spacing w:after="0" w:line="135" w:lineRule="exact"/>
              <w:rPr>
                <w:sz w:val="20"/>
                <w:szCs w:val="20"/>
                <w:color w:val="auto"/>
              </w:rPr>
            </w:pPr>
            <w:r>
              <w:rPr>
                <w:rFonts w:ascii="Arial" w:cs="Arial" w:eastAsia="Arial" w:hAnsi="Arial"/>
                <w:sz w:val="13"/>
                <w:szCs w:val="13"/>
                <w:b w:val="1"/>
                <w:bCs w:val="1"/>
                <w:color w:val="FFFFFF"/>
                <w:w w:val="97"/>
              </w:rPr>
              <w:t>Other</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spacing w:after="0"/>
              <w:rPr>
                <w:sz w:val="11"/>
                <w:szCs w:val="11"/>
                <w:color w:val="auto"/>
              </w:rPr>
            </w:pPr>
          </w:p>
        </w:tc>
        <w:tc>
          <w:tcPr>
            <w:tcW w:w="160" w:type="dxa"/>
            <w:vAlign w:val="bottom"/>
            <w:shd w:val="clear" w:color="auto" w:fill="008A5F"/>
          </w:tcPr>
          <w:p>
            <w:pPr>
              <w:spacing w:after="0"/>
              <w:rPr>
                <w:sz w:val="11"/>
                <w:szCs w:val="11"/>
                <w:color w:val="auto"/>
              </w:rPr>
            </w:pPr>
          </w:p>
        </w:tc>
        <w:tc>
          <w:tcPr>
            <w:tcW w:w="720" w:type="dxa"/>
            <w:vAlign w:val="bottom"/>
            <w:vMerge w:val="continue"/>
            <w:shd w:val="clear" w:color="auto" w:fill="008A5F"/>
          </w:tcPr>
          <w:p>
            <w:pPr>
              <w:spacing w:after="0"/>
              <w:rPr>
                <w:sz w:val="11"/>
                <w:szCs w:val="11"/>
                <w:color w:val="auto"/>
              </w:rPr>
            </w:pPr>
          </w:p>
        </w:tc>
        <w:tc>
          <w:tcPr>
            <w:tcW w:w="140" w:type="dxa"/>
            <w:vAlign w:val="bottom"/>
            <w:shd w:val="clear" w:color="auto" w:fill="008A5F"/>
          </w:tcPr>
          <w:p>
            <w:pPr>
              <w:spacing w:after="0"/>
              <w:rPr>
                <w:sz w:val="11"/>
                <w:szCs w:val="11"/>
                <w:color w:val="auto"/>
              </w:rPr>
            </w:pPr>
          </w:p>
        </w:tc>
        <w:tc>
          <w:tcPr>
            <w:tcW w:w="700" w:type="dxa"/>
            <w:vAlign w:val="bottom"/>
            <w:vMerge w:val="continue"/>
            <w:shd w:val="clear" w:color="auto" w:fill="008A5F"/>
          </w:tcPr>
          <w:p>
            <w:pPr>
              <w:spacing w:after="0"/>
              <w:rPr>
                <w:sz w:val="11"/>
                <w:szCs w:val="11"/>
                <w:color w:val="auto"/>
              </w:rPr>
            </w:pPr>
          </w:p>
        </w:tc>
        <w:tc>
          <w:tcPr>
            <w:tcW w:w="200" w:type="dxa"/>
            <w:vAlign w:val="bottom"/>
            <w:shd w:val="clear" w:color="auto" w:fill="008A5F"/>
          </w:tcPr>
          <w:p>
            <w:pPr>
              <w:spacing w:after="0"/>
              <w:rPr>
                <w:sz w:val="11"/>
                <w:szCs w:val="11"/>
                <w:color w:val="auto"/>
              </w:rPr>
            </w:pPr>
          </w:p>
        </w:tc>
        <w:tc>
          <w:tcPr>
            <w:tcW w:w="660" w:type="dxa"/>
            <w:vAlign w:val="bottom"/>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vMerge w:val="restart"/>
            <w:shd w:val="clear" w:color="auto" w:fill="008A5F"/>
          </w:tcPr>
          <w:p>
            <w:pPr>
              <w:ind w:left="20"/>
              <w:spacing w:after="0"/>
              <w:rPr>
                <w:sz w:val="20"/>
                <w:szCs w:val="20"/>
                <w:color w:val="auto"/>
              </w:rPr>
            </w:pPr>
            <w:r>
              <w:rPr>
                <w:rFonts w:ascii="Arial" w:cs="Arial" w:eastAsia="Arial" w:hAnsi="Arial"/>
                <w:sz w:val="13"/>
                <w:szCs w:val="13"/>
                <w:b w:val="1"/>
                <w:bCs w:val="1"/>
                <w:i w:val="1"/>
                <w:iCs w:val="1"/>
                <w:color w:val="FFFFFF"/>
              </w:rPr>
              <w:t>(in thousands)</w:t>
            </w:r>
          </w:p>
        </w:tc>
        <w:tc>
          <w:tcPr>
            <w:tcW w:w="840" w:type="dxa"/>
            <w:vAlign w:val="bottom"/>
            <w:vMerge w:val="restart"/>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1"/>
                <w:szCs w:val="11"/>
                <w:color w:val="auto"/>
              </w:rPr>
            </w:pPr>
          </w:p>
        </w:tc>
        <w:tc>
          <w:tcPr>
            <w:tcW w:w="780" w:type="dxa"/>
            <w:vAlign w:val="bottom"/>
            <w:vMerge w:val="restart"/>
            <w:shd w:val="clear" w:color="auto" w:fill="008A5F"/>
          </w:tcPr>
          <w:p>
            <w:pPr>
              <w:jc w:val="right"/>
              <w:ind w:right="189"/>
              <w:spacing w:after="0"/>
              <w:rPr>
                <w:sz w:val="20"/>
                <w:szCs w:val="20"/>
                <w:color w:val="auto"/>
              </w:rPr>
            </w:pPr>
            <w:r>
              <w:rPr>
                <w:rFonts w:ascii="Arial" w:cs="Arial" w:eastAsia="Arial" w:hAnsi="Arial"/>
                <w:sz w:val="13"/>
                <w:szCs w:val="13"/>
                <w:b w:val="1"/>
                <w:bCs w:val="1"/>
                <w:color w:val="FFFFFF"/>
              </w:rPr>
              <w:t>Amount</w:t>
            </w:r>
          </w:p>
        </w:tc>
        <w:tc>
          <w:tcPr>
            <w:tcW w:w="800" w:type="dxa"/>
            <w:vAlign w:val="bottom"/>
            <w:vMerge w:val="restart"/>
            <w:shd w:val="clear" w:color="auto" w:fill="008A5F"/>
          </w:tcPr>
          <w:p>
            <w:pPr>
              <w:jc w:val="right"/>
              <w:ind w:right="150"/>
              <w:spacing w:after="0"/>
              <w:rPr>
                <w:sz w:val="20"/>
                <w:szCs w:val="20"/>
                <w:color w:val="auto"/>
              </w:rPr>
            </w:pPr>
            <w:r>
              <w:rPr>
                <w:rFonts w:ascii="Arial" w:cs="Arial" w:eastAsia="Arial" w:hAnsi="Arial"/>
                <w:sz w:val="13"/>
                <w:szCs w:val="13"/>
                <w:b w:val="1"/>
                <w:bCs w:val="1"/>
                <w:color w:val="FFFFFF"/>
              </w:rPr>
              <w:t>Shares</w:t>
            </w:r>
          </w:p>
        </w:tc>
        <w:tc>
          <w:tcPr>
            <w:tcW w:w="160" w:type="dxa"/>
            <w:vAlign w:val="bottom"/>
            <w:shd w:val="clear" w:color="auto" w:fill="008A5F"/>
          </w:tcPr>
          <w:p>
            <w:pPr>
              <w:spacing w:after="0"/>
              <w:rPr>
                <w:sz w:val="11"/>
                <w:szCs w:val="11"/>
                <w:color w:val="auto"/>
              </w:rPr>
            </w:pPr>
          </w:p>
        </w:tc>
        <w:tc>
          <w:tcPr>
            <w:tcW w:w="740" w:type="dxa"/>
            <w:vAlign w:val="bottom"/>
            <w:vMerge w:val="restart"/>
            <w:shd w:val="clear" w:color="auto" w:fill="008A5F"/>
          </w:tcPr>
          <w:p>
            <w:pPr>
              <w:jc w:val="right"/>
              <w:ind w:right="149"/>
              <w:spacing w:after="0"/>
              <w:rPr>
                <w:sz w:val="20"/>
                <w:szCs w:val="20"/>
                <w:color w:val="auto"/>
              </w:rPr>
            </w:pPr>
            <w:r>
              <w:rPr>
                <w:rFonts w:ascii="Arial" w:cs="Arial" w:eastAsia="Arial" w:hAnsi="Arial"/>
                <w:sz w:val="13"/>
                <w:szCs w:val="13"/>
                <w:b w:val="1"/>
                <w:bCs w:val="1"/>
                <w:color w:val="FFFFFF"/>
              </w:rPr>
              <w:t>Amount</w:t>
            </w:r>
          </w:p>
        </w:tc>
        <w:tc>
          <w:tcPr>
            <w:tcW w:w="2000" w:type="dxa"/>
            <w:vAlign w:val="bottom"/>
            <w:gridSpan w:val="4"/>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Additional Paid- Comprehensive</w:t>
            </w:r>
          </w:p>
        </w:tc>
        <w:tc>
          <w:tcPr>
            <w:tcW w:w="100" w:type="dxa"/>
            <w:vAlign w:val="bottom"/>
            <w:shd w:val="clear" w:color="auto" w:fill="008A5F"/>
          </w:tcPr>
          <w:p>
            <w:pPr>
              <w:spacing w:after="0"/>
              <w:rPr>
                <w:sz w:val="11"/>
                <w:szCs w:val="11"/>
                <w:color w:val="auto"/>
              </w:rPr>
            </w:pPr>
          </w:p>
        </w:tc>
        <w:tc>
          <w:tcPr>
            <w:tcW w:w="900" w:type="dxa"/>
            <w:vAlign w:val="bottom"/>
            <w:shd w:val="clear" w:color="auto" w:fill="008A5F"/>
          </w:tcPr>
          <w:p>
            <w:pPr>
              <w:jc w:val="right"/>
              <w:ind w:right="50"/>
              <w:spacing w:after="0" w:line="135" w:lineRule="exact"/>
              <w:rPr>
                <w:sz w:val="20"/>
                <w:szCs w:val="20"/>
                <w:color w:val="auto"/>
              </w:rPr>
            </w:pPr>
            <w:r>
              <w:rPr>
                <w:rFonts w:ascii="Arial" w:cs="Arial" w:eastAsia="Arial" w:hAnsi="Arial"/>
                <w:sz w:val="13"/>
                <w:szCs w:val="13"/>
                <w:b w:val="1"/>
                <w:bCs w:val="1"/>
                <w:color w:val="FFFFFF"/>
                <w:w w:val="93"/>
              </w:rPr>
              <w:t>Accumulated</w:t>
            </w:r>
          </w:p>
        </w:tc>
        <w:tc>
          <w:tcPr>
            <w:tcW w:w="880" w:type="dxa"/>
            <w:vAlign w:val="bottom"/>
            <w:gridSpan w:val="2"/>
            <w:shd w:val="clear" w:color="auto" w:fill="008A5F"/>
          </w:tcPr>
          <w:p>
            <w:pPr>
              <w:ind w:left="20"/>
              <w:spacing w:after="0" w:line="135" w:lineRule="exact"/>
              <w:rPr>
                <w:sz w:val="20"/>
                <w:szCs w:val="20"/>
                <w:color w:val="auto"/>
              </w:rPr>
            </w:pPr>
            <w:r>
              <w:rPr>
                <w:rFonts w:ascii="Arial" w:cs="Arial" w:eastAsia="Arial" w:hAnsi="Arial"/>
                <w:sz w:val="13"/>
                <w:szCs w:val="13"/>
                <w:b w:val="1"/>
                <w:bCs w:val="1"/>
                <w:color w:val="FFFFFF"/>
                <w:w w:val="97"/>
              </w:rPr>
              <w:t>Shareholders'</w:t>
            </w:r>
          </w:p>
        </w:tc>
        <w:tc>
          <w:tcPr>
            <w:tcW w:w="840" w:type="dxa"/>
            <w:vAlign w:val="bottom"/>
            <w:gridSpan w:val="2"/>
            <w:shd w:val="clear" w:color="auto" w:fill="008A5F"/>
          </w:tcPr>
          <w:p>
            <w:pPr>
              <w:jc w:val="center"/>
              <w:spacing w:after="0" w:line="135" w:lineRule="exact"/>
              <w:rPr>
                <w:sz w:val="20"/>
                <w:szCs w:val="20"/>
                <w:color w:val="auto"/>
              </w:rPr>
            </w:pPr>
            <w:r>
              <w:rPr>
                <w:rFonts w:ascii="Arial" w:cs="Arial" w:eastAsia="Arial" w:hAnsi="Arial"/>
                <w:sz w:val="13"/>
                <w:szCs w:val="13"/>
                <w:b w:val="1"/>
                <w:bCs w:val="1"/>
                <w:color w:val="FFFFFF"/>
                <w:w w:val="98"/>
              </w:rPr>
              <w:t>Controlling</w:t>
            </w:r>
          </w:p>
        </w:tc>
        <w:tc>
          <w:tcPr>
            <w:tcW w:w="860" w:type="dxa"/>
            <w:vAlign w:val="bottom"/>
            <w:gridSpan w:val="2"/>
            <w:vMerge w:val="restart"/>
            <w:shd w:val="clear" w:color="auto" w:fill="008A5F"/>
          </w:tcPr>
          <w:p>
            <w:pPr>
              <w:jc w:val="right"/>
              <w:ind w:right="8"/>
              <w:spacing w:after="0"/>
              <w:rPr>
                <w:sz w:val="20"/>
                <w:szCs w:val="20"/>
                <w:color w:val="auto"/>
              </w:rPr>
            </w:pPr>
            <w:r>
              <w:rPr>
                <w:rFonts w:ascii="Arial" w:cs="Arial" w:eastAsia="Arial" w:hAnsi="Arial"/>
                <w:sz w:val="13"/>
                <w:szCs w:val="13"/>
                <w:b w:val="1"/>
                <w:bCs w:val="1"/>
                <w:color w:val="FFFFFF"/>
              </w:rPr>
              <w:t>Total Equity</w:t>
            </w:r>
          </w:p>
        </w:tc>
        <w:tc>
          <w:tcPr>
            <w:tcW w:w="0" w:type="dxa"/>
            <w:vAlign w:val="bottom"/>
          </w:tcPr>
          <w:p>
            <w:pPr>
              <w:spacing w:after="0"/>
              <w:rPr>
                <w:sz w:val="1"/>
                <w:szCs w:val="1"/>
                <w:color w:val="auto"/>
              </w:rPr>
            </w:pPr>
          </w:p>
        </w:tc>
      </w:tr>
      <w:tr>
        <w:trPr>
          <w:trHeight w:val="186"/>
        </w:trPr>
        <w:tc>
          <w:tcPr>
            <w:tcW w:w="2340" w:type="dxa"/>
            <w:vAlign w:val="bottom"/>
            <w:vMerge w:val="continue"/>
            <w:shd w:val="clear" w:color="auto" w:fill="008A5F"/>
          </w:tcPr>
          <w:p>
            <w:pPr>
              <w:spacing w:after="0"/>
              <w:rPr>
                <w:sz w:val="16"/>
                <w:szCs w:val="16"/>
                <w:color w:val="auto"/>
              </w:rPr>
            </w:pPr>
          </w:p>
        </w:tc>
        <w:tc>
          <w:tcPr>
            <w:tcW w:w="84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780" w:type="dxa"/>
            <w:vAlign w:val="bottom"/>
            <w:vMerge w:val="continue"/>
            <w:shd w:val="clear" w:color="auto" w:fill="008A5F"/>
          </w:tcPr>
          <w:p>
            <w:pPr>
              <w:spacing w:after="0"/>
              <w:rPr>
                <w:sz w:val="16"/>
                <w:szCs w:val="16"/>
                <w:color w:val="auto"/>
              </w:rPr>
            </w:pPr>
          </w:p>
        </w:tc>
        <w:tc>
          <w:tcPr>
            <w:tcW w:w="80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740" w:type="dxa"/>
            <w:vAlign w:val="bottom"/>
            <w:vMerge w:val="continue"/>
            <w:shd w:val="clear" w:color="auto" w:fill="008A5F"/>
          </w:tcPr>
          <w:p>
            <w:pPr>
              <w:spacing w:after="0"/>
              <w:rPr>
                <w:sz w:val="16"/>
                <w:szCs w:val="16"/>
                <w:color w:val="auto"/>
              </w:rPr>
            </w:pPr>
          </w:p>
        </w:tc>
        <w:tc>
          <w:tcPr>
            <w:tcW w:w="160" w:type="dxa"/>
            <w:vAlign w:val="bottom"/>
            <w:shd w:val="clear" w:color="auto" w:fill="008A5F"/>
          </w:tcPr>
          <w:p>
            <w:pPr>
              <w:spacing w:after="0"/>
              <w:rPr>
                <w:sz w:val="16"/>
                <w:szCs w:val="16"/>
                <w:color w:val="auto"/>
              </w:rPr>
            </w:pPr>
          </w:p>
        </w:tc>
        <w:tc>
          <w:tcPr>
            <w:tcW w:w="820" w:type="dxa"/>
            <w:vAlign w:val="bottom"/>
            <w:shd w:val="clear" w:color="auto" w:fill="008A5F"/>
          </w:tcPr>
          <w:p>
            <w:pPr>
              <w:jc w:val="right"/>
              <w:ind w:right="129"/>
              <w:spacing w:after="0"/>
              <w:rPr>
                <w:sz w:val="20"/>
                <w:szCs w:val="20"/>
                <w:color w:val="auto"/>
              </w:rPr>
            </w:pPr>
            <w:r>
              <w:rPr>
                <w:rFonts w:ascii="Arial" w:cs="Arial" w:eastAsia="Arial" w:hAnsi="Arial"/>
                <w:sz w:val="13"/>
                <w:szCs w:val="13"/>
                <w:b w:val="1"/>
                <w:bCs w:val="1"/>
                <w:color w:val="FFFFFF"/>
              </w:rPr>
              <w:t>in-Capital</w:t>
            </w:r>
          </w:p>
        </w:tc>
        <w:tc>
          <w:tcPr>
            <w:tcW w:w="120" w:type="dxa"/>
            <w:vAlign w:val="bottom"/>
            <w:shd w:val="clear" w:color="auto" w:fill="008A5F"/>
          </w:tcPr>
          <w:p>
            <w:pPr>
              <w:spacing w:after="0"/>
              <w:rPr>
                <w:sz w:val="16"/>
                <w:szCs w:val="16"/>
                <w:color w:val="auto"/>
              </w:rPr>
            </w:pPr>
          </w:p>
        </w:tc>
        <w:tc>
          <w:tcPr>
            <w:tcW w:w="900" w:type="dxa"/>
            <w:vAlign w:val="bottom"/>
            <w:shd w:val="clear" w:color="auto" w:fill="008A5F"/>
          </w:tcPr>
          <w:p>
            <w:pPr>
              <w:jc w:val="center"/>
              <w:ind w:right="71"/>
              <w:spacing w:after="0"/>
              <w:rPr>
                <w:sz w:val="20"/>
                <w:szCs w:val="20"/>
                <w:color w:val="auto"/>
              </w:rPr>
            </w:pPr>
            <w:r>
              <w:rPr>
                <w:rFonts w:ascii="Arial" w:cs="Arial" w:eastAsia="Arial" w:hAnsi="Arial"/>
                <w:sz w:val="13"/>
                <w:szCs w:val="13"/>
                <w:b w:val="1"/>
                <w:bCs w:val="1"/>
                <w:color w:val="FFFFFF"/>
                <w:w w:val="96"/>
              </w:rPr>
              <w:t>Income</w:t>
            </w:r>
          </w:p>
        </w:tc>
        <w:tc>
          <w:tcPr>
            <w:tcW w:w="100" w:type="dxa"/>
            <w:vAlign w:val="bottom"/>
            <w:shd w:val="clear" w:color="auto" w:fill="008A5F"/>
          </w:tcPr>
          <w:p>
            <w:pPr>
              <w:spacing w:after="0"/>
              <w:rPr>
                <w:sz w:val="16"/>
                <w:szCs w:val="16"/>
                <w:color w:val="auto"/>
              </w:rPr>
            </w:pPr>
          </w:p>
        </w:tc>
        <w:tc>
          <w:tcPr>
            <w:tcW w:w="900" w:type="dxa"/>
            <w:vAlign w:val="bottom"/>
            <w:shd w:val="clear" w:color="auto" w:fill="008A5F"/>
          </w:tcPr>
          <w:p>
            <w:pPr>
              <w:jc w:val="right"/>
              <w:ind w:right="270"/>
              <w:spacing w:after="0"/>
              <w:rPr>
                <w:sz w:val="20"/>
                <w:szCs w:val="20"/>
                <w:color w:val="auto"/>
              </w:rPr>
            </w:pPr>
            <w:r>
              <w:rPr>
                <w:rFonts w:ascii="Arial" w:cs="Arial" w:eastAsia="Arial" w:hAnsi="Arial"/>
                <w:sz w:val="13"/>
                <w:szCs w:val="13"/>
                <w:b w:val="1"/>
                <w:bCs w:val="1"/>
                <w:color w:val="FFFFFF"/>
              </w:rPr>
              <w:t>Deficit</w:t>
            </w:r>
          </w:p>
        </w:tc>
        <w:tc>
          <w:tcPr>
            <w:tcW w:w="160" w:type="dxa"/>
            <w:vAlign w:val="bottom"/>
            <w:shd w:val="clear" w:color="auto" w:fill="008A5F"/>
          </w:tcPr>
          <w:p>
            <w:pPr>
              <w:spacing w:after="0"/>
              <w:rPr>
                <w:sz w:val="16"/>
                <w:szCs w:val="16"/>
                <w:color w:val="auto"/>
              </w:rPr>
            </w:pPr>
          </w:p>
        </w:tc>
        <w:tc>
          <w:tcPr>
            <w:tcW w:w="720" w:type="dxa"/>
            <w:vAlign w:val="bottom"/>
            <w:shd w:val="clear" w:color="auto" w:fill="008A5F"/>
          </w:tcPr>
          <w:p>
            <w:pPr>
              <w:jc w:val="right"/>
              <w:ind w:right="210"/>
              <w:spacing w:after="0"/>
              <w:rPr>
                <w:sz w:val="20"/>
                <w:szCs w:val="20"/>
                <w:color w:val="auto"/>
              </w:rPr>
            </w:pPr>
            <w:r>
              <w:rPr>
                <w:rFonts w:ascii="Arial" w:cs="Arial" w:eastAsia="Arial" w:hAnsi="Arial"/>
                <w:sz w:val="13"/>
                <w:szCs w:val="13"/>
                <w:b w:val="1"/>
                <w:bCs w:val="1"/>
                <w:color w:val="FFFFFF"/>
              </w:rPr>
              <w:t>Equity</w:t>
            </w:r>
          </w:p>
        </w:tc>
        <w:tc>
          <w:tcPr>
            <w:tcW w:w="140" w:type="dxa"/>
            <w:vAlign w:val="bottom"/>
            <w:shd w:val="clear" w:color="auto" w:fill="008A5F"/>
          </w:tcPr>
          <w:p>
            <w:pPr>
              <w:spacing w:after="0"/>
              <w:rPr>
                <w:sz w:val="16"/>
                <w:szCs w:val="16"/>
                <w:color w:val="auto"/>
              </w:rPr>
            </w:pPr>
          </w:p>
        </w:tc>
        <w:tc>
          <w:tcPr>
            <w:tcW w:w="700" w:type="dxa"/>
            <w:vAlign w:val="bottom"/>
            <w:shd w:val="clear" w:color="auto" w:fill="008A5F"/>
          </w:tcPr>
          <w:p>
            <w:pPr>
              <w:jc w:val="center"/>
              <w:ind w:right="90"/>
              <w:spacing w:after="0"/>
              <w:rPr>
                <w:sz w:val="20"/>
                <w:szCs w:val="20"/>
                <w:color w:val="auto"/>
              </w:rPr>
            </w:pPr>
            <w:r>
              <w:rPr>
                <w:rFonts w:ascii="Arial" w:cs="Arial" w:eastAsia="Arial" w:hAnsi="Arial"/>
                <w:sz w:val="13"/>
                <w:szCs w:val="13"/>
                <w:b w:val="1"/>
                <w:bCs w:val="1"/>
                <w:color w:val="FFFFFF"/>
                <w:w w:val="97"/>
              </w:rPr>
              <w:t>Interest</w:t>
            </w:r>
          </w:p>
        </w:tc>
        <w:tc>
          <w:tcPr>
            <w:tcW w:w="860" w:type="dxa"/>
            <w:vAlign w:val="bottom"/>
            <w:gridSpan w:val="2"/>
            <w:vMerge w:val="continue"/>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Balance at December 31, 2017</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84,645</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8</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8,024</w:t>
            </w: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2,121,926</w:t>
            </w:r>
          </w:p>
        </w:tc>
        <w:tc>
          <w:tcPr>
            <w:tcW w:w="1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(49,497)</w:t>
            </w:r>
          </w:p>
        </w:tc>
        <w:tc>
          <w:tcPr>
            <w:tcW w:w="1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(1,636,819)</w:t>
            </w:r>
          </w:p>
        </w:tc>
        <w:tc>
          <w:tcPr>
            <w:tcW w:w="160" w:type="dxa"/>
            <w:vAlign w:val="bottom"/>
            <w:shd w:val="clear" w:color="auto" w:fill="E7E7E8"/>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435,619</w:t>
            </w:r>
          </w:p>
        </w:tc>
        <w:tc>
          <w:tcPr>
            <w:tcW w:w="140" w:type="dxa"/>
            <w:vAlign w:val="bottom"/>
            <w:shd w:val="clear" w:color="auto" w:fill="E7E7E8"/>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48,931</w:t>
            </w:r>
          </w:p>
        </w:tc>
        <w:tc>
          <w:tcPr>
            <w:tcW w:w="200" w:type="dxa"/>
            <w:vAlign w:val="bottom"/>
            <w:shd w:val="clear" w:color="auto" w:fill="E7E7E8"/>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484,550</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(6,835)</w:t>
            </w:r>
          </w:p>
        </w:tc>
        <w:tc>
          <w:tcPr>
            <w:tcW w:w="0" w:type="dxa"/>
            <w:vAlign w:val="bottom"/>
          </w:tcPr>
          <w:p>
            <w:pPr>
              <w:spacing w:after="0"/>
              <w:rPr>
                <w:sz w:val="1"/>
                <w:szCs w:val="1"/>
                <w:color w:val="auto"/>
              </w:rPr>
            </w:pPr>
          </w:p>
        </w:tc>
      </w:tr>
      <w:tr>
        <w:trPr>
          <w:trHeight w:val="220"/>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Other comprehensive income</w:t>
            </w:r>
          </w:p>
        </w:tc>
        <w:tc>
          <w:tcPr>
            <w:tcW w:w="8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80" w:type="dxa"/>
            <w:vAlign w:val="bottom"/>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8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E7E7E8"/>
          </w:tcPr>
          <w:p>
            <w:pPr>
              <w:spacing w:after="0"/>
              <w:rPr>
                <w:sz w:val="19"/>
                <w:szCs w:val="19"/>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7E8"/>
          </w:tcPr>
          <w:p>
            <w:pPr>
              <w:spacing w:after="0"/>
              <w:rPr>
                <w:sz w:val="19"/>
                <w:szCs w:val="19"/>
                <w:color w:val="auto"/>
              </w:rPr>
            </w:pPr>
          </w:p>
        </w:tc>
        <w:tc>
          <w:tcPr>
            <w:tcW w:w="7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239</w:t>
            </w:r>
          </w:p>
        </w:tc>
        <w:tc>
          <w:tcPr>
            <w:tcW w:w="140" w:type="dxa"/>
            <w:vAlign w:val="bottom"/>
            <w:shd w:val="clear" w:color="auto" w:fill="E7E7E8"/>
          </w:tcPr>
          <w:p>
            <w:pPr>
              <w:spacing w:after="0"/>
              <w:rPr>
                <w:sz w:val="19"/>
                <w:szCs w:val="19"/>
                <w:color w:val="auto"/>
              </w:rPr>
            </w:pPr>
          </w:p>
        </w:tc>
        <w:tc>
          <w:tcPr>
            <w:tcW w:w="70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E7E7E8"/>
          </w:tcPr>
          <w:p>
            <w:pPr>
              <w:spacing w:after="0"/>
              <w:rPr>
                <w:sz w:val="19"/>
                <w:szCs w:val="19"/>
                <w:color w:val="auto"/>
              </w:rPr>
            </w:pPr>
          </w:p>
        </w:tc>
        <w:tc>
          <w:tcPr>
            <w:tcW w:w="6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12"/>
        </w:trPr>
        <w:tc>
          <w:tcPr>
            <w:tcW w:w="2340" w:type="dxa"/>
            <w:vAlign w:val="bottom"/>
          </w:tcPr>
          <w:p>
            <w:pPr>
              <w:ind w:left="20"/>
              <w:spacing w:after="0"/>
              <w:rPr>
                <w:sz w:val="20"/>
                <w:szCs w:val="20"/>
                <w:color w:val="auto"/>
              </w:rPr>
            </w:pPr>
            <w:r>
              <w:rPr>
                <w:rFonts w:ascii="Arial" w:cs="Arial" w:eastAsia="Arial" w:hAnsi="Arial"/>
                <w:sz w:val="14"/>
                <w:szCs w:val="14"/>
                <w:color w:val="auto"/>
              </w:rPr>
              <w:t>Adoption of ASU 2018-02</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340" w:type="dxa"/>
            <w:vAlign w:val="bottom"/>
            <w:shd w:val="clear" w:color="auto" w:fill="E7E7E8"/>
          </w:tcPr>
          <w:p>
            <w:pPr>
              <w:ind w:left="20"/>
              <w:spacing w:after="0"/>
              <w:rPr>
                <w:sz w:val="20"/>
                <w:szCs w:val="20"/>
                <w:color w:val="auto"/>
              </w:rPr>
            </w:pPr>
            <w:r>
              <w:rPr>
                <w:rFonts w:ascii="Arial" w:cs="Arial" w:eastAsia="Arial" w:hAnsi="Arial"/>
                <w:sz w:val="14"/>
                <w:szCs w:val="14"/>
                <w:color w:val="auto"/>
              </w:rPr>
              <w:t>Stock-based compensation</w:t>
            </w:r>
          </w:p>
        </w:tc>
        <w:tc>
          <w:tcPr>
            <w:tcW w:w="8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80" w:type="dxa"/>
            <w:vAlign w:val="bottom"/>
            <w:tcBorders>
              <w:bottom w:val="single" w:sz="8" w:color="auto"/>
            </w:tcBorders>
            <w:shd w:val="clear" w:color="auto" w:fill="E7E7E8"/>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E7E7E8"/>
          </w:tcPr>
          <w:p>
            <w:pPr>
              <w:spacing w:after="0"/>
              <w:rPr>
                <w:sz w:val="19"/>
                <w:szCs w:val="19"/>
                <w:color w:val="auto"/>
              </w:rPr>
            </w:pP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E7E7E8"/>
          </w:tcPr>
          <w:p>
            <w:pPr>
              <w:spacing w:after="0"/>
              <w:rPr>
                <w:sz w:val="19"/>
                <w:szCs w:val="19"/>
                <w:color w:val="auto"/>
              </w:rPr>
            </w:pPr>
          </w:p>
        </w:tc>
        <w:tc>
          <w:tcPr>
            <w:tcW w:w="7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140" w:type="dxa"/>
            <w:vAlign w:val="bottom"/>
            <w:tcBorders>
              <w:bottom w:val="single" w:sz="8" w:color="auto"/>
            </w:tcBorders>
            <w:shd w:val="clear" w:color="auto" w:fill="E7E7E8"/>
          </w:tcPr>
          <w:p>
            <w:pPr>
              <w:spacing w:after="0"/>
              <w:rPr>
                <w:sz w:val="19"/>
                <w:szCs w:val="19"/>
                <w:color w:val="auto"/>
              </w:rPr>
            </w:pPr>
          </w:p>
        </w:tc>
        <w:tc>
          <w:tcPr>
            <w:tcW w:w="7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E7E7E8"/>
          </w:tcPr>
          <w:p>
            <w:pPr>
              <w:spacing w:after="0"/>
              <w:rPr>
                <w:sz w:val="19"/>
                <w:szCs w:val="19"/>
                <w:color w:val="auto"/>
              </w:rPr>
            </w:pP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6"/>
        </w:trPr>
        <w:tc>
          <w:tcPr>
            <w:tcW w:w="2340" w:type="dxa"/>
            <w:vAlign w:val="bottom"/>
          </w:tcPr>
          <w:p>
            <w:pPr>
              <w:ind w:left="20"/>
              <w:spacing w:after="0"/>
              <w:rPr>
                <w:sz w:val="20"/>
                <w:szCs w:val="20"/>
                <w:color w:val="auto"/>
              </w:rPr>
            </w:pPr>
            <w:r>
              <w:rPr>
                <w:rFonts w:ascii="Arial" w:cs="Arial" w:eastAsia="Arial" w:hAnsi="Arial"/>
                <w:sz w:val="14"/>
                <w:szCs w:val="14"/>
                <w:color w:val="auto"/>
              </w:rPr>
              <w:t>Balance at March 31, 2018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2,122,047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(51,798)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(1,640,466)</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429,792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48,307</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478,099</w:t>
            </w:r>
          </w:p>
        </w:tc>
        <w:tc>
          <w:tcPr>
            <w:tcW w:w="0" w:type="dxa"/>
            <w:vAlign w:val="bottom"/>
          </w:tcPr>
          <w:p>
            <w:pPr>
              <w:spacing w:after="0"/>
              <w:rPr>
                <w:sz w:val="1"/>
                <w:szCs w:val="1"/>
                <w:color w:val="auto"/>
              </w:rPr>
            </w:pPr>
          </w:p>
        </w:tc>
      </w:tr>
      <w:tr>
        <w:trPr>
          <w:trHeight w:val="25"/>
        </w:trPr>
        <w:tc>
          <w:tcPr>
            <w:tcW w:w="2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086" w:right="2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3"/>
          <w:szCs w:val="23"/>
          <w:color w:val="008A5F"/>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723773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411480"/>
                    </a:xfrm>
                    <a:prstGeom prst="rect">
                      <a:avLst/>
                    </a:prstGeom>
                    <a:noFill/>
                  </pic:spPr>
                </pic:pic>
              </a:graphicData>
            </a:graphic>
          </wp:anchor>
        </w:drawing>
      </w:r>
    </w:p>
    <w:p>
      <w:pPr>
        <w:spacing w:after="0" w:line="29"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0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40" w:type="dxa"/>
            <w:vAlign w:val="bottom"/>
            <w:shd w:val="clear" w:color="auto" w:fill="008A5F"/>
          </w:tcPr>
          <w:p>
            <w:pPr>
              <w:spacing w:after="0"/>
              <w:rPr>
                <w:sz w:val="21"/>
                <w:szCs w:val="21"/>
                <w:color w:val="auto"/>
              </w:rPr>
            </w:pPr>
          </w:p>
        </w:tc>
        <w:tc>
          <w:tcPr>
            <w:tcW w:w="120" w:type="dxa"/>
            <w:vAlign w:val="bottom"/>
            <w:shd w:val="clear" w:color="auto" w:fill="008A5F"/>
          </w:tcPr>
          <w:p>
            <w:pPr>
              <w:spacing w:after="0"/>
              <w:rPr>
                <w:sz w:val="21"/>
                <w:szCs w:val="21"/>
                <w:color w:val="auto"/>
              </w:rPr>
            </w:pPr>
          </w:p>
        </w:tc>
        <w:tc>
          <w:tcPr>
            <w:tcW w:w="360" w:type="dxa"/>
            <w:vAlign w:val="bottom"/>
            <w:shd w:val="clear" w:color="auto" w:fill="008A5F"/>
          </w:tcPr>
          <w:p>
            <w:pPr>
              <w:spacing w:after="0"/>
              <w:rPr>
                <w:sz w:val="21"/>
                <w:szCs w:val="21"/>
                <w:color w:val="auto"/>
              </w:rPr>
            </w:pPr>
          </w:p>
        </w:tc>
        <w:tc>
          <w:tcPr>
            <w:tcW w:w="128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33"/>
        </w:trPr>
        <w:tc>
          <w:tcPr>
            <w:tcW w:w="8000" w:type="dxa"/>
            <w:vAlign w:val="bottom"/>
          </w:tcPr>
          <w:p>
            <w:pPr>
              <w:spacing w:after="0"/>
              <w:rPr>
                <w:sz w:val="11"/>
                <w:szCs w:val="11"/>
                <w:color w:val="auto"/>
              </w:rPr>
            </w:pPr>
          </w:p>
        </w:tc>
        <w:tc>
          <w:tcPr>
            <w:tcW w:w="1000" w:type="dxa"/>
            <w:vAlign w:val="bottom"/>
            <w:vMerge w:val="continue"/>
            <w:shd w:val="clear" w:color="auto" w:fill="008A5F"/>
          </w:tcPr>
          <w:p>
            <w:pPr>
              <w:spacing w:after="0"/>
              <w:rPr>
                <w:sz w:val="11"/>
                <w:szCs w:val="11"/>
                <w:color w:val="auto"/>
              </w:rPr>
            </w:pPr>
          </w:p>
        </w:tc>
        <w:tc>
          <w:tcPr>
            <w:tcW w:w="640" w:type="dxa"/>
            <w:vAlign w:val="bottom"/>
            <w:shd w:val="clear" w:color="auto" w:fill="008A5F"/>
          </w:tcPr>
          <w:p>
            <w:pPr>
              <w:spacing w:after="0"/>
              <w:rPr>
                <w:sz w:val="11"/>
                <w:szCs w:val="11"/>
                <w:color w:val="auto"/>
              </w:rPr>
            </w:pPr>
          </w:p>
        </w:tc>
        <w:tc>
          <w:tcPr>
            <w:tcW w:w="120" w:type="dxa"/>
            <w:vAlign w:val="bottom"/>
            <w:shd w:val="clear" w:color="auto" w:fill="008A5F"/>
          </w:tcPr>
          <w:p>
            <w:pPr>
              <w:spacing w:after="0"/>
              <w:rPr>
                <w:sz w:val="11"/>
                <w:szCs w:val="11"/>
                <w:color w:val="auto"/>
              </w:rPr>
            </w:pPr>
          </w:p>
        </w:tc>
        <w:tc>
          <w:tcPr>
            <w:tcW w:w="360" w:type="dxa"/>
            <w:vAlign w:val="bottom"/>
            <w:shd w:val="clear" w:color="auto" w:fill="008A5F"/>
          </w:tcPr>
          <w:p>
            <w:pPr>
              <w:spacing w:after="0"/>
              <w:rPr>
                <w:sz w:val="11"/>
                <w:szCs w:val="11"/>
                <w:color w:val="auto"/>
              </w:rPr>
            </w:pPr>
          </w:p>
        </w:tc>
        <w:tc>
          <w:tcPr>
            <w:tcW w:w="1280" w:type="dxa"/>
            <w:vAlign w:val="bottom"/>
            <w:vMerge w:val="continue"/>
            <w:shd w:val="clear" w:color="auto" w:fill="008A5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Operating Activities: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(11,161)</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(6,835)</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Adjustments for non-cash items: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44,873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26,304</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Provision for doubtful accounts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1,633</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Gain on sale of rental equipment and other property, plant and equipment</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debt discounts and debt issuance costs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1,258</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Share based compensation expense</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Deferred income tax benefit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Unrealized currency (gains) losses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1,289</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effect of businesses acquired:</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Trade receivables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(26,471)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Prepaid and other assets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Accrued interest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6,012</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Accounts payable and other accrued liabilities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5,054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(22,819)</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Deferred revenue and customer deposits</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Net cash provided by operating activities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235"/>
        </w:trPr>
        <w:tc>
          <w:tcPr>
            <w:tcW w:w="80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Acquisition of business</w:t>
            </w:r>
          </w:p>
        </w:tc>
        <w:tc>
          <w:tcPr>
            <w:tcW w:w="1000" w:type="dxa"/>
            <w:vAlign w:val="bottom"/>
            <w:shd w:val="clear" w:color="auto" w:fill="E7E7E8"/>
          </w:tcPr>
          <w:p>
            <w:pPr>
              <w:spacing w:after="0"/>
              <w:rPr>
                <w:sz w:val="21"/>
                <w:szCs w:val="21"/>
                <w:color w:val="auto"/>
              </w:rPr>
            </w:pPr>
          </w:p>
        </w:tc>
        <w:tc>
          <w:tcPr>
            <w:tcW w:w="7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(24,006)</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Proceeds from sale of rental equipment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11,601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8,128</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rental equipment and refurbishments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(51,873)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(32,084)</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Proceeds from the sale of property, plant and equipment</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000" w:type="dxa"/>
            <w:vAlign w:val="bottom"/>
            <w:tcBorders>
              <w:bottom w:val="single" w:sz="8" w:color="auto"/>
            </w:tcBorders>
            <w:shd w:val="clear" w:color="auto" w:fill="E7E7E8"/>
          </w:tcPr>
          <w:p>
            <w:pPr>
              <w:spacing w:after="0"/>
              <w:rPr>
                <w:sz w:val="21"/>
                <w:szCs w:val="21"/>
                <w:color w:val="auto"/>
              </w:rPr>
            </w:pP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(1,629)</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9"/>
        </w:trPr>
        <w:tc>
          <w:tcPr>
            <w:tcW w:w="8000" w:type="dxa"/>
            <w:vAlign w:val="bottom"/>
          </w:tcPr>
          <w:p>
            <w:pPr>
              <w:ind w:left="420"/>
              <w:spacing w:after="0"/>
              <w:rPr>
                <w:sz w:val="20"/>
                <w:szCs w:val="20"/>
                <w:color w:val="auto"/>
              </w:rPr>
            </w:pPr>
            <w:r>
              <w:rPr>
                <w:rFonts w:ascii="Arial" w:cs="Arial" w:eastAsia="Arial" w:hAnsi="Arial"/>
                <w:sz w:val="16"/>
                <w:szCs w:val="16"/>
                <w:color w:val="auto"/>
              </w:rPr>
              <w:t>Net cash used in investing activities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(41,814)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(48,439)</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Financing Activities: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Receipts from borrowings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39,264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37,290</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Payment of financing costs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Repayment of borrowings</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Principal payments on capital lease obligations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Withholding taxes paid on behalf of employees on net settled stock-based awards</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42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30,294</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37,260</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00" w:type="dxa"/>
            <w:vAlign w:val="bottom"/>
            <w:shd w:val="clear" w:color="auto" w:fill="E7E7E8"/>
          </w:tcPr>
          <w:p>
            <w:pPr>
              <w:spacing w:after="0"/>
              <w:rPr>
                <w:sz w:val="21"/>
                <w:szCs w:val="21"/>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3,821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0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8,958</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68"/>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000" w:type="dxa"/>
            <w:vAlign w:val="bottom"/>
            <w:tcBorders>
              <w:bottom w:val="single" w:sz="8" w:color="auto"/>
            </w:tcBorders>
            <w:shd w:val="clear" w:color="auto" w:fill="E7E7E8"/>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12,779</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0"/>
        </w:trPr>
        <w:tc>
          <w:tcPr>
            <w:tcW w:w="8000" w:type="dxa"/>
            <w:vAlign w:val="bottom"/>
            <w:tcBorders>
              <w:top w:val="single" w:sz="8" w:color="E7E7E8"/>
              <w:bottom w:val="single" w:sz="8" w:color="E7E7E8"/>
            </w:tcBorders>
            <w:vMerge w:val="restart"/>
          </w:tcPr>
          <w:p>
            <w:pPr>
              <w:ind w:left="20"/>
              <w:spacing w:after="0"/>
              <w:rPr>
                <w:sz w:val="20"/>
                <w:szCs w:val="20"/>
                <w:color w:val="auto"/>
              </w:rPr>
            </w:pPr>
            <w:r>
              <w:rPr>
                <w:rFonts w:ascii="Arial" w:cs="Arial" w:eastAsia="Arial" w:hAnsi="Arial"/>
                <w:sz w:val="16"/>
                <w:szCs w:val="16"/>
                <w:color w:val="auto"/>
              </w:rPr>
              <w:t>Supplemental Cash Flow Information:</w:t>
            </w: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6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paid</w:t>
            </w:r>
          </w:p>
        </w:tc>
        <w:tc>
          <w:tcPr>
            <w:tcW w:w="100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33,992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4,230</w:t>
            </w:r>
          </w:p>
        </w:tc>
        <w:tc>
          <w:tcPr>
            <w:tcW w:w="0" w:type="dxa"/>
            <w:vAlign w:val="bottom"/>
          </w:tcPr>
          <w:p>
            <w:pPr>
              <w:spacing w:after="0"/>
              <w:rPr>
                <w:sz w:val="1"/>
                <w:szCs w:val="1"/>
                <w:color w:val="auto"/>
              </w:rPr>
            </w:pP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Income taxes (refunded) paid, net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Capital expenditures accrued or payable</w:t>
            </w:r>
          </w:p>
        </w:tc>
        <w:tc>
          <w:tcPr>
            <w:tcW w:w="100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23,147</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bl>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See the accompanying notes which are an integral part of these condensed consolidated financial statements.</w:t>
      </w:r>
    </w:p>
    <w:p>
      <w:pPr>
        <w:sectPr>
          <w:pgSz w:w="11900" w:h="16838" w:orient="portrait"/>
          <w:cols w:equalWidth="0" w:num="1">
            <w:col w:w="11400"/>
          </w:cols>
          <w:pgMar w:left="260" w:top="10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60" w:top="1086"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3"/>
          <w:szCs w:val="23"/>
          <w:color w:val="008A5F"/>
        </w:rPr>
        <w:t>WillScot Corporation</w:t>
      </w:r>
    </w:p>
    <w:p>
      <w:pPr>
        <w:spacing w:after="0" w:line="36" w:lineRule="exact"/>
        <w:rPr>
          <w:sz w:val="20"/>
          <w:szCs w:val="20"/>
          <w:color w:val="auto"/>
        </w:rPr>
      </w:pPr>
    </w:p>
    <w:p>
      <w:pPr>
        <w:ind w:right="1960" w:firstLine="1959"/>
        <w:spacing w:after="0" w:line="305" w:lineRule="auto"/>
        <w:rPr>
          <w:sz w:val="20"/>
          <w:szCs w:val="20"/>
          <w:color w:val="auto"/>
        </w:rPr>
      </w:pPr>
      <w:r>
        <w:rPr>
          <w:rFonts w:ascii="Arial" w:cs="Arial" w:eastAsia="Arial" w:hAnsi="Arial"/>
          <w:sz w:val="23"/>
          <w:szCs w:val="23"/>
          <w:color w:val="008A5F"/>
        </w:rPr>
        <w:t>Notes to the Condensed Consolidated Financial Statements (Unaudited) NOTE 1 -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Nature of Operations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WillScot Corporation (“WillScot” and, together with its subsidiaries, the “Company”), is a leading provider of modular space and portable storage solutions in the United States (“US”), Canada and Mexico. The Company leases, sells, delivers and installs mobile offices, modular buildings and storage products through an integrated network of branch locations that spans North America.</w:t>
      </w:r>
    </w:p>
    <w:p>
      <w:pPr>
        <w:spacing w:after="0" w:line="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WillScot, whose Class A common shares are listed on the Nasdaq Capital Market (Nasdaq: WSC), serves as the holding company for the Williams Scotsman family of companies. All of the Company’s assets and operations are owned through Williams Scotsman Holdings Corp. (“WS Holdings”). WillScot operates and owns 91.0% of WS Holdings, and Sapphire Holding S.à r.l. (“Sapphire”), an affiliate of TDR Capital LLP (“TDR Capital”), owns the remaining 9.0%.</w:t>
      </w:r>
    </w:p>
    <w:p>
      <w:pPr>
        <w:spacing w:after="0" w:line="2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WillScot was incorporated as a Cayman Islands exempt company under the name, Double Eagle Acquisition Corporation ("Double Eagle"), on June 26, 2015. Prior to November 29, 2017, Double Eagle was a Nasdaq-listed special purpose acquisition company formed for the purpose of effecting a merger, share exchange, asset acquisition, share purchase, reorganization or similar business combination. On November 29, 2017, Double Eagle indirectly acquired Williams Scotsman International, Inc. (“WSII”) from Algeco Scotsman Global S.à r.l., (together with its subsidiaries, the “Algeco Group”), which is majority owned by an investment fund managed by TDR Capital. As part of the transaction (the “Business Combination”), Double Eagle domesticated to Delaware and changed its name to WillScot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The accompanying unaudited condensed consolidated financial statements contain all adjustments, which are of a normal and recurring nature, necessary to present fairly the financial position, the results of operations and cash flows, for the interim periods presented.</w:t>
      </w:r>
    </w:p>
    <w:p>
      <w:pPr>
        <w:spacing w:after="0" w:line="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results of operations for the three months ended March 31, 2019 and 2018 are not necessarily indicative of the results to be expected for the full year. For further information, refer to the consolidated financial statements and notes included in WillScot's Annual Report on Form 10-K for the year ended December 31, 2018.</w:t>
      </w: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unaudited condensed consolidated financial statements comprise the financial statements of WillScot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a company that is not an issuer (as defined under section 2(a) of the Sarbanes-Oxley Act of 2002) is required to comply with such standards. As such, compliance dates included below pertain to non-issuers, and as permitted, early adoption dates for non-issuers are indicated.</w:t>
      </w:r>
    </w:p>
    <w:p>
      <w:pPr>
        <w:spacing w:after="0" w:line="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WillScot will cease to be EGC on the earlier of (i) the last day of the fiscal year in which WillScot’s annual gross revenues exceed $1.07 billion, (ii) the date on which the Company issues more than $1.0 billion in nonconvertible debt securities during the preceding three-year period, and (iii) the date on which WillScot is deemed to be a large accelerated filer under the US Securities and Exchange Commission's (the "SEC") rules. Based on the ModSpace (defined below) acquisition described in Note 2, WillScot anticipates that its 2019 annual gross revenues will exceed $1.07 billion, in which case WillScot would be deemed to be a large accelerated filer as of December 31, 2019.</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Issued Accounting Standards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w:t>
      </w:r>
      <w:r>
        <w:rPr>
          <w:rFonts w:ascii="Arial" w:cs="Arial" w:eastAsia="Arial" w:hAnsi="Arial"/>
          <w:sz w:val="16"/>
          <w:szCs w:val="16"/>
          <w:color w:val="auto"/>
        </w:rPr>
        <w:t>, which prescribes that financial assets (or a group of financial assets) should be measured at amortized cost basis to be presented at</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amount expected to be collected. Credit losses relating to these financial assets should be recorded through an allowance for credit losses. The new standard is effective for non-public entities for fiscal years beginning after December 15, 2020, and interim periods within fiscal years beginning after December 15, 2021. Early adoption is permitted for all entities for the fiscal years beginning after December 15, 2018, including interim periods within those fiscal years. The Company continues to evaluate the impacts of adopting the standard on the financial statements and will adopt the standard within the required adoption period. Adoption of the new standard would be required sooner if WillScot loses EGC eligibility earlier than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086" w:right="239" w:bottom="1440" w:gutter="0" w:footer="0" w:header="0"/>
        </w:sectPr>
      </w:pPr>
    </w:p>
    <w:bookmarkStart w:id="9" w:name="page10"/>
    <w:bookmarkEnd w:id="9"/>
    <w:p>
      <w:pPr>
        <w:jc w:val="both"/>
        <w:ind w:firstLine="648"/>
        <w:spacing w:after="0" w:line="25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("ASC 842")</w:t>
      </w:r>
      <w:r>
        <w:rPr>
          <w:rFonts w:ascii="Arial" w:cs="Arial" w:eastAsia="Arial" w:hAnsi="Arial"/>
          <w:sz w:val="16"/>
          <w:szCs w:val="16"/>
          <w:i w:val="1"/>
          <w:iCs w:val="1"/>
          <w:color w:val="auto"/>
        </w:rPr>
        <w:t>.</w:t>
      </w:r>
      <w:r>
        <w:rPr>
          <w:rFonts w:ascii="Arial" w:cs="Arial" w:eastAsia="Arial" w:hAnsi="Arial"/>
          <w:sz w:val="16"/>
          <w:szCs w:val="16"/>
          <w:color w:val="auto"/>
        </w:rPr>
        <w:t xml:space="preserve"> This guidance revises existing practice related to accounting for leases under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for both lessees and lessors. The new guidance establishes a right-of-use (“ROU”) model that requires a lessee to record a ROU asset and lease liability on the balance sheet for all leases with terms longer than twelve months. Leases will be classified as either finance or operating, with classification affecting the pattern of expense recognition in the income statement. This guidance also expands the requirements for lessees to record leases embedded in other arrangements and the required quantitative and qualitative disclosures surrounding leases. Accounting guidance for lessors is largely unchanged. This guidance is effective for non-public entities for fiscal years beginning after December 15, 2019 and interim periods within those annual periods using a modified retrospective transition approach. Early adoption is permitted for all entities. However, based on WillScot's expectation that it will cease to be an EGC as of December 31, 2019, the Company plans to adopt the new standard no later than in the fourth quarter of 2019. Adoption of the new standard could be required earlier in 2019 if WillScot loses EGC status earlier than anticipated.</w:t>
      </w:r>
    </w:p>
    <w:p>
      <w:pPr>
        <w:spacing w:after="0" w:line="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Company is currently in the process of assessing the potential impact this guidance may have on its financial position, results of operations and cash flows, including which of its existing lease arrangements will be impacted by the new guidance and whether other arrangements that are not currently classified as leases may become subject to the guidance. The Company plans to take advantage of the transition package of practical expedients permitted within the new standard which, among other things, allows the historical lease classification to be carried forward. Additionally, the Company is implementing a lease management system to assist in the accounting and is evaluating additional changes to its processes and internal controls to ensure the new reporting and disclosure requirements are met upon adoption.</w:t>
      </w:r>
    </w:p>
    <w:p>
      <w:pPr>
        <w:spacing w:after="0" w:line="1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Additionally, as discussed in Note 3, most of the Company's equipment rental revenues will be accounted for under the current lease accounting standard, ASC 840, until the adoption of the new lease accounting standard ASC 842. The Company is continuing to evaluate the impact of adopting ASC 842 on the Company's accounting for equipment rental revenue.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Recently Adopted Accounting Standards</w:t>
      </w:r>
    </w:p>
    <w:p>
      <w:pPr>
        <w:spacing w:after="0" w:line="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In June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to clarify how certain cash receipts and payments are presented in the statement of cash flows. The guidance is effective for annual reporting periods beginning after December 15, 2018. The Company adopted this standard as of January 1, 2019, with no impact to the financial statements for the period ended March 31, 2019.</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In May 2017, the FASB issued ASU 2017-10, </w:t>
      </w:r>
      <w:r>
        <w:rPr>
          <w:rFonts w:ascii="Arial" w:cs="Arial" w:eastAsia="Arial" w:hAnsi="Arial"/>
          <w:sz w:val="16"/>
          <w:szCs w:val="16"/>
          <w:i w:val="1"/>
          <w:iCs w:val="1"/>
          <w:color w:val="auto"/>
        </w:rPr>
        <w:t>Determining the Customer of the Operation Services,</w:t>
      </w:r>
      <w:r>
        <w:rPr>
          <w:rFonts w:ascii="Arial" w:cs="Arial" w:eastAsia="Arial" w:hAnsi="Arial"/>
          <w:sz w:val="16"/>
          <w:szCs w:val="16"/>
          <w:color w:val="auto"/>
        </w:rPr>
        <w:t xml:space="preserve"> to clarify how operating entities should determine the customer of the operation services for transactions within the scope of ASC 853, </w:t>
      </w:r>
      <w:r>
        <w:rPr>
          <w:rFonts w:ascii="Arial" w:cs="Arial" w:eastAsia="Arial" w:hAnsi="Arial"/>
          <w:sz w:val="16"/>
          <w:szCs w:val="16"/>
          <w:i w:val="1"/>
          <w:iCs w:val="1"/>
          <w:color w:val="auto"/>
        </w:rPr>
        <w:t>Service Concession Arrangements</w:t>
      </w:r>
      <w:r>
        <w:rPr>
          <w:rFonts w:ascii="Arial" w:cs="Arial" w:eastAsia="Arial" w:hAnsi="Arial"/>
          <w:sz w:val="16"/>
          <w:szCs w:val="16"/>
          <w:color w:val="auto"/>
        </w:rPr>
        <w:t>. The guidance is effective for annual periods beginning after December 15, 2018, and interim periods beginning after December 15, 2019. Early adoption is permitted, including adoption in an interim period. The Company adopted this guidance concurrently with the adoption of ASU 2014-09 using a modified retrospective transition approach.</w:t>
      </w:r>
    </w:p>
    <w:p>
      <w:pPr>
        <w:spacing w:after="0" w:line="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August 2018, the SEC adopted the final rule under Release No. 33-10532 Disclosure Update and Simplification, to eliminate or modify certain disclosure rules that are redundant, outdated, or duplicative of GAAP or other regulatory requirements. The amendments provide that disclosure requirements related to the analysis of shareholders' equity are expanded for interim financial statements. An analysis of the changes in each caption of shareholders' equity presented in the balance sheet must be provided in a note or separate statement, as well as the amount of dividends per share for each class of shares. The Company has provided this disclosure beginning in the first quarter of 2019 within the condensed consolidated statements of changes in equity.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May 2014, the FASB issued ASU 2014-09, Revenue from Contracts with Customers (Topic 606) ("Topic 606"). Topic 606, along with its subsequent related updates prescribe a single comprehensive model for entities to use in the accounting for revenue arising from contracts with customers. The core principle contemplated by this new standard was that an entity should recognize revenue to depict the transfer of promised goods or services to customers in an amount reflecting the consideration to which the entity expects to be entitled in exchange for those goods or services. New disclosures about the nature, amount, timing and uncertainty of revenue and cash flows arising from contracts with customers are also required.</w:t>
      </w:r>
    </w:p>
    <w:p>
      <w:pPr>
        <w:spacing w:after="0" w:line="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On January 1, 2019, the Company adopted the guidance, and all subsequent updates to this guidance, using the modified retrospective transition approach to those contracts which were not completed as of January 1, 2019. The comparative financial statement information has not been restated and continues to be reported under the accounting standards in effect for those periods. The adoption of the guidance did not have a material impact on the Company's consolidated balance sheet as of January 1, 2019. The Company's accounting for equipment rental revenue is primarily outside the scope of this new revenue guidance and will be evaluated under the new lease guidance, which is described further under the subheading Recently Issued Accounting Standards above. See Note 3 for further discussion.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94" w:right="239" w:bottom="1440" w:gutter="0" w:footer="0" w:header="0"/>
        </w:sectPr>
      </w:pPr>
    </w:p>
    <w:bookmarkStart w:id="10" w:name="page11"/>
    <w:bookmarkEnd w:id="10"/>
    <w:p>
      <w:pPr>
        <w:spacing w:after="0"/>
        <w:rPr>
          <w:sz w:val="20"/>
          <w:szCs w:val="20"/>
          <w:color w:val="auto"/>
        </w:rPr>
      </w:pPr>
      <w:r>
        <w:rPr>
          <w:rFonts w:ascii="Arial" w:cs="Arial" w:eastAsia="Arial" w:hAnsi="Arial"/>
          <w:sz w:val="23"/>
          <w:szCs w:val="23"/>
          <w:color w:val="008A5F"/>
        </w:rPr>
        <w:t>NOTE 2 - Acquisitions and Assets Held for Sale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Tyson Acquisition</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January 3, 2018, the Company acquired all of the issued and outstanding membership interests of Onsite Space LLC (d/b/a Tyson Onsite (“Tyson”)) for $24.0 million in cash consideration, net of cash acquired. Tyson provided modular space rental services in the Midwest, primarily in Indiana, Illinois and Missouri. The transaction was funded by borrowings under the ABL Facility (defined in Note 7).</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Company finalized its accounting for the Tyson acquisition in the fourth quarter of 2018 and recorded goodwill of $3.1 million as a result of the Tyson acquisition. Tyson results were immaterial to the condensed consolidated statements of operations for the three months ended March 31, 2019 and 2018, respectively, and as a result, the Company is not presenting pro forma information related to this acquisition.</w:t>
      </w:r>
    </w:p>
    <w:p>
      <w:pPr>
        <w:spacing w:after="0"/>
        <w:rPr>
          <w:sz w:val="20"/>
          <w:szCs w:val="20"/>
          <w:color w:val="auto"/>
        </w:rPr>
      </w:pPr>
      <w:r>
        <w:rPr>
          <w:rFonts w:ascii="Arial" w:cs="Arial" w:eastAsia="Arial" w:hAnsi="Arial"/>
          <w:sz w:val="18"/>
          <w:szCs w:val="18"/>
          <w:b w:val="1"/>
          <w:bCs w:val="1"/>
          <w:color w:val="auto"/>
        </w:rPr>
        <w:t>ModSpace Acquisition</w:t>
      </w:r>
    </w:p>
    <w:p>
      <w:pPr>
        <w:spacing w:after="0" w:line="7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On August 15, 2018, the Company acquired Modular Space Holdings, Inc. ("ModSpace"), a privately-owned national provider of office trailers, portable storage units and modular buildings. The acquisition was consummated by merging a special purpose subsidiary of the Company with and into ModSpace, with ModSpace surviving the merger as a subsidiary of WSII.</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Purchase Price</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aggregate purchase price for ModSpace was $1.2 billion and consisted of (i) $1.1 billion in cash, (ii) 6,458,229 shares of WillScot's Class A common stock (the "Stock Consideration") with a fair market value of $95.8 million and (iii) warrants to purchase an aggregate of 10,000,000 shares of WillScot’s Class A common stock at an exercise price of $15.50 per share (the "2018 Warrants") with a fair market value of $52.3 million, and (iv) a working capital adjustment of $4.7 million.</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acquisition was funded by the net proceeds of WillScot's issuance of 9,200,000 shares of Class A common stock, the net proceeds of WSII’s issuance of $300.0 million in senior secured notes and $200.0 million in senior unsecured notes (see Note 7), and borrowings under the ABL Facility (see Note 7).</w:t>
      </w:r>
    </w:p>
    <w:p>
      <w:pPr>
        <w:spacing w:after="0" w:line="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of the date of acquisition, August 15, 2018, the fair market values of the Stock Consideration and 2018 Warrants were $14.83 per share and $5.23 per warrant, respectively, as determined using a Black-Scholes valuation model. The fair market value of the Class A shares was determined utilizing the $15.78 per share closing price of the Company's shares on August 15, 2018, discounted by 6.0%, to reflect a lack of marketability based on the lock-up restrictions contemplated by the merger agreement.</w:t>
      </w:r>
    </w:p>
    <w:p>
      <w:pPr>
        <w:spacing w:after="0" w:line="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estimated fair values of the Stock Consideration and 2018 Warrants are Level 3 fair value measurements. The fair value of each share and warrant was estimated using the Black-Scholes option-pricing model with the following assumptions: expected dividend yield, expected stock price volatility, weighted-average risk-free interest rate, the average expected term of the lock up period on the shares, and the weighted-average expected term of the warrants. The volatility assumption used in the Black-Scholes model is derived from the historical daily change in the market price of the Company's common stock, as well as the historical daily changes in the market price of its peer group, based on weighting, as determined by the Company, and over a time period equivalent to the lock-up restriction (for the shares) and the warrant term. The risk-free interest rate used in the Black-Scholes model is based on the implied US Treasury bill yield curve at the date of grant with a remaining term equal to the Company’s expected term assumption. The Company has never declared or paid a cash dividend on common shares. The following table summarizes the key inputs utilized to determine the fair value of the Stock Consideration and 2018 Warrants included within the purchase price of ModSpace.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shd w:val="clear" w:color="auto" w:fill="008A5F"/>
          </w:tcPr>
          <w:p>
            <w:pPr>
              <w:spacing w:after="0"/>
              <w:rPr>
                <w:sz w:val="16"/>
                <w:szCs w:val="16"/>
                <w:color w:val="auto"/>
              </w:rPr>
            </w:pPr>
          </w:p>
        </w:tc>
        <w:tc>
          <w:tcPr>
            <w:tcW w:w="4860" w:type="dxa"/>
            <w:vAlign w:val="bottom"/>
            <w:gridSpan w:val="2"/>
            <w:shd w:val="clear" w:color="auto" w:fill="008A5F"/>
          </w:tcPr>
          <w:p>
            <w:pPr>
              <w:jc w:val="right"/>
              <w:ind w:right="139"/>
              <w:spacing w:after="0"/>
              <w:rPr>
                <w:sz w:val="20"/>
                <w:szCs w:val="20"/>
                <w:color w:val="auto"/>
              </w:rPr>
            </w:pPr>
            <w:r>
              <w:rPr>
                <w:rFonts w:ascii="Arial" w:cs="Arial" w:eastAsia="Arial" w:hAnsi="Arial"/>
                <w:sz w:val="16"/>
                <w:szCs w:val="16"/>
                <w:b w:val="1"/>
                <w:bCs w:val="1"/>
                <w:color w:val="FFFFFF"/>
              </w:rPr>
              <w:t>Stock Consideration</w:t>
            </w:r>
          </w:p>
        </w:tc>
        <w:tc>
          <w:tcPr>
            <w:tcW w:w="156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2018 Warrants fair</w:t>
            </w:r>
          </w:p>
        </w:tc>
        <w:tc>
          <w:tcPr>
            <w:tcW w:w="160" w:type="dxa"/>
            <w:vAlign w:val="bottom"/>
            <w:shd w:val="clear" w:color="auto" w:fill="008A5F"/>
          </w:tcPr>
          <w:p>
            <w:pPr>
              <w:spacing w:after="0"/>
              <w:rPr>
                <w:sz w:val="16"/>
                <w:szCs w:val="16"/>
                <w:color w:val="auto"/>
              </w:rPr>
            </w:pPr>
          </w:p>
        </w:tc>
      </w:tr>
      <w:tr>
        <w:trPr>
          <w:trHeight w:val="236"/>
        </w:trPr>
        <w:tc>
          <w:tcPr>
            <w:tcW w:w="4820" w:type="dxa"/>
            <w:vAlign w:val="bottom"/>
            <w:shd w:val="clear" w:color="auto" w:fill="008A5F"/>
          </w:tcPr>
          <w:p>
            <w:pPr>
              <w:spacing w:after="0"/>
              <w:rPr>
                <w:sz w:val="20"/>
                <w:szCs w:val="20"/>
                <w:color w:val="auto"/>
              </w:rPr>
            </w:pPr>
          </w:p>
        </w:tc>
        <w:tc>
          <w:tcPr>
            <w:tcW w:w="4540" w:type="dxa"/>
            <w:vAlign w:val="bottom"/>
            <w:shd w:val="clear" w:color="auto" w:fill="008A5F"/>
          </w:tcPr>
          <w:p>
            <w:pPr>
              <w:jc w:val="right"/>
              <w:spacing w:after="0"/>
              <w:rPr>
                <w:sz w:val="20"/>
                <w:szCs w:val="20"/>
                <w:color w:val="auto"/>
              </w:rPr>
            </w:pPr>
            <w:r>
              <w:rPr>
                <w:rFonts w:ascii="Arial" w:cs="Arial" w:eastAsia="Arial" w:hAnsi="Arial"/>
                <w:sz w:val="16"/>
                <w:szCs w:val="16"/>
                <w:b w:val="1"/>
                <w:bCs w:val="1"/>
                <w:color w:val="FFFFFF"/>
              </w:rPr>
              <w:t>fair value inputs</w:t>
            </w:r>
          </w:p>
        </w:tc>
        <w:tc>
          <w:tcPr>
            <w:tcW w:w="320" w:type="dxa"/>
            <w:vAlign w:val="bottom"/>
            <w:shd w:val="clear" w:color="auto" w:fill="008A5F"/>
          </w:tcPr>
          <w:p>
            <w:pPr>
              <w:spacing w:after="0"/>
              <w:rPr>
                <w:sz w:val="20"/>
                <w:szCs w:val="20"/>
                <w:color w:val="auto"/>
              </w:rPr>
            </w:pPr>
          </w:p>
        </w:tc>
        <w:tc>
          <w:tcPr>
            <w:tcW w:w="15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value inputs</w:t>
            </w:r>
          </w:p>
        </w:tc>
        <w:tc>
          <w:tcPr>
            <w:tcW w:w="160" w:type="dxa"/>
            <w:vAlign w:val="bottom"/>
            <w:shd w:val="clear" w:color="auto" w:fill="008A5F"/>
          </w:tcPr>
          <w:p>
            <w:pPr>
              <w:spacing w:after="0"/>
              <w:rPr>
                <w:sz w:val="20"/>
                <w:szCs w:val="20"/>
                <w:color w:val="auto"/>
              </w:rPr>
            </w:pPr>
          </w:p>
        </w:tc>
      </w:tr>
      <w:tr>
        <w:trPr>
          <w:trHeight w:val="243"/>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Expected volatility</w:t>
            </w:r>
          </w:p>
        </w:tc>
        <w:tc>
          <w:tcPr>
            <w:tcW w:w="4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w:t>
            </w:r>
          </w:p>
        </w:tc>
        <w:tc>
          <w:tcPr>
            <w:tcW w:w="3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35.0</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4"/>
              </w:rPr>
              <w:t>%</w:t>
            </w:r>
          </w:p>
        </w:tc>
      </w:tr>
      <w:tr>
        <w:trPr>
          <w:trHeight w:val="235"/>
        </w:trPr>
        <w:tc>
          <w:tcPr>
            <w:tcW w:w="4820" w:type="dxa"/>
            <w:vAlign w:val="bottom"/>
          </w:tcPr>
          <w:p>
            <w:pPr>
              <w:ind w:left="20"/>
              <w:spacing w:after="0"/>
              <w:rPr>
                <w:sz w:val="20"/>
                <w:szCs w:val="20"/>
                <w:color w:val="auto"/>
              </w:rPr>
            </w:pPr>
            <w:r>
              <w:rPr>
                <w:rFonts w:ascii="Arial" w:cs="Arial" w:eastAsia="Arial" w:hAnsi="Arial"/>
                <w:sz w:val="16"/>
                <w:szCs w:val="16"/>
                <w:color w:val="auto"/>
              </w:rPr>
              <w:t>Risk-free rate of interest</w:t>
            </w:r>
          </w:p>
        </w:tc>
        <w:tc>
          <w:tcPr>
            <w:tcW w:w="454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51"/>
        </w:trPr>
        <w:tc>
          <w:tcPr>
            <w:tcW w:w="4820" w:type="dxa"/>
            <w:vAlign w:val="bottom"/>
            <w:shd w:val="clear" w:color="auto" w:fill="E7E7E8"/>
          </w:tcPr>
          <w:p>
            <w:pPr>
              <w:ind w:left="20"/>
              <w:spacing w:after="0"/>
              <w:rPr>
                <w:sz w:val="20"/>
                <w:szCs w:val="20"/>
                <w:color w:val="auto"/>
              </w:rPr>
            </w:pPr>
            <w:r>
              <w:rPr>
                <w:rFonts w:ascii="Arial" w:cs="Arial" w:eastAsia="Arial" w:hAnsi="Arial"/>
                <w:sz w:val="16"/>
                <w:szCs w:val="16"/>
                <w:color w:val="auto"/>
              </w:rPr>
              <w:t>Dividend yield</w:t>
            </w:r>
          </w:p>
        </w:tc>
        <w:tc>
          <w:tcPr>
            <w:tcW w:w="4860" w:type="dxa"/>
            <w:vAlign w:val="bottom"/>
            <w:gridSpan w:val="2"/>
            <w:shd w:val="clear" w:color="auto" w:fill="E7E7E8"/>
          </w:tcPr>
          <w:p>
            <w:pPr>
              <w:jc w:val="right"/>
              <w:ind w:right="59"/>
              <w:spacing w:after="0"/>
              <w:rPr>
                <w:sz w:val="20"/>
                <w:szCs w:val="20"/>
                <w:color w:val="auto"/>
              </w:rPr>
            </w:pPr>
            <w:r>
              <w:rPr>
                <w:rFonts w:ascii="Arial" w:cs="Arial" w:eastAsia="Arial" w:hAnsi="Arial"/>
                <w:sz w:val="16"/>
                <w:szCs w:val="16"/>
                <w:color w:val="auto"/>
              </w:rPr>
              <w:t>— %</w:t>
            </w:r>
          </w:p>
        </w:tc>
        <w:tc>
          <w:tcPr>
            <w:tcW w:w="1720" w:type="dxa"/>
            <w:vAlign w:val="bottom"/>
            <w:gridSpan w:val="2"/>
            <w:shd w:val="clear" w:color="auto" w:fill="E7E7E8"/>
          </w:tcPr>
          <w:p>
            <w:pPr>
              <w:jc w:val="right"/>
              <w:spacing w:after="0"/>
              <w:rPr>
                <w:sz w:val="20"/>
                <w:szCs w:val="20"/>
                <w:color w:val="auto"/>
              </w:rPr>
            </w:pPr>
            <w:r>
              <w:rPr>
                <w:rFonts w:ascii="Arial" w:cs="Arial" w:eastAsia="Arial" w:hAnsi="Arial"/>
                <w:sz w:val="16"/>
                <w:szCs w:val="16"/>
                <w:color w:val="auto"/>
              </w:rPr>
              <w:t>— %</w:t>
            </w:r>
          </w:p>
        </w:tc>
      </w:tr>
      <w:tr>
        <w:trPr>
          <w:trHeight w:val="228"/>
        </w:trPr>
        <w:tc>
          <w:tcPr>
            <w:tcW w:w="482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4860" w:type="dxa"/>
            <w:vAlign w:val="bottom"/>
            <w:gridSpan w:val="2"/>
          </w:tcPr>
          <w:p>
            <w:pPr>
              <w:jc w:val="right"/>
              <w:ind w:right="99"/>
              <w:spacing w:after="0"/>
              <w:rPr>
                <w:sz w:val="20"/>
                <w:szCs w:val="20"/>
                <w:color w:val="auto"/>
              </w:rPr>
            </w:pPr>
            <w:r>
              <w:rPr>
                <w:rFonts w:ascii="Arial" w:cs="Arial" w:eastAsia="Arial" w:hAnsi="Arial"/>
                <w:sz w:val="16"/>
                <w:szCs w:val="16"/>
                <w:color w:val="auto"/>
              </w:rPr>
              <w:t>0.5</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08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008A5F"/>
        </w:rPr>
        <w:t>Opening Balance Sheet</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The purchase price of ModSpace was assigned to the underlying assets acquired and liabilities assumed based upon their estimated fair values at the date of acquisition, August 15, 2018. The Company estimated the fair values based on independent valuations, discounted cash flow analyses, quoted market prices, contributory asset charges, and estimates made by management. The final assignment of the fair value of the ModSpace acquisition, including the final assignment of goodwill to our reporting units was not complete as of March 31, 2019, but will be finalized within the allowable one year measurement period. The following table summarizes the preliminary fair values of the assets acquired and liabilities assumed as of the acquisition date, August 15, 2018, and adjustments made to these balances during the allowable measurement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shd w:val="clear" w:color="auto" w:fill="008A5F"/>
          </w:tcPr>
          <w:p>
            <w:pPr>
              <w:spacing w:after="0"/>
              <w:rPr>
                <w:sz w:val="17"/>
                <w:szCs w:val="17"/>
                <w:color w:val="auto"/>
              </w:rPr>
            </w:pPr>
          </w:p>
        </w:tc>
        <w:tc>
          <w:tcPr>
            <w:tcW w:w="220" w:type="dxa"/>
            <w:vAlign w:val="bottom"/>
            <w:shd w:val="clear" w:color="auto" w:fill="008A5F"/>
          </w:tcPr>
          <w:p>
            <w:pPr>
              <w:spacing w:after="0"/>
              <w:rPr>
                <w:sz w:val="17"/>
                <w:szCs w:val="17"/>
                <w:color w:val="auto"/>
              </w:rPr>
            </w:pPr>
          </w:p>
        </w:tc>
        <w:tc>
          <w:tcPr>
            <w:tcW w:w="1460" w:type="dxa"/>
            <w:vAlign w:val="bottom"/>
            <w:gridSpan w:val="2"/>
            <w:shd w:val="clear" w:color="auto" w:fill="008A5F"/>
          </w:tcPr>
          <w:p>
            <w:pPr>
              <w:jc w:val="center"/>
              <w:ind w:right="340"/>
              <w:spacing w:after="0"/>
              <w:rPr>
                <w:sz w:val="20"/>
                <w:szCs w:val="20"/>
                <w:color w:val="auto"/>
              </w:rPr>
            </w:pPr>
            <w:r>
              <w:rPr>
                <w:rFonts w:ascii="Arial" w:cs="Arial" w:eastAsia="Arial" w:hAnsi="Arial"/>
                <w:sz w:val="16"/>
                <w:szCs w:val="16"/>
                <w:b w:val="1"/>
                <w:bCs w:val="1"/>
                <w:color w:val="FFFFFF"/>
              </w:rPr>
              <w:t>Preliminary</w:t>
            </w:r>
          </w:p>
        </w:tc>
        <w:tc>
          <w:tcPr>
            <w:tcW w:w="200" w:type="dxa"/>
            <w:vAlign w:val="bottom"/>
            <w:shd w:val="clear" w:color="auto" w:fill="008A5F"/>
          </w:tcPr>
          <w:p>
            <w:pPr>
              <w:spacing w:after="0"/>
              <w:rPr>
                <w:sz w:val="17"/>
                <w:szCs w:val="17"/>
                <w:color w:val="auto"/>
              </w:rPr>
            </w:pPr>
          </w:p>
        </w:tc>
        <w:tc>
          <w:tcPr>
            <w:tcW w:w="1380" w:type="dxa"/>
            <w:vAlign w:val="bottom"/>
            <w:shd w:val="clear" w:color="auto" w:fill="008A5F"/>
          </w:tcPr>
          <w:p>
            <w:pPr>
              <w:spacing w:after="0"/>
              <w:rPr>
                <w:sz w:val="17"/>
                <w:szCs w:val="17"/>
                <w:color w:val="auto"/>
              </w:rPr>
            </w:pPr>
          </w:p>
        </w:tc>
        <w:tc>
          <w:tcPr>
            <w:tcW w:w="80" w:type="dxa"/>
            <w:vAlign w:val="bottom"/>
            <w:shd w:val="clear" w:color="auto" w:fill="008A5F"/>
          </w:tcPr>
          <w:p>
            <w:pPr>
              <w:spacing w:after="0"/>
              <w:rPr>
                <w:sz w:val="17"/>
                <w:szCs w:val="17"/>
                <w:color w:val="auto"/>
              </w:rPr>
            </w:pPr>
          </w:p>
        </w:tc>
        <w:tc>
          <w:tcPr>
            <w:tcW w:w="120" w:type="dxa"/>
            <w:vAlign w:val="bottom"/>
            <w:shd w:val="clear" w:color="auto" w:fill="008A5F"/>
          </w:tcPr>
          <w:p>
            <w:pPr>
              <w:spacing w:after="0"/>
              <w:rPr>
                <w:sz w:val="17"/>
                <w:szCs w:val="17"/>
                <w:color w:val="auto"/>
              </w:rPr>
            </w:pPr>
          </w:p>
        </w:tc>
        <w:tc>
          <w:tcPr>
            <w:tcW w:w="146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Balance at March</w:t>
            </w:r>
          </w:p>
        </w:tc>
      </w:tr>
      <w:tr>
        <w:trPr>
          <w:trHeight w:val="236"/>
        </w:trPr>
        <w:tc>
          <w:tcPr>
            <w:tcW w:w="64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rPr>
              <w:t>Balance</w:t>
            </w:r>
          </w:p>
        </w:tc>
        <w:tc>
          <w:tcPr>
            <w:tcW w:w="200" w:type="dxa"/>
            <w:vAlign w:val="bottom"/>
            <w:shd w:val="clear" w:color="auto" w:fill="008A5F"/>
          </w:tcPr>
          <w:p>
            <w:pPr>
              <w:spacing w:after="0"/>
              <w:rPr>
                <w:sz w:val="20"/>
                <w:szCs w:val="20"/>
                <w:color w:val="auto"/>
              </w:rPr>
            </w:pPr>
          </w:p>
        </w:tc>
        <w:tc>
          <w:tcPr>
            <w:tcW w:w="14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Adjustments</w:t>
            </w:r>
          </w:p>
        </w:tc>
        <w:tc>
          <w:tcPr>
            <w:tcW w:w="120" w:type="dxa"/>
            <w:vAlign w:val="bottom"/>
            <w:shd w:val="clear" w:color="auto" w:fill="008A5F"/>
          </w:tcPr>
          <w:p>
            <w:pPr>
              <w:spacing w:after="0"/>
              <w:rPr>
                <w:sz w:val="20"/>
                <w:szCs w:val="20"/>
                <w:color w:val="auto"/>
              </w:rPr>
            </w:pPr>
          </w:p>
        </w:tc>
        <w:tc>
          <w:tcPr>
            <w:tcW w:w="146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31, 2019</w:t>
            </w: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Trade receivables, net (a)</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81,320</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(721)</w:t>
            </w:r>
          </w:p>
        </w:tc>
        <w:tc>
          <w:tcPr>
            <w:tcW w:w="8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80,599</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17,342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17,648</w:t>
            </w:r>
          </w:p>
        </w:tc>
      </w:tr>
      <w:tr>
        <w:trPr>
          <w:trHeight w:val="251"/>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4,757</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4,757</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Rental equipment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853,986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854,264</w:t>
            </w:r>
          </w:p>
        </w:tc>
      </w:tr>
      <w:tr>
        <w:trPr>
          <w:trHeight w:val="251"/>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110,413</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4,759</w:t>
            </w:r>
          </w:p>
        </w:tc>
        <w:tc>
          <w:tcPr>
            <w:tcW w:w="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115,172</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51"/>
        </w:trPr>
        <w:tc>
          <w:tcPr>
            <w:tcW w:w="64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Favorable leases (b)</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3,976</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Trade name (b)</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44"/>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46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1,855</w:t>
            </w: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Total identifiable assets acquired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1,076,649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1,081,271</w:t>
            </w:r>
          </w:p>
        </w:tc>
      </w:tr>
      <w:tr>
        <w:trPr>
          <w:trHeight w:val="116"/>
        </w:trPr>
        <w:tc>
          <w:tcPr>
            <w:tcW w:w="648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36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200" w:type="dxa"/>
            <w:vAlign w:val="bottom"/>
            <w:shd w:val="clear" w:color="auto" w:fill="E7E7E8"/>
          </w:tcPr>
          <w:p>
            <w:pPr>
              <w:spacing w:after="0"/>
              <w:rPr>
                <w:sz w:val="10"/>
                <w:szCs w:val="10"/>
                <w:color w:val="auto"/>
              </w:rPr>
            </w:pPr>
          </w:p>
        </w:tc>
        <w:tc>
          <w:tcPr>
            <w:tcW w:w="1380" w:type="dxa"/>
            <w:vAlign w:val="bottom"/>
            <w:shd w:val="clear" w:color="auto" w:fill="E7E7E8"/>
          </w:tcPr>
          <w:p>
            <w:pPr>
              <w:spacing w:after="0"/>
              <w:rPr>
                <w:sz w:val="10"/>
                <w:szCs w:val="10"/>
                <w:color w:val="auto"/>
              </w:rPr>
            </w:pPr>
          </w:p>
        </w:tc>
        <w:tc>
          <w:tcPr>
            <w:tcW w:w="8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1460" w:type="dxa"/>
            <w:vAlign w:val="bottom"/>
            <w:shd w:val="clear" w:color="auto" w:fill="E7E7E8"/>
          </w:tcPr>
          <w:p>
            <w:pPr>
              <w:spacing w:after="0"/>
              <w:rPr>
                <w:sz w:val="10"/>
                <w:szCs w:val="10"/>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31,551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31,144</w:t>
            </w:r>
          </w:p>
        </w:tc>
      </w:tr>
      <w:tr>
        <w:trPr>
          <w:trHeight w:val="251"/>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E7E7E8"/>
          </w:tcPr>
          <w:p>
            <w:pPr>
              <w:spacing w:after="0"/>
              <w:rPr>
                <w:sz w:val="21"/>
                <w:szCs w:val="21"/>
                <w:color w:val="auto"/>
              </w:rPr>
            </w:pP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37,678</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37,979</w:t>
            </w:r>
          </w:p>
        </w:tc>
      </w:tr>
      <w:tr>
        <w:trPr>
          <w:trHeight w:val="237"/>
        </w:trPr>
        <w:tc>
          <w:tcPr>
            <w:tcW w:w="6480" w:type="dxa"/>
            <w:vAlign w:val="bottom"/>
          </w:tcPr>
          <w:p>
            <w:pPr>
              <w:ind w:left="20"/>
              <w:spacing w:after="0"/>
              <w:rPr>
                <w:sz w:val="20"/>
                <w:szCs w:val="20"/>
                <w:color w:val="auto"/>
              </w:rPr>
            </w:pPr>
            <w:r>
              <w:rPr>
                <w:rFonts w:ascii="Arial" w:cs="Arial" w:eastAsia="Arial" w:hAnsi="Arial"/>
                <w:sz w:val="16"/>
                <w:szCs w:val="16"/>
                <w:color w:val="auto"/>
              </w:rPr>
              <w:t>Deferred revenue and customer deposits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15,938</w:t>
            </w:r>
          </w:p>
        </w:tc>
      </w:tr>
      <w:tr>
        <w:trPr>
          <w:trHeight w:val="243"/>
        </w:trPr>
        <w:tc>
          <w:tcPr>
            <w:tcW w:w="648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liabilities assumed</w:t>
            </w:r>
          </w:p>
        </w:tc>
        <w:tc>
          <w:tcPr>
            <w:tcW w:w="220" w:type="dxa"/>
            <w:vAlign w:val="bottom"/>
            <w:tcBorders>
              <w:top w:val="single" w:sz="8" w:color="auto"/>
            </w:tcBorders>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85,167</w:t>
            </w:r>
          </w:p>
        </w:tc>
        <w:tc>
          <w:tcPr>
            <w:tcW w:w="100" w:type="dxa"/>
            <w:vAlign w:val="bottom"/>
            <w:tcBorders>
              <w:top w:val="single" w:sz="8" w:color="E7E7E8"/>
            </w:tcBorders>
            <w:shd w:val="clear" w:color="auto" w:fill="E7E7E8"/>
          </w:tcPr>
          <w:p>
            <w:pPr>
              <w:spacing w:after="0"/>
              <w:rPr>
                <w:sz w:val="21"/>
                <w:szCs w:val="21"/>
                <w:color w:val="auto"/>
              </w:rPr>
            </w:pPr>
          </w:p>
        </w:tc>
        <w:tc>
          <w:tcPr>
            <w:tcW w:w="200" w:type="dxa"/>
            <w:vAlign w:val="bottom"/>
            <w:tcBorders>
              <w:top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(106)</w:t>
            </w:r>
          </w:p>
        </w:tc>
        <w:tc>
          <w:tcPr>
            <w:tcW w:w="80" w:type="dxa"/>
            <w:vAlign w:val="bottom"/>
            <w:tcBorders>
              <w:top w:val="single" w:sz="8" w:color="E7E7E8"/>
            </w:tcBorders>
            <w:shd w:val="clear" w:color="auto" w:fill="E7E7E8"/>
          </w:tcPr>
          <w:p>
            <w:pPr>
              <w:spacing w:after="0"/>
              <w:rPr>
                <w:sz w:val="21"/>
                <w:szCs w:val="21"/>
                <w:color w:val="auto"/>
              </w:rPr>
            </w:pPr>
          </w:p>
        </w:tc>
        <w:tc>
          <w:tcPr>
            <w:tcW w:w="1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85,061</w:t>
            </w:r>
          </w:p>
        </w:tc>
      </w:tr>
      <w:tr>
        <w:trPr>
          <w:trHeight w:val="95"/>
        </w:trPr>
        <w:tc>
          <w:tcPr>
            <w:tcW w:w="6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43"/>
        </w:trPr>
        <w:tc>
          <w:tcPr>
            <w:tcW w:w="648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goodwill (c)</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215,764</w:t>
            </w:r>
          </w:p>
        </w:tc>
        <w:tc>
          <w:tcPr>
            <w:tcW w:w="100" w:type="dxa"/>
            <w:vAlign w:val="bottom"/>
            <w:shd w:val="clear" w:color="auto" w:fill="E7E7E8"/>
          </w:tcPr>
          <w:p>
            <w:pPr>
              <w:spacing w:after="0"/>
              <w:rPr>
                <w:sz w:val="21"/>
                <w:szCs w:val="21"/>
                <w:color w:val="auto"/>
              </w:rPr>
            </w:pP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(4,728)</w:t>
            </w:r>
          </w:p>
        </w:tc>
        <w:tc>
          <w:tcPr>
            <w:tcW w:w="8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211,036</w:t>
            </w:r>
          </w:p>
        </w:tc>
      </w:tr>
    </w:tbl>
    <w:p>
      <w:pPr>
        <w:spacing w:after="0" w:line="2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accounts receivable was $80.6 million and the gross contractual amount was $86.1 million. The Company estimated that $5.5 million is uncollectible.</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trade name has an estimated useful life of 3 years. The favorable lease asset has an estimated useful life of 6 years.</w:t>
      </w:r>
    </w:p>
    <w:p>
      <w:pPr>
        <w:spacing w:after="0" w:line="55" w:lineRule="exact"/>
        <w:rPr>
          <w:rFonts w:ascii="Arial" w:cs="Arial" w:eastAsia="Arial" w:hAnsi="Arial"/>
          <w:sz w:val="14"/>
          <w:szCs w:val="14"/>
          <w:color w:val="auto"/>
        </w:rPr>
      </w:pPr>
    </w:p>
    <w:p>
      <w:pPr>
        <w:jc w:val="both"/>
        <w:ind w:right="20" w:firstLine="8"/>
        <w:spacing w:after="0" w:line="266" w:lineRule="auto"/>
        <w:tabs>
          <w:tab w:leader="none" w:pos="225"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goodwill is reflective of ModSpace’s going concern value and operational synergies that the Company expects to achieve that would not be available to other market participants. The goodwill represented on the balance sheet is not deductible for income tax purposes. The goodwill is assigned to the Modular – US and Modular – Other North America segments, defined in Note 15, in the amounts of $176.1 million and $34.9 million,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3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008A5F"/>
        </w:rPr>
        <w:t>Pro Forma Information</w:t>
      </w:r>
    </w:p>
    <w:p>
      <w:pPr>
        <w:spacing w:after="0" w:line="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pro forma information below has been prepared using the purchase method of accounting, giving effect to the ModSpace acquisition as if it had been completed on January 1, 2018. The pro forma information is not necessarily indicative of the Company’s results of operations had the acquisition been completed on the above date, nor is it necessarily indicative of the Company’s future results. The pro forma information does not reflect any cost savings from operating efficiencies or synergies that could result from the acquisition, and also does not reflect additional revenue opportunities following the acquisition. The tables below present unaudited pro forma consolidated statements of operations information as if ModSpace had been included in the Company’s consolidated results for the three months ended March 31, 2018:</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00" w:type="dxa"/>
            <w:vAlign w:val="bottom"/>
            <w:shd w:val="clear" w:color="auto" w:fill="008A5F"/>
          </w:tcPr>
          <w:p>
            <w:pPr>
              <w:spacing w:after="0"/>
              <w:rPr>
                <w:sz w:val="17"/>
                <w:szCs w:val="17"/>
                <w:color w:val="auto"/>
              </w:rPr>
            </w:pPr>
          </w:p>
        </w:tc>
        <w:tc>
          <w:tcPr>
            <w:tcW w:w="1700" w:type="dxa"/>
            <w:vAlign w:val="bottom"/>
            <w:gridSpan w:val="2"/>
            <w:shd w:val="clear" w:color="auto" w:fill="008A5F"/>
          </w:tcPr>
          <w:p>
            <w:pPr>
              <w:ind w:left="20"/>
              <w:spacing w:after="0"/>
              <w:rPr>
                <w:sz w:val="20"/>
                <w:szCs w:val="20"/>
                <w:color w:val="auto"/>
              </w:rPr>
            </w:pPr>
            <w:r>
              <w:rPr>
                <w:rFonts w:ascii="Arial" w:cs="Arial" w:eastAsia="Arial" w:hAnsi="Arial"/>
                <w:sz w:val="16"/>
                <w:szCs w:val="16"/>
                <w:b w:val="1"/>
                <w:bCs w:val="1"/>
                <w:color w:val="FFFFFF"/>
              </w:rPr>
              <w:t>Three Months Ended</w:t>
            </w:r>
          </w:p>
        </w:tc>
      </w:tr>
      <w:tr>
        <w:trPr>
          <w:trHeight w:val="236"/>
        </w:trPr>
        <w:tc>
          <w:tcPr>
            <w:tcW w:w="970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20"/>
                <w:szCs w:val="20"/>
                <w:color w:val="auto"/>
              </w:rPr>
            </w:pPr>
          </w:p>
        </w:tc>
        <w:tc>
          <w:tcPr>
            <w:tcW w:w="152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March 31, 2018</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revenues</w:t>
            </w:r>
          </w:p>
        </w:tc>
        <w:tc>
          <w:tcPr>
            <w:tcW w:w="18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134,751</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revenues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109,347</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revenues</w:t>
            </w:r>
          </w:p>
        </w:tc>
        <w:tc>
          <w:tcPr>
            <w:tcW w:w="18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244,098</w:t>
            </w:r>
          </w:p>
        </w:tc>
      </w:tr>
      <w:tr>
        <w:trPr>
          <w:trHeight w:val="203"/>
        </w:trPr>
        <w:tc>
          <w:tcPr>
            <w:tcW w:w="9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WillScot pre-tax loss</w:t>
            </w:r>
          </w:p>
        </w:tc>
        <w:tc>
          <w:tcPr>
            <w:tcW w:w="180" w:type="dxa"/>
            <w:vAlign w:val="bottom"/>
            <w:shd w:val="clear" w:color="auto" w:fill="E7E7E8"/>
          </w:tcPr>
          <w:p>
            <w:pPr>
              <w:spacing w:after="0"/>
              <w:rPr>
                <w:sz w:val="20"/>
                <w:szCs w:val="20"/>
                <w:color w:val="auto"/>
              </w:rPr>
            </w:pPr>
            <w:r>
              <w:rPr>
                <w:rFonts w:ascii="Arial" w:cs="Arial" w:eastAsia="Arial" w:hAnsi="Arial"/>
                <w:sz w:val="16"/>
                <w:szCs w:val="16"/>
                <w:color w:val="auto"/>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ModSpace pre-tax gain</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Pre-tax loss before pro forma adjustments</w:t>
            </w: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(6,523)</w:t>
            </w:r>
          </w:p>
        </w:tc>
      </w:tr>
      <w:tr>
        <w:trPr>
          <w:trHeight w:val="235"/>
        </w:trPr>
        <w:tc>
          <w:tcPr>
            <w:tcW w:w="9700" w:type="dxa"/>
            <w:vAlign w:val="bottom"/>
          </w:tcPr>
          <w:p>
            <w:pPr>
              <w:ind w:left="20"/>
              <w:spacing w:after="0"/>
              <w:rPr>
                <w:sz w:val="20"/>
                <w:szCs w:val="20"/>
                <w:color w:val="auto"/>
              </w:rPr>
            </w:pPr>
            <w:r>
              <w:rPr>
                <w:rFonts w:ascii="Arial" w:cs="Arial" w:eastAsia="Arial" w:hAnsi="Arial"/>
                <w:sz w:val="16"/>
                <w:szCs w:val="16"/>
                <w:color w:val="auto"/>
              </w:rPr>
              <w:t>Pro forma adjustments to combined pre-tax loss: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97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Impact of fair value mark-ups/useful life changes on depreciation (a)</w:t>
            </w: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(3,001)</w:t>
            </w:r>
          </w:p>
        </w:tc>
      </w:tr>
      <w:tr>
        <w:trPr>
          <w:trHeight w:val="235"/>
        </w:trPr>
        <w:tc>
          <w:tcPr>
            <w:tcW w:w="9700" w:type="dxa"/>
            <w:vAlign w:val="bottom"/>
          </w:tcPr>
          <w:p>
            <w:pPr>
              <w:ind w:left="340"/>
              <w:spacing w:after="0"/>
              <w:rPr>
                <w:sz w:val="20"/>
                <w:szCs w:val="20"/>
                <w:color w:val="auto"/>
              </w:rPr>
            </w:pPr>
            <w:r>
              <w:rPr>
                <w:rFonts w:ascii="Arial" w:cs="Arial" w:eastAsia="Arial" w:hAnsi="Arial"/>
                <w:sz w:val="16"/>
                <w:szCs w:val="16"/>
                <w:color w:val="auto"/>
              </w:rPr>
              <w:t>Intangible asset amortization (b)</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51"/>
        </w:trPr>
        <w:tc>
          <w:tcPr>
            <w:tcW w:w="9700" w:type="dxa"/>
            <w:vAlign w:val="bottom"/>
            <w:shd w:val="clear" w:color="auto" w:fill="E7E7E8"/>
          </w:tcPr>
          <w:p>
            <w:pPr>
              <w:ind w:left="340"/>
              <w:spacing w:after="0"/>
              <w:rPr>
                <w:sz w:val="20"/>
                <w:szCs w:val="20"/>
                <w:color w:val="auto"/>
              </w:rPr>
            </w:pPr>
            <w:r>
              <w:rPr>
                <w:rFonts w:ascii="Arial" w:cs="Arial" w:eastAsia="Arial" w:hAnsi="Arial"/>
                <w:sz w:val="16"/>
                <w:szCs w:val="16"/>
                <w:color w:val="auto"/>
              </w:rPr>
              <w:t>Interest expense (c)</w:t>
            </w: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(16,425)</w:t>
            </w:r>
          </w:p>
        </w:tc>
      </w:tr>
      <w:tr>
        <w:trPr>
          <w:trHeight w:val="237"/>
        </w:trPr>
        <w:tc>
          <w:tcPr>
            <w:tcW w:w="9700" w:type="dxa"/>
            <w:vAlign w:val="bottom"/>
            <w:tcBorders>
              <w:bottom w:val="single" w:sz="8" w:color="E7E7E8"/>
            </w:tcBorders>
          </w:tcPr>
          <w:p>
            <w:pPr>
              <w:ind w:left="340"/>
              <w:spacing w:after="0"/>
              <w:rPr>
                <w:sz w:val="20"/>
                <w:szCs w:val="20"/>
                <w:color w:val="auto"/>
              </w:rPr>
            </w:pPr>
            <w:r>
              <w:rPr>
                <w:rFonts w:ascii="Arial" w:cs="Arial" w:eastAsia="Arial" w:hAnsi="Arial"/>
                <w:sz w:val="16"/>
                <w:szCs w:val="16"/>
                <w:color w:val="auto"/>
              </w:rPr>
              <w:t>Elimination of ModSpace interest (d)</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7,773</w:t>
            </w:r>
          </w:p>
        </w:tc>
      </w:tr>
      <w:tr>
        <w:trPr>
          <w:trHeight w:val="243"/>
        </w:trPr>
        <w:tc>
          <w:tcPr>
            <w:tcW w:w="970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 forma pre-tax loss (e)</w:t>
            </w:r>
          </w:p>
        </w:tc>
        <w:tc>
          <w:tcPr>
            <w:tcW w:w="180" w:type="dxa"/>
            <w:vAlign w:val="bottom"/>
            <w:shd w:val="clear" w:color="auto" w:fill="E7E7E8"/>
          </w:tcPr>
          <w:p>
            <w:pPr>
              <w:spacing w:after="0"/>
              <w:rPr>
                <w:sz w:val="21"/>
                <w:szCs w:val="21"/>
                <w:color w:val="auto"/>
              </w:rPr>
            </w:pP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(18,426)</w:t>
            </w:r>
          </w:p>
        </w:tc>
      </w:tr>
      <w:tr>
        <w:trPr>
          <w:trHeight w:val="237"/>
        </w:trPr>
        <w:tc>
          <w:tcPr>
            <w:tcW w:w="97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Income tax benefit (g)</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r>
      <w:tr>
        <w:trPr>
          <w:trHeight w:val="262"/>
        </w:trPr>
        <w:tc>
          <w:tcPr>
            <w:tcW w:w="97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Pro forma net loss</w:t>
            </w:r>
          </w:p>
        </w:tc>
        <w:tc>
          <w:tcPr>
            <w:tcW w:w="18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(17,357)</w:t>
            </w:r>
          </w:p>
        </w:tc>
      </w:tr>
      <w:tr>
        <w:trPr>
          <w:trHeight w:val="20"/>
        </w:trPr>
        <w:tc>
          <w:tcPr>
            <w:tcW w:w="97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firstLine="8"/>
        <w:spacing w:after="0" w:line="245" w:lineRule="auto"/>
        <w:tabs>
          <w:tab w:leader="none" w:pos="228" w:val="left"/>
        </w:tabs>
        <w:numPr>
          <w:ilvl w:val="0"/>
          <w:numId w:val="6"/>
        </w:numPr>
        <w:rPr>
          <w:rFonts w:ascii="Arial" w:cs="Arial" w:eastAsia="Arial" w:hAnsi="Arial"/>
          <w:sz w:val="14"/>
          <w:szCs w:val="14"/>
          <w:color w:val="auto"/>
        </w:rPr>
      </w:pPr>
      <w:r>
        <w:rPr>
          <w:rFonts w:ascii="Arial" w:cs="Arial" w:eastAsia="Arial" w:hAnsi="Arial"/>
          <w:sz w:val="14"/>
          <w:szCs w:val="14"/>
          <w:color w:val="auto"/>
        </w:rPr>
        <w:t>Depreciation of rental equipment and non-rental depreciation were adjusted for the fair value mark-ups of equipment acquired in the ModSpace acquisition. The useful lives assigned did not change significantly from the useful lives used by ModSpace.</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Amortization of the trade name acquired in ModSpace acquisition.</w:t>
      </w:r>
    </w:p>
    <w:p>
      <w:pPr>
        <w:spacing w:after="0" w:line="36" w:lineRule="exact"/>
        <w:rPr>
          <w:rFonts w:ascii="Arial" w:cs="Arial" w:eastAsia="Arial" w:hAnsi="Arial"/>
          <w:sz w:val="14"/>
          <w:szCs w:val="14"/>
          <w:color w:val="auto"/>
        </w:rPr>
      </w:pPr>
    </w:p>
    <w:p>
      <w:pPr>
        <w:jc w:val="both"/>
        <w:ind w:right="20" w:firstLine="8"/>
        <w:spacing w:after="0" w:line="261" w:lineRule="auto"/>
        <w:tabs>
          <w:tab w:leader="none" w:pos="214"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connection with the ModSpace acquisition, the Company drew an incremental $419.0 million on the ABL Facility as defined in Note 7, and issued $300.0 million of secured notes and $200.0 million of unsecured notes. As of March 31, 2019, the weighted-average interest rate for the aforementioned borrowings was 6.54%. Interest expense includes amortization of related deferred financing fees on debt incurred in conjunction with ModSpace acquisition.</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on ModSpace historic debt was eliminated.</w:t>
      </w:r>
    </w:p>
    <w:p>
      <w:pPr>
        <w:spacing w:after="0" w:line="33"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pre-tax loss includes $0.6 million and $2.6 million of restructuring expense and integration costs incurred by WillScot for the three months ended March 31, 2018.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(g) The pro forma tax rate applied to the ModSpace pre-tax loss is the same as the WillScot effective rate for the period.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and Integration Costs</w:t>
      </w:r>
    </w:p>
    <w:p>
      <w:pPr>
        <w:spacing w:after="0" w:line="6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The Company incurred $10.1 million and $2.6 million in integration costs within selling, general and administrative ("SG&amp;A") expenses for the three months ended March 31, 2019 and 2018, respectively. The 2019 integration costs relate to the ModSpace acquisition, and the 2018 costs relate to the Acton and Tyson acquisitions.</w:t>
      </w:r>
    </w:p>
    <w:p>
      <w:pPr>
        <w:spacing w:after="0"/>
        <w:rPr>
          <w:sz w:val="20"/>
          <w:szCs w:val="20"/>
          <w:color w:val="auto"/>
        </w:rPr>
      </w:pPr>
      <w:r>
        <w:rPr>
          <w:rFonts w:ascii="Arial" w:cs="Arial" w:eastAsia="Arial" w:hAnsi="Arial"/>
          <w:sz w:val="18"/>
          <w:szCs w:val="18"/>
          <w:b w:val="1"/>
          <w:bCs w:val="1"/>
          <w:color w:val="auto"/>
        </w:rPr>
        <w:t>Assets Held for Sale</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connection with the integration of ModSpace, during the three months ended March 31, 2019, the Company reclassified seven additional legacy ModSpace branch facilities from property, plant and equipment to held for sale, in addition to the three held for sale properties that were recognized at December 31, 2018. The net book value of assets transferred from property, plant and equipment to held for sale during the three months ended March 31, 2019 was $18.2 million, reflecting an additional impairment of $2.3 million recorded during the period. The total fair value of held for sale assets less costs to sell was $21.0 million and $2.8 million as of March 31, 2019 and December 31, 2018, respectively.</w:t>
      </w:r>
    </w:p>
    <w:p>
      <w:pPr>
        <w:spacing w:after="0" w:line="1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fair value of the assets held for sale was determined using valuations from third party brokers, which were based on current sales prices for comparable assets in the market, a Level 2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48" w:right="239" w:bottom="1440" w:gutter="0" w:footer="0" w:header="0"/>
        </w:sectPr>
      </w:pPr>
    </w:p>
    <w:bookmarkStart w:id="13" w:name="page14"/>
    <w:bookmarkEnd w:id="13"/>
    <w:p>
      <w:pPr>
        <w:spacing w:after="0"/>
        <w:rPr>
          <w:sz w:val="20"/>
          <w:szCs w:val="20"/>
          <w:color w:val="auto"/>
        </w:rPr>
      </w:pPr>
      <w:r>
        <w:rPr>
          <w:rFonts w:ascii="Arial" w:cs="Arial" w:eastAsia="Arial" w:hAnsi="Arial"/>
          <w:sz w:val="23"/>
          <w:szCs w:val="23"/>
          <w:color w:val="008A5F"/>
        </w:rPr>
        <w:t>NOTE 3 - Revenue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Topic 606</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January 1, 2019, the Company adopted Topic 606 as well as subsequent updates using the modified retrospective method applied to those contracts that were not completed as of January 1, 2019. Results for reporting periods beginning after January 1, 2019 are presented under the guidance required by Topic 606, while prior period amounts are not adjusted and continue to be reported in accordance with the Company’s historic accounting under ASC 605, Revenue Recognition ("Topic 605"). The implementation of Topic 606 did not have a material impact on the Company’s financial results for the period ending March 31,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 Recognition Policy</w:t>
      </w:r>
    </w:p>
    <w:p>
      <w:pPr>
        <w:spacing w:after="0" w:line="7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Leasing and Services Revenue</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majority of revenue (68% and 70% in the periods ending March 31, 2019 and 2018, respectively) is generated by rental income subject to the guidance of ASC 840. The remaining revenue is generated by contracts with customers subject to the guidance in Topic 606 or Topic 605 for 2019 and 2018, respectively.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Leasing Revenue (ASC 840)</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Income from operating leases is recognized on a straight-line basis over the lease term. Our lease arrangements typically include multiple lease and non-lease components. Examples of lease components include, but are not limited to, the lease of modular space or portable storage units, and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When leases and services are billed in advance, recognition of revenue is deferred until services are rendered. If equipment is returned prior to the contractually obligated period, the excess, if any, between the amount the customer is contractually required to pay over the cumulative amount of revenue recognized to date, is recognized as incremental revenue upon return.</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Rental equipment is leased primarily under operating leases and, from time to time, under sales-type lease arrangements. Operating lease minimum contractual terms generally range from 1 month to 60 months, and averaged approximately 10 months across our rental fleet for the three months ended March 31, 2019.</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Services Revenue (Topic 606)</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generally has three non-lease service-related performance obligations in its contracts with customers:</w:t>
      </w:r>
    </w:p>
    <w:p>
      <w:pPr>
        <w:spacing w:after="0" w:line="59"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Delivery and installation of the modular or portable storage unit;</w:t>
      </w:r>
    </w:p>
    <w:p>
      <w:pPr>
        <w:spacing w:after="0" w:line="2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Maintenance and other ad-hoc services performed during the lease term;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Removal services that occur at the end of the lease term.</w:t>
      </w:r>
    </w:p>
    <w:p>
      <w:pPr>
        <w:spacing w:after="0" w:line="3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Consideration is allocated to each of these performance obligations within the contract based upon their estimated relative standalone selling prices using the estimated cost plus margin approach. Revenue from these activities is recognized as the services are performed.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Sales Revenue (Topic 606)</w:t>
      </w:r>
    </w:p>
    <w:p>
      <w:pPr>
        <w:spacing w:after="0" w:line="4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Sales revenue is generated by the sale of new and used units. Revenue from the sale of new and used units is generally recognized at a point in time upon the transfer of control to the customer, which occurs when the unit is delivered and installed in accordance with the contract. Sales transactions constitute a single performance obligation.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Disaggregation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Geographic Areas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had total revenue in the following geographic areas 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37730"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105"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162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232,767</w:t>
            </w:r>
          </w:p>
        </w:tc>
        <w:tc>
          <w:tcPr>
            <w:tcW w:w="12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123,120</w:t>
            </w: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Canada</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18,217</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8,167</w:t>
            </w:r>
          </w:p>
        </w:tc>
      </w:tr>
      <w:tr>
        <w:trPr>
          <w:trHeight w:val="244"/>
        </w:trPr>
        <w:tc>
          <w:tcPr>
            <w:tcW w:w="8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Mexico</w:t>
            </w:r>
          </w:p>
        </w:tc>
        <w:tc>
          <w:tcPr>
            <w:tcW w:w="3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4,024</w:t>
            </w:r>
          </w:p>
        </w:tc>
        <w:tc>
          <w:tcPr>
            <w:tcW w:w="120" w:type="dxa"/>
            <w:vAlign w:val="bottom"/>
            <w:shd w:val="clear" w:color="auto" w:fill="E7E7E8"/>
          </w:tcPr>
          <w:p>
            <w:pPr>
              <w:spacing w:after="0"/>
              <w:rPr>
                <w:sz w:val="21"/>
                <w:szCs w:val="21"/>
                <w:color w:val="auto"/>
              </w:rPr>
            </w:pPr>
          </w:p>
        </w:tc>
        <w:tc>
          <w:tcPr>
            <w:tcW w:w="1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3,464</w:t>
            </w:r>
          </w:p>
        </w:tc>
      </w:tr>
      <w:tr>
        <w:trPr>
          <w:trHeight w:val="243"/>
        </w:trPr>
        <w:tc>
          <w:tcPr>
            <w:tcW w:w="8020" w:type="dxa"/>
            <w:vAlign w:val="bottom"/>
          </w:tcPr>
          <w:p>
            <w:pPr>
              <w:ind w:left="2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255,008</w:t>
            </w:r>
          </w:p>
        </w:tc>
        <w:tc>
          <w:tcPr>
            <w:tcW w:w="12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134,751</w:t>
            </w:r>
          </w:p>
        </w:tc>
      </w:tr>
      <w:tr>
        <w:trPr>
          <w:trHeight w:val="21"/>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8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008A5F"/>
        </w:rPr>
        <w:t>Major Product and Service Lines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Rental equipment leasing is the Company’s core business, which significantly impacts the nature, timing, and uncertainty of the Company’s revenue and cash flows. This includes both modular space and portable storage units along with value added products and services ("VAPS"), which include furniture, steps, ramps, basic appliances, internet connectivity devices, and other items used by customers in connection with our products. Rental equipment leasing is complemented by new product sales and sales of rental units. In connection with its leasing and sales activities, the Company provides services including delivery and installation, maintenance and ad-hoc services, and removal services at the end of lease transactions.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revenue by major product and service line for the three months ended March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3773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471805"/>
                    </a:xfrm>
                    <a:prstGeom prst="rect">
                      <a:avLst/>
                    </a:prstGeom>
                    <a:noFill/>
                  </pic:spPr>
                </pic:pic>
              </a:graphicData>
            </a:graphic>
          </wp:anchor>
        </w:drawing>
      </w:r>
    </w:p>
    <w:p>
      <w:pPr>
        <w:spacing w:after="0" w:line="105"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20" w:type="dxa"/>
            <w:vAlign w:val="bottom"/>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480" w:type="dxa"/>
            <w:vAlign w:val="bottom"/>
            <w:shd w:val="clear" w:color="auto" w:fill="008A5F"/>
          </w:tcPr>
          <w:p>
            <w:pPr>
              <w:spacing w:after="0"/>
              <w:rPr>
                <w:sz w:val="20"/>
                <w:szCs w:val="20"/>
                <w:color w:val="auto"/>
              </w:rPr>
            </w:pPr>
          </w:p>
        </w:tc>
        <w:tc>
          <w:tcPr>
            <w:tcW w:w="126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1"/>
                <w:szCs w:val="21"/>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Total</w:t>
            </w:r>
          </w:p>
        </w:tc>
        <w:tc>
          <w:tcPr>
            <w:tcW w:w="480" w:type="dxa"/>
            <w:vAlign w:val="bottom"/>
            <w:shd w:val="clear" w:color="auto" w:fill="008A5F"/>
          </w:tcPr>
          <w:p>
            <w:pPr>
              <w:spacing w:after="0"/>
              <w:rPr>
                <w:sz w:val="21"/>
                <w:szCs w:val="21"/>
                <w:color w:val="auto"/>
              </w:rPr>
            </w:pPr>
          </w:p>
        </w:tc>
        <w:tc>
          <w:tcPr>
            <w:tcW w:w="126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8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leasing revenue</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123,552</w:t>
            </w:r>
          </w:p>
        </w:tc>
        <w:tc>
          <w:tcPr>
            <w:tcW w:w="4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67,244</w:t>
            </w: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6,240</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4,932</w:t>
            </w:r>
          </w:p>
        </w:tc>
      </w:tr>
      <w:tr>
        <w:trPr>
          <w:trHeight w:val="251"/>
        </w:trPr>
        <w:tc>
          <w:tcPr>
            <w:tcW w:w="8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VAPS (a)</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37,392</w:t>
            </w:r>
          </w:p>
        </w:tc>
        <w:tc>
          <w:tcPr>
            <w:tcW w:w="4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19,449</w:t>
            </w:r>
          </w:p>
        </w:tc>
      </w:tr>
      <w:tr>
        <w:trPr>
          <w:trHeight w:val="237"/>
        </w:trPr>
        <w:tc>
          <w:tcPr>
            <w:tcW w:w="80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Other leasing-related revenue (b)</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11,038</w:t>
            </w: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5,637</w:t>
            </w:r>
          </w:p>
        </w:tc>
      </w:tr>
      <w:tr>
        <w:trPr>
          <w:trHeight w:val="243"/>
        </w:trPr>
        <w:tc>
          <w:tcPr>
            <w:tcW w:w="8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Modular leasing revenue</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178,222</w:t>
            </w:r>
          </w:p>
        </w:tc>
        <w:tc>
          <w:tcPr>
            <w:tcW w:w="4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97,262</w:t>
            </w:r>
          </w:p>
        </w:tc>
      </w:tr>
      <w:tr>
        <w:trPr>
          <w:trHeight w:val="237"/>
        </w:trPr>
        <w:tc>
          <w:tcPr>
            <w:tcW w:w="802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Modular delivery and installation revenue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50,281</w:t>
            </w: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26,250</w:t>
            </w:r>
          </w:p>
        </w:tc>
      </w:tr>
      <w:tr>
        <w:trPr>
          <w:trHeight w:val="243"/>
        </w:trPr>
        <w:tc>
          <w:tcPr>
            <w:tcW w:w="80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leasing and services revenue</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228,503</w:t>
            </w:r>
          </w:p>
        </w:tc>
        <w:tc>
          <w:tcPr>
            <w:tcW w:w="480" w:type="dxa"/>
            <w:vAlign w:val="bottom"/>
            <w:shd w:val="clear" w:color="auto" w:fill="E7E7E8"/>
          </w:tcPr>
          <w:p>
            <w:pPr>
              <w:spacing w:after="0"/>
              <w:rPr>
                <w:sz w:val="21"/>
                <w:szCs w:val="21"/>
                <w:color w:val="auto"/>
              </w:rPr>
            </w:pPr>
          </w:p>
        </w:tc>
        <w:tc>
          <w:tcPr>
            <w:tcW w:w="1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123,512</w:t>
            </w:r>
          </w:p>
        </w:tc>
      </w:tr>
      <w:tr>
        <w:trPr>
          <w:trHeight w:val="235"/>
        </w:trPr>
        <w:tc>
          <w:tcPr>
            <w:tcW w:w="8020" w:type="dxa"/>
            <w:vAlign w:val="bottom"/>
          </w:tcPr>
          <w:p>
            <w:pPr>
              <w:ind w:left="20"/>
              <w:spacing w:after="0"/>
              <w:rPr>
                <w:sz w:val="20"/>
                <w:szCs w:val="20"/>
                <w:color w:val="auto"/>
              </w:rPr>
            </w:pPr>
            <w:r>
              <w:rPr>
                <w:rFonts w:ascii="Arial" w:cs="Arial" w:eastAsia="Arial" w:hAnsi="Arial"/>
                <w:sz w:val="16"/>
                <w:szCs w:val="16"/>
                <w:color w:val="auto"/>
              </w:rPr>
              <w:t>Sale of new units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14,904</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7,428</w:t>
            </w:r>
          </w:p>
        </w:tc>
      </w:tr>
      <w:tr>
        <w:trPr>
          <w:trHeight w:val="244"/>
        </w:trPr>
        <w:tc>
          <w:tcPr>
            <w:tcW w:w="802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 of rental units</w:t>
            </w:r>
          </w:p>
        </w:tc>
        <w:tc>
          <w:tcPr>
            <w:tcW w:w="3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11,601</w:t>
            </w:r>
          </w:p>
        </w:tc>
        <w:tc>
          <w:tcPr>
            <w:tcW w:w="480" w:type="dxa"/>
            <w:vAlign w:val="bottom"/>
            <w:tcBorders>
              <w:bottom w:val="single" w:sz="8" w:color="auto"/>
            </w:tcBorders>
            <w:shd w:val="clear" w:color="auto" w:fill="E7E7E8"/>
          </w:tcPr>
          <w:p>
            <w:pPr>
              <w:spacing w:after="0"/>
              <w:rPr>
                <w:sz w:val="21"/>
                <w:szCs w:val="21"/>
                <w:color w:val="auto"/>
              </w:rPr>
            </w:pPr>
          </w:p>
        </w:tc>
        <w:tc>
          <w:tcPr>
            <w:tcW w:w="1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3,811</w:t>
            </w:r>
          </w:p>
        </w:tc>
      </w:tr>
      <w:tr>
        <w:trPr>
          <w:trHeight w:val="243"/>
        </w:trPr>
        <w:tc>
          <w:tcPr>
            <w:tcW w:w="802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255,008</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134,751</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$3.8 million and $2.3 million of VAPS service revenue for the three months ended March 31, 2019 and 2018, respectively.</w:t>
      </w:r>
    </w:p>
    <w:p>
      <w:pPr>
        <w:spacing w:after="0" w:line="19" w:lineRule="exact"/>
        <w:rPr>
          <w:rFonts w:ascii="Arial" w:cs="Arial" w:eastAsia="Arial" w:hAnsi="Arial"/>
          <w:sz w:val="14"/>
          <w:szCs w:val="14"/>
          <w:color w:val="auto"/>
        </w:rPr>
      </w:pPr>
    </w:p>
    <w:p>
      <w:pPr>
        <w:ind w:left="540" w:hanging="208"/>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damage billings, delinquent payment charges, and other processing fees.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Contract Assets and Liabilities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reflected above, approximately 70% of our rental revenue is accounted for under Topic 840. The customers that are responsible for the remaining revenue that is accounted for under Topic 606 (and Topic 605 prior to 2019) are generally the same customers that rent our equipment. We manage credit risk associated with our accounts receivables at the customer level. Because the same customers generate the revenues that are accounted for under both Topic 606 and Topic 840, the discussions below on credit risk and our allowance for doubtful accounts address our total revenues.</w:t>
      </w:r>
    </w:p>
    <w:p>
      <w:pPr>
        <w:spacing w:after="0" w:line="1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Concentration of credit risk with respect to our receivables is limited because of a large number of geographically diverse customers who operate in a variety of end user markets. Our top five customers with the largest open receivables balances represent 3.8% of the total receivables balance as of March 31, 2019. We manage credit risk through credit approvals, credit limits, and other monitoring procedures.</w:t>
      </w:r>
    </w:p>
    <w:p>
      <w:pPr>
        <w:spacing w:after="0" w:line="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allowance for doubtful accounts reflects our estimate of the amount of receivables that we will be unable to collect based on specific customer risk and historical write-off experience. Our estimates reflect changing circumstances, including changes in the economy or in the particular circumstances of individual customers. Accordingly, we may be required to increase or decrease our allowance. During the period ended March 31, 2019 and March 31, 2018, we recognized bad debt expenses of $2.9 million and $1.6 million, respectively, within SG&amp;A in our consolidated statements of income, which included amounts written-off and changes in our allowances for doubtful accounts.</w:t>
      </w:r>
    </w:p>
    <w:p>
      <w:pPr>
        <w:spacing w:after="0" w:line="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When customers are billed in advance, we defer recognition of revenue and reflect unearned revenue at the end of the period. As of January 1, 2019, we had approximately $32.1 million of deferred revenue that relates to removal services for lease transactions and advance billings for sale transactions, which are within the scope of Topic 606. As of March 31, 2019, we had approximately $38.0 million of deferred revenue relating to these services. These items are included in deferred revenue and customer deposits in the condensed consolidated balance sheets. During the three months ended March 31, 2019, $5.7 million of previously deferred revenue relating to removal services for lease transactions and advance billings for sale transactions was recognized as revenue.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do not have material contract assets and we did not recognize any material impairments of any contract assets or receivables.</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we are applying the optional exemption to</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omit disclosure of such amounts.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94" w:right="239" w:bottom="1440" w:gutter="0" w:footer="0" w:header="0"/>
        </w:sectPr>
      </w:pPr>
    </w:p>
    <w:bookmarkStart w:id="15" w:name="page16"/>
    <w:bookmarkEnd w:id="15"/>
    <w:p>
      <w:pPr>
        <w:jc w:val="both"/>
        <w:ind w:firstLine="648"/>
        <w:spacing w:after="0" w:line="269" w:lineRule="auto"/>
        <w:rPr>
          <w:sz w:val="20"/>
          <w:szCs w:val="20"/>
          <w:color w:val="auto"/>
        </w:rPr>
      </w:pPr>
      <w:r>
        <w:rPr>
          <w:rFonts w:ascii="Arial" w:cs="Arial" w:eastAsia="Arial" w:hAnsi="Arial"/>
          <w:sz w:val="16"/>
          <w:szCs w:val="16"/>
          <w:color w:val="auto"/>
        </w:rPr>
        <w:t>The primary costs to obtain contracts with our customers are commissions. We pay our sales force commissions on the sale of new and used units. For new and used sales, the period benefited by each commission is less than one year. As a result, we have applied the practical expedient for incremental costs of obtaining a sales contract and will expense commissions as incurred.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Other Matters</w:t>
      </w:r>
    </w:p>
    <w:p>
      <w:pPr>
        <w:spacing w:after="0" w:line="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Our Topic 606 revenues do not include material amounts of variable consideration, other than the variability noted for services arrangements expected to be performed beyond a twelve month period.</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Our payment terms vary by the type and location of our customer and the product or services offered. The time between invoicing and when payment is due is not significant. While the Company may bill certain customers in advance, our contracts do not contain a significant financing component based on the short length of time between upfront billings and the performance of contracted services. For certain products, services, or customer types, we require payment before the products or services are delivered to the customer.</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is recognized net of taxes collected from customers, which are subsequently remitted to governmental authorities.</w:t>
      </w:r>
    </w:p>
    <w:p>
      <w:pPr>
        <w:spacing w:after="0" w:line="5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most significant estimates and judgments relating to Topic 606 revenues involve the estimation of relative stand-alone selling prices for the purpose of allocating consideration to the performance obligations in our lease transactions.</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008A5F"/>
        </w:rPr>
        <w:t>NOTE 4 - Inventories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at the respective balance sheet dates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21"/>
                <w:szCs w:val="21"/>
                <w:color w:val="auto"/>
              </w:rPr>
            </w:pPr>
          </w:p>
        </w:tc>
        <w:tc>
          <w:tcPr>
            <w:tcW w:w="162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March 31, 2019</w:t>
            </w:r>
          </w:p>
        </w:tc>
        <w:tc>
          <w:tcPr>
            <w:tcW w:w="100" w:type="dxa"/>
            <w:vAlign w:val="bottom"/>
            <w:shd w:val="clear" w:color="auto" w:fill="008A5F"/>
          </w:tcPr>
          <w:p>
            <w:pPr>
              <w:spacing w:after="0"/>
              <w:rPr>
                <w:sz w:val="21"/>
                <w:szCs w:val="21"/>
                <w:color w:val="auto"/>
              </w:rPr>
            </w:pPr>
          </w:p>
        </w:tc>
        <w:tc>
          <w:tcPr>
            <w:tcW w:w="1600" w:type="dxa"/>
            <w:vAlign w:val="bottom"/>
            <w:shd w:val="clear" w:color="auto" w:fill="008A5F"/>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Raw materials and consumables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17,358</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16,022</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Work in process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62"/>
        </w:trPr>
        <w:tc>
          <w:tcPr>
            <w:tcW w:w="788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Total inventories</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17,412</w:t>
            </w:r>
          </w:p>
        </w:tc>
        <w:tc>
          <w:tcPr>
            <w:tcW w:w="100" w:type="dxa"/>
            <w:vAlign w:val="bottom"/>
            <w:tcBorders>
              <w:bottom w:val="single" w:sz="8" w:color="E7E7E8"/>
            </w:tcBorders>
            <w:shd w:val="clear" w:color="auto" w:fill="E7E7E8"/>
          </w:tcPr>
          <w:p>
            <w:pPr>
              <w:spacing w:after="0"/>
              <w:rPr>
                <w:sz w:val="22"/>
                <w:szCs w:val="22"/>
                <w:color w:val="auto"/>
              </w:rPr>
            </w:pPr>
          </w:p>
        </w:tc>
        <w:tc>
          <w:tcPr>
            <w:tcW w:w="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16,218</w:t>
            </w:r>
          </w:p>
        </w:tc>
      </w:tr>
      <w:tr>
        <w:trPr>
          <w:trHeight w:val="20"/>
        </w:trPr>
        <w:tc>
          <w:tcPr>
            <w:tcW w:w="788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52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0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94" w:right="23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23"/>
          <w:szCs w:val="23"/>
          <w:color w:val="008A5F"/>
        </w:rPr>
        <w:t>NOTE 5 - Rental Equipment, net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Rental equipment, net, at the respective balance sheet dates consisted of the following:</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FFFFFF"/>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37730" cy="351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35179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Modular units and portable storage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Value added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rental equipment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3773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Rental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FFFFFF"/>
              </w:rPr>
              <w:t>March 31, 2019</w:t>
            </w:r>
          </w:p>
        </w:tc>
        <w:tc>
          <w:tcPr>
            <w:tcW w:w="1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FFFFFF"/>
              </w:rPr>
              <w:t>December 31, 2018</w:t>
            </w:r>
          </w:p>
        </w:tc>
      </w:tr>
      <w:tr>
        <w:trPr>
          <w:trHeight w:val="235"/>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2,371,173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2,333,776</w:t>
            </w:r>
          </w:p>
        </w:tc>
      </w:tr>
      <w:tr>
        <w:trPr>
          <w:trHeight w:val="252"/>
        </w:trPr>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98,333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90,526</w:t>
            </w:r>
          </w:p>
        </w:tc>
      </w:tr>
      <w:tr>
        <w:trPr>
          <w:trHeight w:val="228"/>
        </w:trPr>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2,469,506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2,424,302</w:t>
            </w:r>
          </w:p>
        </w:tc>
      </w:tr>
      <w:tr>
        <w:trPr>
          <w:trHeight w:val="252"/>
        </w:trPr>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(528,889)</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(495,012)</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1,940,617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1,929,290</w:t>
            </w:r>
          </w:p>
        </w:tc>
      </w:tr>
      <w:tr>
        <w:trPr>
          <w:trHeight w:val="27"/>
        </w:trPr>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90" w:lineRule="exact"/>
        <w:rPr>
          <w:sz w:val="20"/>
          <w:szCs w:val="20"/>
          <w:color w:val="auto"/>
        </w:rPr>
      </w:pPr>
    </w:p>
    <w:p>
      <w:pPr>
        <w:sectPr>
          <w:pgSz w:w="11900" w:h="16838" w:orient="portrait"/>
          <w:cols w:equalWidth="0" w:num="2">
            <w:col w:w="7140" w:space="720"/>
            <w:col w:w="3560"/>
          </w:cols>
          <w:pgMar w:left="240" w:top="1094" w:right="239" w:bottom="1440" w:gutter="0" w:footer="0" w:header="0"/>
          <w:type w:val="continuous"/>
        </w:sectPr>
      </w:pPr>
    </w:p>
    <w:p>
      <w:pPr>
        <w:jc w:val="both"/>
        <w:ind w:firstLine="648"/>
        <w:spacing w:after="0" w:line="261" w:lineRule="auto"/>
        <w:rPr>
          <w:sz w:val="20"/>
          <w:szCs w:val="20"/>
          <w:color w:val="auto"/>
        </w:rPr>
      </w:pPr>
      <w:r>
        <w:rPr>
          <w:rFonts w:ascii="Arial" w:cs="Arial" w:eastAsia="Arial" w:hAnsi="Arial"/>
          <w:sz w:val="16"/>
          <w:szCs w:val="16"/>
          <w:color w:val="auto"/>
        </w:rPr>
        <w:t>During the three months ended March 31, 2018, the Company received $7.5 million in insurance proceeds related to assets damaged during Hurricane Harvey. The insurance proceeds exceeded the book value of damaged assets, and the Company recorded a gain of $3.0 million which is reflected in other income, net, on the condensed consolidated statements of operations for three months ended March 31, 2018, respectively. The Company did not receive any insurance proceeds during the three months ended March 31, 2019.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09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3"/>
          <w:szCs w:val="23"/>
          <w:color w:val="008A5F"/>
        </w:rPr>
        <w:t>NOTE 6 - Goodwill and Intangible Assets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16"/>
                <w:szCs w:val="16"/>
                <w:color w:val="auto"/>
              </w:rPr>
            </w:pPr>
          </w:p>
        </w:tc>
        <w:tc>
          <w:tcPr>
            <w:tcW w:w="1600" w:type="dxa"/>
            <w:vAlign w:val="bottom"/>
            <w:gridSpan w:val="2"/>
            <w:vMerge w:val="restart"/>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16"/>
                <w:szCs w:val="16"/>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Modular – Other</w:t>
            </w:r>
          </w:p>
        </w:tc>
        <w:tc>
          <w:tcPr>
            <w:tcW w:w="380" w:type="dxa"/>
            <w:vAlign w:val="bottom"/>
            <w:shd w:val="clear" w:color="auto" w:fill="008A5F"/>
          </w:tcPr>
          <w:p>
            <w:pPr>
              <w:spacing w:after="0"/>
              <w:rPr>
                <w:sz w:val="16"/>
                <w:szCs w:val="16"/>
                <w:color w:val="auto"/>
              </w:rPr>
            </w:pPr>
          </w:p>
        </w:tc>
        <w:tc>
          <w:tcPr>
            <w:tcW w:w="1320" w:type="dxa"/>
            <w:vAlign w:val="bottom"/>
            <w:vMerge w:val="restart"/>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040" w:type="dxa"/>
            <w:vAlign w:val="bottom"/>
            <w:vMerge w:val="continue"/>
            <w:shd w:val="clear" w:color="auto" w:fill="008A5F"/>
          </w:tcPr>
          <w:p>
            <w:pPr>
              <w:spacing w:after="0"/>
              <w:rPr>
                <w:sz w:val="18"/>
                <w:szCs w:val="18"/>
                <w:color w:val="auto"/>
              </w:rPr>
            </w:pPr>
          </w:p>
        </w:tc>
        <w:tc>
          <w:tcPr>
            <w:tcW w:w="220" w:type="dxa"/>
            <w:vAlign w:val="bottom"/>
            <w:shd w:val="clear" w:color="auto" w:fill="008A5F"/>
          </w:tcPr>
          <w:p>
            <w:pPr>
              <w:spacing w:after="0"/>
              <w:rPr>
                <w:sz w:val="18"/>
                <w:szCs w:val="18"/>
                <w:color w:val="auto"/>
              </w:rPr>
            </w:pPr>
          </w:p>
        </w:tc>
        <w:tc>
          <w:tcPr>
            <w:tcW w:w="1600" w:type="dxa"/>
            <w:vAlign w:val="bottom"/>
            <w:gridSpan w:val="2"/>
            <w:vMerge w:val="continue"/>
            <w:shd w:val="clear" w:color="auto" w:fill="008A5F"/>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660" w:type="dxa"/>
            <w:vAlign w:val="bottom"/>
            <w:gridSpan w:val="2"/>
            <w:shd w:val="clear" w:color="auto" w:fill="008A5F"/>
          </w:tcPr>
          <w:p>
            <w:pPr>
              <w:jc w:val="center"/>
              <w:ind w:right="300"/>
              <w:spacing w:after="0"/>
              <w:rPr>
                <w:sz w:val="20"/>
                <w:szCs w:val="20"/>
                <w:color w:val="auto"/>
              </w:rPr>
            </w:pPr>
            <w:r>
              <w:rPr>
                <w:rFonts w:ascii="Arial" w:cs="Arial" w:eastAsia="Arial" w:hAnsi="Arial"/>
                <w:sz w:val="16"/>
                <w:szCs w:val="16"/>
                <w:b w:val="1"/>
                <w:bCs w:val="1"/>
                <w:color w:val="FFFFFF"/>
              </w:rPr>
              <w:t>North America</w:t>
            </w:r>
          </w:p>
        </w:tc>
        <w:tc>
          <w:tcPr>
            <w:tcW w:w="380" w:type="dxa"/>
            <w:vAlign w:val="bottom"/>
            <w:shd w:val="clear" w:color="auto" w:fill="008A5F"/>
          </w:tcPr>
          <w:p>
            <w:pPr>
              <w:spacing w:after="0"/>
              <w:rPr>
                <w:sz w:val="18"/>
                <w:szCs w:val="18"/>
                <w:color w:val="auto"/>
              </w:rPr>
            </w:pPr>
          </w:p>
        </w:tc>
        <w:tc>
          <w:tcPr>
            <w:tcW w:w="13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January 1, 2018</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28,609</w:t>
            </w:r>
          </w:p>
        </w:tc>
        <w:tc>
          <w:tcPr>
            <w:tcW w:w="0" w:type="dxa"/>
            <w:vAlign w:val="bottom"/>
          </w:tcPr>
          <w:p>
            <w:pPr>
              <w:spacing w:after="0"/>
              <w:rPr>
                <w:sz w:val="1"/>
                <w:szCs w:val="1"/>
                <w:color w:val="auto"/>
              </w:rPr>
            </w:pPr>
          </w:p>
        </w:tc>
      </w:tr>
      <w:tr>
        <w:trPr>
          <w:trHeight w:val="235"/>
        </w:trPr>
        <w:tc>
          <w:tcPr>
            <w:tcW w:w="6040" w:type="dxa"/>
            <w:vAlign w:val="bottom"/>
          </w:tcPr>
          <w:p>
            <w:pPr>
              <w:ind w:left="220"/>
              <w:spacing w:after="0"/>
              <w:rPr>
                <w:sz w:val="20"/>
                <w:szCs w:val="20"/>
                <w:color w:val="auto"/>
              </w:rPr>
            </w:pPr>
            <w:r>
              <w:rPr>
                <w:rFonts w:ascii="Arial" w:cs="Arial" w:eastAsia="Arial" w:hAnsi="Arial"/>
                <w:sz w:val="16"/>
                <w:szCs w:val="16"/>
                <w:color w:val="auto"/>
              </w:rPr>
              <w:t>Acquisition of a business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183,711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35,128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218,839</w:t>
            </w:r>
          </w:p>
        </w:tc>
        <w:tc>
          <w:tcPr>
            <w:tcW w:w="0" w:type="dxa"/>
            <w:vAlign w:val="bottom"/>
          </w:tcPr>
          <w:p>
            <w:pPr>
              <w:spacing w:after="0"/>
              <w:rPr>
                <w:sz w:val="1"/>
                <w:szCs w:val="1"/>
                <w:color w:val="auto"/>
              </w:rPr>
            </w:pPr>
          </w:p>
        </w:tc>
      </w:tr>
      <w:tr>
        <w:trPr>
          <w:trHeight w:val="251"/>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allocations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7"/>
        </w:trPr>
        <w:tc>
          <w:tcPr>
            <w:tcW w:w="6040" w:type="dxa"/>
            <w:vAlign w:val="bottom"/>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43"/>
        </w:trPr>
        <w:tc>
          <w:tcPr>
            <w:tcW w:w="6040" w:type="dxa"/>
            <w:vAlign w:val="bottom"/>
            <w:tcBorders>
              <w:top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top w:val="single" w:sz="8" w:color="auto"/>
            </w:tcBorders>
            <w:shd w:val="clear" w:color="auto" w:fill="E7E7E8"/>
          </w:tcPr>
          <w:p>
            <w:pPr>
              <w:spacing w:after="0"/>
              <w:rPr>
                <w:sz w:val="21"/>
                <w:szCs w:val="21"/>
                <w:color w:val="auto"/>
              </w:rPr>
            </w:pPr>
          </w:p>
        </w:tc>
        <w:tc>
          <w:tcPr>
            <w:tcW w:w="150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213,264</w:t>
            </w:r>
          </w:p>
        </w:tc>
        <w:tc>
          <w:tcPr>
            <w:tcW w:w="100" w:type="dxa"/>
            <w:vAlign w:val="bottom"/>
            <w:tcBorders>
              <w:top w:val="single" w:sz="8" w:color="E7E7E8"/>
            </w:tcBorders>
            <w:shd w:val="clear" w:color="auto" w:fill="E7E7E8"/>
          </w:tcPr>
          <w:p>
            <w:pPr>
              <w:spacing w:after="0"/>
              <w:rPr>
                <w:sz w:val="21"/>
                <w:szCs w:val="21"/>
                <w:color w:val="auto"/>
              </w:rPr>
            </w:pPr>
          </w:p>
        </w:tc>
        <w:tc>
          <w:tcPr>
            <w:tcW w:w="180" w:type="dxa"/>
            <w:vAlign w:val="bottom"/>
            <w:tcBorders>
              <w:top w:val="single" w:sz="8" w:color="auto"/>
            </w:tcBorders>
            <w:shd w:val="clear" w:color="auto" w:fill="E7E7E8"/>
          </w:tcPr>
          <w:p>
            <w:pPr>
              <w:spacing w:after="0"/>
              <w:rPr>
                <w:sz w:val="21"/>
                <w:szCs w:val="21"/>
                <w:color w:val="auto"/>
              </w:rPr>
            </w:pPr>
          </w:p>
        </w:tc>
        <w:tc>
          <w:tcPr>
            <w:tcW w:w="154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33,753</w:t>
            </w:r>
          </w:p>
        </w:tc>
        <w:tc>
          <w:tcPr>
            <w:tcW w:w="120" w:type="dxa"/>
            <w:vAlign w:val="bottom"/>
            <w:tcBorders>
              <w:top w:val="single" w:sz="8" w:color="E7E7E8"/>
            </w:tcBorders>
            <w:shd w:val="clear" w:color="auto" w:fill="E7E7E8"/>
          </w:tcPr>
          <w:p>
            <w:pPr>
              <w:spacing w:after="0"/>
              <w:rPr>
                <w:sz w:val="21"/>
                <w:szCs w:val="21"/>
                <w:color w:val="auto"/>
              </w:rPr>
            </w:pPr>
          </w:p>
        </w:tc>
        <w:tc>
          <w:tcPr>
            <w:tcW w:w="380" w:type="dxa"/>
            <w:vAlign w:val="bottom"/>
            <w:tcBorders>
              <w:top w:val="single" w:sz="8" w:color="auto"/>
            </w:tcBorders>
            <w:shd w:val="clear" w:color="auto" w:fill="E7E7E8"/>
          </w:tcPr>
          <w:p>
            <w:pPr>
              <w:spacing w:after="0"/>
              <w:rPr>
                <w:sz w:val="21"/>
                <w:szCs w:val="21"/>
                <w:color w:val="auto"/>
              </w:rPr>
            </w:pPr>
          </w:p>
        </w:tc>
        <w:tc>
          <w:tcPr>
            <w:tcW w:w="1320" w:type="dxa"/>
            <w:vAlign w:val="bottom"/>
            <w:tcBorders>
              <w:top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247,017</w:t>
            </w:r>
          </w:p>
        </w:tc>
        <w:tc>
          <w:tcPr>
            <w:tcW w:w="0" w:type="dxa"/>
            <w:vAlign w:val="bottom"/>
          </w:tcPr>
          <w:p>
            <w:pPr>
              <w:spacing w:after="0"/>
              <w:rPr>
                <w:sz w:val="1"/>
                <w:szCs w:val="1"/>
                <w:color w:val="auto"/>
              </w:rPr>
            </w:pPr>
          </w:p>
        </w:tc>
      </w:tr>
      <w:tr>
        <w:trPr>
          <w:trHeight w:val="235"/>
        </w:trPr>
        <w:tc>
          <w:tcPr>
            <w:tcW w:w="6040" w:type="dxa"/>
            <w:vAlign w:val="bottom"/>
          </w:tcPr>
          <w:p>
            <w:pPr>
              <w:ind w:left="220"/>
              <w:spacing w:after="0"/>
              <w:rPr>
                <w:sz w:val="20"/>
                <w:szCs w:val="20"/>
                <w:color w:val="auto"/>
              </w:rPr>
            </w:pPr>
            <w:r>
              <w:rPr>
                <w:rFonts w:ascii="Arial" w:cs="Arial" w:eastAsia="Arial" w:hAnsi="Arial"/>
                <w:sz w:val="16"/>
                <w:szCs w:val="16"/>
                <w:color w:val="auto"/>
              </w:rPr>
              <w:t>Acquisition of businesses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0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Changes to preliminary purchase price allocations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(4,496)</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(4,722)</w:t>
            </w:r>
          </w:p>
        </w:tc>
        <w:tc>
          <w:tcPr>
            <w:tcW w:w="0" w:type="dxa"/>
            <w:vAlign w:val="bottom"/>
          </w:tcPr>
          <w:p>
            <w:pPr>
              <w:spacing w:after="0"/>
              <w:rPr>
                <w:sz w:val="1"/>
                <w:szCs w:val="1"/>
                <w:color w:val="auto"/>
              </w:rPr>
            </w:pPr>
          </w:p>
        </w:tc>
      </w:tr>
      <w:tr>
        <w:trPr>
          <w:trHeight w:val="237"/>
        </w:trPr>
        <w:tc>
          <w:tcPr>
            <w:tcW w:w="6040" w:type="dxa"/>
            <w:vAlign w:val="bottom"/>
          </w:tcPr>
          <w:p>
            <w:pPr>
              <w:ind w:left="220"/>
              <w:spacing w:after="0"/>
              <w:rPr>
                <w:sz w:val="20"/>
                <w:szCs w:val="20"/>
                <w:color w:val="auto"/>
              </w:rPr>
            </w:pPr>
            <w:r>
              <w:rPr>
                <w:rFonts w:ascii="Arial" w:cs="Arial" w:eastAsia="Arial" w:hAnsi="Arial"/>
                <w:sz w:val="16"/>
                <w:szCs w:val="16"/>
                <w:color w:val="auto"/>
              </w:rPr>
              <w:t>Effects of movements in foreign exchange rates</w:t>
            </w:r>
          </w:p>
        </w:tc>
        <w:tc>
          <w:tcPr>
            <w:tcW w:w="22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262"/>
        </w:trPr>
        <w:tc>
          <w:tcPr>
            <w:tcW w:w="6040" w:type="dxa"/>
            <w:vAlign w:val="bottom"/>
            <w:tcBorders>
              <w:top w:val="single" w:sz="8" w:color="E7E7E8"/>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220" w:type="dxa"/>
            <w:vAlign w:val="bottom"/>
            <w:tcBorders>
              <w:top w:val="single" w:sz="8" w:color="auto"/>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208,768</w:t>
            </w:r>
          </w:p>
        </w:tc>
        <w:tc>
          <w:tcPr>
            <w:tcW w:w="100" w:type="dxa"/>
            <w:vAlign w:val="bottom"/>
            <w:tcBorders>
              <w:top w:val="single" w:sz="8" w:color="E7E7E8"/>
              <w:bottom w:val="single" w:sz="8" w:color="E7E7E8"/>
            </w:tcBorders>
            <w:shd w:val="clear" w:color="auto" w:fill="E7E7E8"/>
          </w:tcPr>
          <w:p>
            <w:pPr>
              <w:spacing w:after="0"/>
              <w:rPr>
                <w:sz w:val="22"/>
                <w:szCs w:val="22"/>
                <w:color w:val="auto"/>
              </w:rPr>
            </w:pPr>
          </w:p>
        </w:tc>
        <w:tc>
          <w:tcPr>
            <w:tcW w:w="18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34,216</w:t>
            </w:r>
          </w:p>
        </w:tc>
        <w:tc>
          <w:tcPr>
            <w:tcW w:w="120" w:type="dxa"/>
            <w:vAlign w:val="bottom"/>
            <w:tcBorders>
              <w:top w:val="single" w:sz="8" w:color="E7E7E8"/>
              <w:bottom w:val="single" w:sz="8" w:color="E7E7E8"/>
            </w:tcBorders>
            <w:shd w:val="clear" w:color="auto" w:fill="E7E7E8"/>
          </w:tcPr>
          <w:p>
            <w:pPr>
              <w:spacing w:after="0"/>
              <w:rPr>
                <w:sz w:val="22"/>
                <w:szCs w:val="22"/>
                <w:color w:val="auto"/>
              </w:rPr>
            </w:pPr>
          </w:p>
        </w:tc>
        <w:tc>
          <w:tcPr>
            <w:tcW w:w="380" w:type="dxa"/>
            <w:vAlign w:val="bottom"/>
            <w:tcBorders>
              <w:top w:val="single" w:sz="8" w:color="auto"/>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242,984</w:t>
            </w:r>
          </w:p>
        </w:tc>
        <w:tc>
          <w:tcPr>
            <w:tcW w:w="0" w:type="dxa"/>
            <w:vAlign w:val="bottom"/>
          </w:tcPr>
          <w:p>
            <w:pPr>
              <w:spacing w:after="0"/>
              <w:rPr>
                <w:sz w:val="1"/>
                <w:szCs w:val="1"/>
                <w:color w:val="auto"/>
              </w:rPr>
            </w:pPr>
          </w:p>
        </w:tc>
      </w:tr>
      <w:tr>
        <w:trPr>
          <w:trHeight w:val="20"/>
        </w:trPr>
        <w:tc>
          <w:tcPr>
            <w:tcW w:w="6040" w:type="dxa"/>
            <w:vAlign w:val="bottom"/>
            <w:tcBorders>
              <w:top w:val="single" w:sz="8" w:color="E7E7E8"/>
            </w:tcBorders>
          </w:tcPr>
          <w:p>
            <w:pPr>
              <w:spacing w:after="0" w:line="20" w:lineRule="exact"/>
              <w:rPr>
                <w:sz w:val="1"/>
                <w:szCs w:val="1"/>
                <w:color w:val="auto"/>
              </w:rPr>
            </w:pPr>
          </w:p>
        </w:tc>
        <w:tc>
          <w:tcPr>
            <w:tcW w:w="220" w:type="dxa"/>
            <w:vAlign w:val="bottom"/>
            <w:tcBorders>
              <w:top w:val="single" w:sz="8" w:color="E7E7E8"/>
              <w:bottom w:val="single" w:sz="8" w:color="auto"/>
            </w:tcBorders>
          </w:tcPr>
          <w:p>
            <w:pPr>
              <w:spacing w:after="0" w:line="20" w:lineRule="exact"/>
              <w:rPr>
                <w:sz w:val="1"/>
                <w:szCs w:val="1"/>
                <w:color w:val="auto"/>
              </w:rPr>
            </w:pPr>
          </w:p>
        </w:tc>
        <w:tc>
          <w:tcPr>
            <w:tcW w:w="150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154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2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described in Note 2, the Company acquired ModSpace in August 2018. A preliminary valuation of the acquired net assets of ModSpace resulted in the recognition of $176.1 million and $34.9 million of goodwill in the Modular - US segment and Modular - Other North America segments, respectively, which the Company expects will be non-deductible for income tax purposes.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Impairment Indicator Analysis</w:t>
      </w:r>
    </w:p>
    <w:p>
      <w:pPr>
        <w:spacing w:after="0" w:line="59"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Company had no goodwill impairment during the periods ended March 31, 2019 or December 31, 2018. There were no indicators of impairment as of March 31, 2019. There were indicators of impairment as of December 31, 2018, as detailed below.</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In December 2018, there was a significant decline in the debt and equity capital markets, including the Company’s stock price, which constituted an indicator of potential impairment in management's judgment. As a result, the Company performed an interim goodwill impairment test as of December 31, 2018. The interim impairment analysis determined that there was no impairment of goodwill for either the US or Canadian reporting units as of December 31,</w:t>
      </w:r>
    </w:p>
    <w:p>
      <w:pPr>
        <w:spacing w:after="0" w:line="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2018. As of December 31, 2018, the US reporting unit continued to have a fair in excess of carrying value of over 100%. The Canadian reporting unit was determined to have a fair value in excess of carrying value of less than 1% as of December 31, 2018.</w:t>
      </w:r>
    </w:p>
    <w:p>
      <w:pPr>
        <w:spacing w:after="0" w:line="6"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fair value of the reporting units at December 31, 2018 was determined based on the income approach, which requires management to make certain estimates and judgments for estimates of economic and market information in the discounted cash flow analyses.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There are inherent uncertainties and judgments involved when determining the fair value of the reporting units because the success of the reporting unit depends on the achievement of key assumptions developed by management including, but not limited to (i) achieving revenue growth through pricing, increased units on rent, increased penetration of value-added products and services, and other commercial strategies, (ii) efficient management of our operations and our fleet through maintenance and capital investment, and, (iii) achieving margin expectations, including integration synergies with acquired companies.</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addition, some of the estimates and assumptions used in determining fair value of the reporting units utilize inputs that are outside the control of management and are dependent on market and economic conditions, such as the discount rate, foreign currency rates, and growth rates. These assumptions are inherently uncertain and deterioration of market and economic conditions would adversely impact the Company's ability to meet its projected results and would affect the fair value of the reporting units.</w:t>
      </w:r>
    </w:p>
    <w:p>
      <w:pPr>
        <w:spacing w:after="0" w:line="1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Of the key assumptions that impact the goodwill impairment test, the expected future cash flows, discount rate and foreign exchange rates are among the most sensitive and are considered to be critical assumptions. If any one of the above inputs changes, it could reduce or increase the estimated fair value of the affected reporting unit. A reduction in the fair value of a reporting unit could result in an impairment charge up to the full amount of goodwill reported.</w:t>
      </w:r>
    </w:p>
    <w:p>
      <w:pPr>
        <w:spacing w:after="0" w:line="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Although the Company believes that it has sufficient historical and projected information available to test for goodwill impairment, it is possible that actual results could differ from the estimates used in its impairment tests. As a result, the Company continues to monitor actual results versus forecast results and internal and external factors that may impact the enterprise value of the reporting unit.</w:t>
      </w:r>
    </w:p>
    <w:p>
      <w:pPr>
        <w:spacing w:after="0"/>
        <w:rPr>
          <w:sz w:val="20"/>
          <w:szCs w:val="20"/>
          <w:color w:val="auto"/>
        </w:rPr>
      </w:pPr>
      <w:r>
        <w:rPr>
          <w:rFonts w:ascii="Arial" w:cs="Arial" w:eastAsia="Arial" w:hAnsi="Arial"/>
          <w:sz w:val="18"/>
          <w:szCs w:val="18"/>
          <w:b w:val="1"/>
          <w:bCs w:val="1"/>
          <w:color w:val="auto"/>
        </w:rPr>
        <w:t>Intangible Assets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also preliminarily assigned $3.0 million and $4.0 million to definite-lived intangible assets, related to the ModSpace trade name and favorable lease rights, to the Modular - US segment. The trade name has an estimated useful life of three years and the favorable lease asset has an estimated useful life of six years. The Company expects the intangibles to be non-deductible for income tax purposes. The Company expects to finalize the valuation of the acquired net assets of ModSpace, including the related intangible assets, within the one-year measurement period from the date of acquisition.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6" w:right="239" w:bottom="1440" w:gutter="0" w:footer="0" w:header="0"/>
        </w:sectPr>
      </w:pPr>
    </w:p>
    <w:bookmarkStart w:id="17" w:name="page18"/>
    <w:bookmarkEnd w:id="17"/>
    <w:p>
      <w:pPr>
        <w:spacing w:after="0"/>
        <w:rPr>
          <w:sz w:val="20"/>
          <w:szCs w:val="20"/>
          <w:color w:val="auto"/>
        </w:rPr>
      </w:pPr>
      <w:r>
        <w:rPr>
          <w:rFonts w:ascii="Arial" w:cs="Arial" w:eastAsia="Arial" w:hAnsi="Arial"/>
          <w:sz w:val="23"/>
          <w:szCs w:val="23"/>
          <w:color w:val="008A5F"/>
        </w:rPr>
        <w:t>NOTE 7 - Debt</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value of debt outstanding at the respective balance sheet dates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rates)</w:t>
            </w:r>
          </w:p>
        </w:tc>
        <w:tc>
          <w:tcPr>
            <w:tcW w:w="1980" w:type="dxa"/>
            <w:vAlign w:val="bottom"/>
            <w:shd w:val="clear" w:color="auto" w:fill="008A5F"/>
          </w:tcPr>
          <w:p>
            <w:pPr>
              <w:ind w:left="680"/>
              <w:spacing w:after="0"/>
              <w:rPr>
                <w:sz w:val="20"/>
                <w:szCs w:val="20"/>
                <w:color w:val="auto"/>
              </w:rPr>
            </w:pPr>
            <w:r>
              <w:rPr>
                <w:rFonts w:ascii="Arial" w:cs="Arial" w:eastAsia="Arial" w:hAnsi="Arial"/>
                <w:sz w:val="16"/>
                <w:szCs w:val="16"/>
                <w:b w:val="1"/>
                <w:bCs w:val="1"/>
                <w:color w:val="FFFFFF"/>
              </w:rPr>
              <w:t>Interest rate</w:t>
            </w:r>
          </w:p>
        </w:tc>
        <w:tc>
          <w:tcPr>
            <w:tcW w:w="1940" w:type="dxa"/>
            <w:vAlign w:val="bottom"/>
            <w:shd w:val="clear" w:color="auto" w:fill="008A5F"/>
          </w:tcPr>
          <w:p>
            <w:pPr>
              <w:jc w:val="right"/>
              <w:ind w:right="259"/>
              <w:spacing w:after="0"/>
              <w:rPr>
                <w:sz w:val="20"/>
                <w:szCs w:val="20"/>
                <w:color w:val="auto"/>
              </w:rPr>
            </w:pPr>
            <w:r>
              <w:rPr>
                <w:rFonts w:ascii="Arial" w:cs="Arial" w:eastAsia="Arial" w:hAnsi="Arial"/>
                <w:sz w:val="16"/>
                <w:szCs w:val="16"/>
                <w:b w:val="1"/>
                <w:bCs w:val="1"/>
                <w:color w:val="FFFFFF"/>
              </w:rPr>
              <w:t>Year of maturity</w:t>
            </w:r>
          </w:p>
        </w:tc>
        <w:tc>
          <w:tcPr>
            <w:tcW w:w="180" w:type="dxa"/>
            <w:vAlign w:val="bottom"/>
            <w:shd w:val="clear" w:color="auto" w:fill="008A5F"/>
          </w:tcPr>
          <w:p>
            <w:pPr>
              <w:spacing w:after="0"/>
              <w:rPr>
                <w:sz w:val="21"/>
                <w:szCs w:val="21"/>
                <w:color w:val="auto"/>
              </w:rPr>
            </w:pPr>
          </w:p>
        </w:tc>
        <w:tc>
          <w:tcPr>
            <w:tcW w:w="16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March 31, 2019</w:t>
            </w:r>
          </w:p>
        </w:tc>
        <w:tc>
          <w:tcPr>
            <w:tcW w:w="100" w:type="dxa"/>
            <w:vAlign w:val="bottom"/>
            <w:shd w:val="clear" w:color="auto" w:fill="008A5F"/>
          </w:tcPr>
          <w:p>
            <w:pPr>
              <w:spacing w:after="0"/>
              <w:rPr>
                <w:sz w:val="21"/>
                <w:szCs w:val="21"/>
                <w:color w:val="auto"/>
              </w:rPr>
            </w:pPr>
          </w:p>
        </w:tc>
        <w:tc>
          <w:tcPr>
            <w:tcW w:w="1620" w:type="dxa"/>
            <w:vAlign w:val="bottom"/>
            <w:shd w:val="clear" w:color="auto" w:fill="008A5F"/>
          </w:tcPr>
          <w:p>
            <w:pPr>
              <w:jc w:val="right"/>
              <w:ind w:right="79"/>
              <w:spacing w:after="0"/>
              <w:rPr>
                <w:sz w:val="20"/>
                <w:szCs w:val="20"/>
                <w:color w:val="auto"/>
              </w:rPr>
            </w:pPr>
            <w:r>
              <w:rPr>
                <w:rFonts w:ascii="Arial" w:cs="Arial" w:eastAsia="Arial" w:hAnsi="Arial"/>
                <w:sz w:val="16"/>
                <w:szCs w:val="16"/>
                <w:b w:val="1"/>
                <w:bCs w:val="1"/>
                <w:color w:val="FFFFFF"/>
                <w:w w:val="99"/>
              </w:rPr>
              <w:t>December 31, 2018</w:t>
            </w:r>
          </w:p>
        </w:tc>
      </w:tr>
      <w:tr>
        <w:trPr>
          <w:trHeight w:val="243"/>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2022 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7.875%</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292,674</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292,258</w:t>
            </w:r>
          </w:p>
        </w:tc>
      </w:tr>
      <w:tr>
        <w:trPr>
          <w:trHeight w:val="235"/>
        </w:trPr>
        <w:tc>
          <w:tcPr>
            <w:tcW w:w="3880" w:type="dxa"/>
            <w:vAlign w:val="bottom"/>
          </w:tcPr>
          <w:p>
            <w:pPr>
              <w:ind w:left="20"/>
              <w:spacing w:after="0"/>
              <w:rPr>
                <w:sz w:val="20"/>
                <w:szCs w:val="20"/>
                <w:color w:val="auto"/>
              </w:rPr>
            </w:pPr>
            <w:r>
              <w:rPr>
                <w:rFonts w:ascii="Arial" w:cs="Arial" w:eastAsia="Arial" w:hAnsi="Arial"/>
                <w:sz w:val="16"/>
                <w:szCs w:val="16"/>
                <w:color w:val="auto"/>
              </w:rPr>
              <w:t>2023 Secured Notes</w:t>
            </w:r>
          </w:p>
        </w:tc>
        <w:tc>
          <w:tcPr>
            <w:tcW w:w="1980" w:type="dxa"/>
            <w:vAlign w:val="bottom"/>
          </w:tcPr>
          <w:p>
            <w:pPr>
              <w:jc w:val="center"/>
              <w:ind w:left="99"/>
              <w:spacing w:after="0"/>
              <w:rPr>
                <w:sz w:val="20"/>
                <w:szCs w:val="20"/>
                <w:color w:val="auto"/>
              </w:rPr>
            </w:pPr>
            <w:r>
              <w:rPr>
                <w:rFonts w:ascii="Arial" w:cs="Arial" w:eastAsia="Arial" w:hAnsi="Arial"/>
                <w:sz w:val="16"/>
                <w:szCs w:val="16"/>
                <w:color w:val="auto"/>
              </w:rPr>
              <w:t>6.875%</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294,123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293,918</w:t>
            </w:r>
          </w:p>
        </w:tc>
      </w:tr>
      <w:tr>
        <w:trPr>
          <w:trHeight w:val="251"/>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Unsecured Notes</w:t>
            </w:r>
          </w:p>
        </w:tc>
        <w:tc>
          <w:tcPr>
            <w:tcW w:w="1980" w:type="dxa"/>
            <w:vAlign w:val="bottom"/>
            <w:shd w:val="clear" w:color="auto" w:fill="E7E7E8"/>
          </w:tcPr>
          <w:p>
            <w:pPr>
              <w:jc w:val="center"/>
              <w:ind w:left="99"/>
              <w:spacing w:after="0"/>
              <w:rPr>
                <w:sz w:val="20"/>
                <w:szCs w:val="20"/>
                <w:color w:val="auto"/>
              </w:rPr>
            </w:pPr>
            <w:r>
              <w:rPr>
                <w:rFonts w:ascii="Arial" w:cs="Arial" w:eastAsia="Arial" w:hAnsi="Arial"/>
                <w:sz w:val="16"/>
                <w:szCs w:val="16"/>
                <w:color w:val="auto"/>
              </w:rPr>
              <w:t>10.000%</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198,969</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198,931</w:t>
            </w:r>
          </w:p>
        </w:tc>
      </w:tr>
      <w:tr>
        <w:trPr>
          <w:trHeight w:val="235"/>
        </w:trPr>
        <w:tc>
          <w:tcPr>
            <w:tcW w:w="388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980" w:type="dxa"/>
            <w:vAlign w:val="bottom"/>
          </w:tcPr>
          <w:p>
            <w:pPr>
              <w:ind w:left="900"/>
              <w:spacing w:after="0"/>
              <w:rPr>
                <w:sz w:val="20"/>
                <w:szCs w:val="20"/>
                <w:color w:val="auto"/>
              </w:rPr>
            </w:pPr>
            <w:r>
              <w:rPr>
                <w:rFonts w:ascii="Arial" w:cs="Arial" w:eastAsia="Arial" w:hAnsi="Arial"/>
                <w:sz w:val="16"/>
                <w:szCs w:val="16"/>
                <w:color w:val="auto"/>
              </w:rPr>
              <w:t>Varies</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887,245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853,409</w:t>
            </w:r>
          </w:p>
        </w:tc>
      </w:tr>
      <w:tr>
        <w:trPr>
          <w:trHeight w:val="251"/>
        </w:trPr>
        <w:tc>
          <w:tcPr>
            <w:tcW w:w="3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 (a)</w:t>
            </w:r>
          </w:p>
        </w:tc>
        <w:tc>
          <w:tcPr>
            <w:tcW w:w="1980" w:type="dxa"/>
            <w:vAlign w:val="bottom"/>
            <w:shd w:val="clear" w:color="auto" w:fill="E7E7E8"/>
          </w:tcPr>
          <w:p>
            <w:pPr>
              <w:ind w:left="900"/>
              <w:spacing w:after="0"/>
              <w:rPr>
                <w:sz w:val="20"/>
                <w:szCs w:val="20"/>
                <w:color w:val="auto"/>
              </w:rPr>
            </w:pPr>
            <w:r>
              <w:rPr>
                <w:rFonts w:ascii="Arial" w:cs="Arial" w:eastAsia="Arial" w:hAnsi="Arial"/>
                <w:sz w:val="16"/>
                <w:szCs w:val="16"/>
                <w:color w:val="auto"/>
              </w:rPr>
              <w:t>Varies</w:t>
            </w:r>
          </w:p>
        </w:tc>
        <w:tc>
          <w:tcPr>
            <w:tcW w:w="19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2022</w:t>
            </w:r>
          </w:p>
        </w:tc>
        <w:tc>
          <w:tcPr>
            <w:tcW w:w="180" w:type="dxa"/>
            <w:vAlign w:val="bottom"/>
            <w:shd w:val="clear" w:color="auto" w:fill="E7E7E8"/>
          </w:tcPr>
          <w:p>
            <w:pPr>
              <w:spacing w:after="0"/>
              <w:rPr>
                <w:sz w:val="21"/>
                <w:szCs w:val="21"/>
                <w:color w:val="auto"/>
              </w:rPr>
            </w:pPr>
          </w:p>
        </w:tc>
        <w:tc>
          <w:tcPr>
            <w:tcW w:w="166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Capital lease and other financing obligations</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38,245</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37,983</w:t>
            </w:r>
          </w:p>
        </w:tc>
      </w:tr>
      <w:tr>
        <w:trPr>
          <w:trHeight w:val="243"/>
        </w:trPr>
        <w:tc>
          <w:tcPr>
            <w:tcW w:w="3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Total debt</w:t>
            </w:r>
          </w:p>
        </w:tc>
        <w:tc>
          <w:tcPr>
            <w:tcW w:w="1980" w:type="dxa"/>
            <w:vAlign w:val="bottom"/>
            <w:shd w:val="clear" w:color="auto" w:fill="E7E7E8"/>
          </w:tcPr>
          <w:p>
            <w:pPr>
              <w:spacing w:after="0"/>
              <w:rPr>
                <w:sz w:val="21"/>
                <w:szCs w:val="21"/>
                <w:color w:val="auto"/>
              </w:rPr>
            </w:pPr>
          </w:p>
        </w:tc>
        <w:tc>
          <w:tcPr>
            <w:tcW w:w="194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1,711,256</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1,676,499</w:t>
            </w:r>
          </w:p>
        </w:tc>
      </w:tr>
      <w:tr>
        <w:trPr>
          <w:trHeight w:val="237"/>
        </w:trPr>
        <w:tc>
          <w:tcPr>
            <w:tcW w:w="3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980" w:type="dxa"/>
            <w:vAlign w:val="bottom"/>
            <w:tcBorders>
              <w:bottom w:val="single" w:sz="8" w:color="E7E7E8"/>
            </w:tcBorders>
          </w:tcPr>
          <w:p>
            <w:pPr>
              <w:spacing w:after="0"/>
              <w:rPr>
                <w:sz w:val="20"/>
                <w:szCs w:val="20"/>
                <w:color w:val="auto"/>
              </w:rPr>
            </w:pPr>
          </w:p>
        </w:tc>
        <w:tc>
          <w:tcPr>
            <w:tcW w:w="1940" w:type="dxa"/>
            <w:vAlign w:val="bottom"/>
            <w:tcBorders>
              <w:bottom w:val="single" w:sz="8" w:color="E7E7E8"/>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(1,990)</w:t>
            </w:r>
          </w:p>
        </w:tc>
        <w:tc>
          <w:tcPr>
            <w:tcW w:w="120" w:type="dxa"/>
            <w:vAlign w:val="bottom"/>
            <w:tcBorders>
              <w:bottom w:val="single" w:sz="8" w:color="E7E7E8"/>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(1,959)</w:t>
            </w:r>
          </w:p>
        </w:tc>
      </w:tr>
      <w:tr>
        <w:trPr>
          <w:trHeight w:val="243"/>
        </w:trPr>
        <w:tc>
          <w:tcPr>
            <w:tcW w:w="38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Total long-term debt</w:t>
            </w:r>
          </w:p>
        </w:tc>
        <w:tc>
          <w:tcPr>
            <w:tcW w:w="1980" w:type="dxa"/>
            <w:vAlign w:val="bottom"/>
            <w:shd w:val="clear" w:color="auto" w:fill="E7E7E8"/>
          </w:tcPr>
          <w:p>
            <w:pPr>
              <w:spacing w:after="0"/>
              <w:rPr>
                <w:sz w:val="21"/>
                <w:szCs w:val="21"/>
                <w:color w:val="auto"/>
              </w:rPr>
            </w:pPr>
          </w:p>
        </w:tc>
        <w:tc>
          <w:tcPr>
            <w:tcW w:w="194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1,709,266</w:t>
            </w:r>
          </w:p>
        </w:tc>
        <w:tc>
          <w:tcPr>
            <w:tcW w:w="12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1,674,540</w:t>
            </w:r>
          </w:p>
        </w:tc>
      </w:tr>
    </w:tbl>
    <w:p>
      <w:pPr>
        <w:spacing w:after="0" w:line="81" w:lineRule="exact"/>
        <w:rPr>
          <w:sz w:val="20"/>
          <w:szCs w:val="20"/>
          <w:color w:val="auto"/>
        </w:rPr>
      </w:pPr>
    </w:p>
    <w:p>
      <w:pPr>
        <w:jc w:val="both"/>
        <w:ind w:firstLine="8"/>
        <w:spacing w:after="0" w:line="218" w:lineRule="auto"/>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March 31, 2019, the Company had no outstanding principal borrowings remaining on the Canadian ABL Facility and $2.7 million of related debt issuance costs. As there were no principal borrowings outstanding on the Canadian ABL Facility as of March 31, 2019, $2.7 million of debt issuance costs related to that facility are included in other non-current assets on the unaudited condensed consolidated balance sheet. As of December 31, 2018, the Company had $0.9 million of outstanding principal borrowings on the Canadian ABL Facility and $2.9 million of related debt issuance costs. $0.9 million of the related debt issuance costs are recorded as a direct offset against the principal of the Canadian ABL Facility and the remaining $2.0 million, in excess of principal, has been included in other non-current assets on the condensed consolidated balance sheet.</w:t>
      </w:r>
    </w:p>
    <w:p>
      <w:pPr>
        <w:spacing w:after="0" w:line="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 is subject to various covenants and restrictions for the ABL Facility, the 2022 Secured Notes, the 2023 Secured Notes and the Unsecured Notes, as defined below. The Company is in compliance with all covenants related to debt as of March 31, 2019 and December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ABL Facility</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On November 29, 2017, WS Holdings, WSII and certain of its subsidiaries entered into an ABL credit agreement (the “ABL Facility”), as amended in July and August 2018, that provides a senior secured revolving credit facility that matures on May 29, 2022.</w:t>
      </w:r>
    </w:p>
    <w:p>
      <w:pPr>
        <w:spacing w:after="0" w:line="1"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6"/>
          <w:szCs w:val="16"/>
          <w:color w:val="auto"/>
        </w:rPr>
        <w:t>The ABL Facility consists of (i) a $1.285 billion asset-backed revolving credit facility (the “US ABL Facility”) for WSII and certain of its domestic subsidiaries (the “US Borrowers”), (ii) a $140.0 million asset-based revolving credit facility (the “Canadian ABL Facility”) for certain Canadian subsidiaries of WSII (the “Canadian Borrowers,” and together with the US Borrowers, the “Borrowers”), and (iii) an accordion feature that permits the Borrowers to increase the lenders’ commitments in an aggregate amount not to exceed $375.0 million, subject to the satisfaction of customary conditions, plus any voluntary prepayments that are accompanied by permanent commitment reductions under the ABL Facility.</w:t>
      </w:r>
    </w:p>
    <w:p>
      <w:pPr>
        <w:spacing w:after="0" w:line="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obligations of the US Borrowers are unconditionally guaranteed by WS Holdings and each existing and subsequently acquired or organized direct or indirect wholly-owned US organized restricted subsidiary of WS Holdings, other than excluded subsidiaries (together with WS Holdings, the "US Guarantors"). The obligations of the Canadian Borrowers are unconditionally guaranteed by the US Borrowers and the US Guarantors, and each existing and subsequently acquired or organized direct or indirect wholly-owned Canadian organized restricted subsidiary of WS Holdings other than certain excluded subsidiaries (together with the US Guarantors, the "ABL Guarantors").</w:t>
      </w:r>
    </w:p>
    <w:p>
      <w:pPr>
        <w:spacing w:after="0" w:line="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At March 31, 2019, the weighted average interest rate for borrowings under the ABL Facility was 4.99%. The weighted average interest rate on the balance outstanding, as adjusted for the effects of the interest rate swap agreements was 5.24%. Refer to Note 13 for a more detailed discussion on interest rate management.</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At March 31, 2019, the Borrowers had $468.9 million of available borrowing capacity under the ABL Facility, including $328.9 million under the US ABL Facility and $140.0 million under the Canadian ABL Facility. At December 31, 2018, the Borrowers had $532.6 million of available borrowing capacity under the ABL Facility, including $393.5 million under the US ABL Facility and $139.1 million under the Canadian ABL Facility.</w:t>
      </w:r>
    </w:p>
    <w:p>
      <w:pPr>
        <w:spacing w:after="0" w:line="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Company had issued $13.0 million of standby letters of credit under the ABL Facility at March 31, 2019 and December 31, 2018. At March 31, 2019, letters of credit and guarantees carried fees of 2.625%.</w:t>
      </w:r>
    </w:p>
    <w:p>
      <w:pPr>
        <w:spacing w:after="0" w:line="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Company had $910.5 million and $879.4 million in outstanding principal under the ABL Facility at March 31, 2019 and December 31, 2018, respectively.</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Debt issuance costs and discounts of $23.3 million and $26.0 million are included in the carrying value of the ABL Facility at March 31, 2019 and December 31, 2018,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Senior Secured Notes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connection with the closing of the Business Combination, WSII issued $300.0 million aggregate principal amount of 7.875% senior secured notes due December 15, 2022 (the “2022 Secured Notes”) under an indenture dated November 29, 2017, entered into by and among WSII, the guarantors named therein (the "Note Guarantors"), and Deutsche Bank Trust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Company Americas, as trustee and as collateral agent. Interest is payable semi-annually on June 15 and December 15, beginning June 15, 2018.</w:t>
      </w:r>
    </w:p>
    <w:p>
      <w:pPr>
        <w:spacing w:after="0" w:line="5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6"/>
          <w:szCs w:val="16"/>
          <w:color w:val="auto"/>
        </w:rPr>
        <w:t>Unamortized debt issuance costs pertaining to the 2022 Secured Notes was $7.3 million and $7.7 million as of March 31, 2019 and December 31, 2018,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Secured Notes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On August 6, 2018, a special purpose subsidiary of WSII completed a private offering of $300.0 million in aggregate principal amount of its 6.875% senior secured notes due August 15, 2023 (the “2023 Secured Notes”, and together with the 2022 Secured Notes, the "Senior Secured Notes"). The issuer entered into an indenture dated August 6, 2018 with Deutsche Bank Trust Company Americas, as trustee, which governs the terms of the 2023 Secured Notes. In connection with the ModSpace acquisition, the issuer merged with and into WSII and WSII assumed the 2023 Secured Notes. Interest is payable semi-annually on February 15 and August 15 of each year, beginning February 15, 2019.</w:t>
      </w:r>
    </w:p>
    <w:p>
      <w:pPr>
        <w:spacing w:after="0" w:line="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Unamortized debt issuance costs and discounts pertaining to the 2023 Secured Notes were $5.9 million and $6.1 million as of March 31, 2019 and December 31, 2018,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Senior Unsecured Notes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August 3, 2018, a special purpose subsidiary of WSII completed a private offering of $200.0 million in aggregate principal amount of its senior unsecured notes due November 15, 2023 (the “Unsecured Notes”). The issuer entered into an indenture with Deutsche Bank Trust Company Americas, as trustee, which governs the terms and conditions of the Unsecured Notes. In connection with the ModSpace acquisition, the issuer merged with and into WSII and WSII assumed the Unsecured Notes.</w:t>
      </w:r>
    </w:p>
    <w:p>
      <w:pPr>
        <w:spacing w:after="0" w:line="1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If paid in cash, the Unsecured Notes bear interest at a rate of 10% per annum, on or before February 15, 2021, and at an increased rate per annum of 12.5% thereafter. Interest is payable semi-annually on February 15 and August 15 of each year, beginning February 15, 2019.</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Unamortized debt issuance costs and discounts pertaining to the Unsecured Notes were $1.0 million and $1.1 million as of March 31, 2019 and December 31, 2018,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and Other Financing Obligations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Company’s capital lease and financing obligations primarily consisted of $38.2 million and $37.9 million under sale-leaseback transactions and $0.1 million and $0.1 million of capital leases at March 31, 2019 and December 31, 2018, respectively. The Company’s capital lease and financing obligations are presented net of $1.5 million and $1.6 million of debt issuance costs at March 31, 2019 and December 31, 2018, respectively. The Company’s capital leases primarily relate to real estate, equipment and vehicles and have interest rates ranging from 1.2% to 11.9%.</w:t>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color w:val="008A5F"/>
        </w:rPr>
        <w:t>NOTE 8 – Equity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Warrants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Common Stock</w:t>
      </w:r>
    </w:p>
    <w:p>
      <w:pPr>
        <w:spacing w:after="0" w:line="5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In connection with the stock compensation vesting event described in Note 12, the Company issued 184,212 shares of common stock during the three months ended March 31,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Warrants</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Double Eagle issued warrants to purchase its common stock as components of units sold in its initial public offering (the “Public Warrants”). Double Eagle also issued warrants to purchase its common stock in a private placement concurrently with its initial public offering (the “Private Warrants,” and together with the Public Warrants, the "2015 Warrants").</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March 31, 2019, 24,367,867 of the 2015 Warrants and 9,999,579 of the 2018 Warrants were outstanding.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February 12, 2019, a registration statement filed by WillScot with the SEC became effective. Under the shelf registration statement, 562,542 shares of WillScot Class A common stock issued to the former ModSpace shareholders, 8,914,969 2018 Warrants and up to 9,999,579 new WillScot Class A shares issuable upon the exercise of the 2018 Warrants were registered for resale.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9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accumulated other comprehensive loss ("AOCL"), net of tax, for the three months ended March 31, 2019 and 2018 were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060" w:type="dxa"/>
            <w:vAlign w:val="bottom"/>
            <w:shd w:val="clear" w:color="auto" w:fill="008A5F"/>
          </w:tcPr>
          <w:p>
            <w:pPr>
              <w:spacing w:after="0"/>
              <w:rPr>
                <w:sz w:val="17"/>
                <w:szCs w:val="17"/>
                <w:color w:val="auto"/>
              </w:rPr>
            </w:pPr>
          </w:p>
        </w:tc>
        <w:tc>
          <w:tcPr>
            <w:tcW w:w="140" w:type="dxa"/>
            <w:vAlign w:val="bottom"/>
            <w:shd w:val="clear" w:color="auto" w:fill="008A5F"/>
          </w:tcPr>
          <w:p>
            <w:pPr>
              <w:spacing w:after="0"/>
              <w:rPr>
                <w:sz w:val="17"/>
                <w:szCs w:val="17"/>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shd w:val="clear" w:color="auto" w:fill="008A5F"/>
          </w:tcPr>
          <w:p>
            <w:pPr>
              <w:jc w:val="center"/>
              <w:ind w:right="10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7"/>
                <w:szCs w:val="17"/>
                <w:color w:val="auto"/>
              </w:rPr>
            </w:pPr>
          </w:p>
        </w:tc>
        <w:tc>
          <w:tcPr>
            <w:tcW w:w="1340" w:type="dxa"/>
            <w:vAlign w:val="bottom"/>
            <w:shd w:val="clear" w:color="auto" w:fill="008A5F"/>
          </w:tcPr>
          <w:p>
            <w:pPr>
              <w:spacing w:after="0"/>
              <w:rPr>
                <w:sz w:val="17"/>
                <w:szCs w:val="17"/>
                <w:color w:val="auto"/>
              </w:rPr>
            </w:pPr>
          </w:p>
        </w:tc>
      </w:tr>
      <w:tr>
        <w:trPr>
          <w:trHeight w:val="236"/>
        </w:trPr>
        <w:tc>
          <w:tcPr>
            <w:tcW w:w="606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w w:val="99"/>
              </w:rPr>
              <w:t>Translation</w:t>
            </w:r>
          </w:p>
        </w:tc>
        <w:tc>
          <w:tcPr>
            <w:tcW w:w="120" w:type="dxa"/>
            <w:vAlign w:val="bottom"/>
            <w:shd w:val="clear" w:color="auto" w:fill="008A5F"/>
          </w:tcPr>
          <w:p>
            <w:pPr>
              <w:spacing w:after="0"/>
              <w:rPr>
                <w:sz w:val="20"/>
                <w:szCs w:val="20"/>
                <w:color w:val="auto"/>
              </w:rPr>
            </w:pPr>
          </w:p>
        </w:tc>
        <w:tc>
          <w:tcPr>
            <w:tcW w:w="168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(62,608)</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(5,418)</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(68,026)</w:t>
            </w:r>
          </w:p>
        </w:tc>
      </w:tr>
      <w:tr>
        <w:trPr>
          <w:trHeight w:val="235"/>
        </w:trPr>
        <w:tc>
          <w:tcPr>
            <w:tcW w:w="6060" w:type="dxa"/>
            <w:vAlign w:val="bottom"/>
          </w:tcPr>
          <w:p>
            <w:pPr>
              <w:ind w:left="20"/>
              <w:spacing w:after="0"/>
              <w:rPr>
                <w:sz w:val="20"/>
                <w:szCs w:val="20"/>
                <w:color w:val="auto"/>
              </w:rPr>
            </w:pPr>
            <w:r>
              <w:rPr>
                <w:rFonts w:ascii="Arial" w:cs="Arial" w:eastAsia="Arial" w:hAnsi="Arial"/>
                <w:sz w:val="16"/>
                <w:szCs w:val="16"/>
                <w:color w:val="auto"/>
              </w:rPr>
              <w:t>Total other comprehensive income (loss)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(2,636)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1,479</w:t>
            </w:r>
          </w:p>
        </w:tc>
      </w:tr>
      <w:tr>
        <w:trPr>
          <w:trHeight w:val="251"/>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Reclassifications to the statements of operations</w:t>
            </w:r>
          </w:p>
        </w:tc>
        <w:tc>
          <w:tcPr>
            <w:tcW w:w="14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c>
          <w:tcPr>
            <w:tcW w:w="8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435</w:t>
            </w:r>
          </w:p>
        </w:tc>
      </w:tr>
      <w:tr>
        <w:trPr>
          <w:trHeight w:val="237"/>
        </w:trPr>
        <w:tc>
          <w:tcPr>
            <w:tcW w:w="60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62"/>
        </w:trPr>
        <w:tc>
          <w:tcPr>
            <w:tcW w:w="60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Balance at March 31, 2019</w:t>
            </w: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(58,857)</w:t>
            </w:r>
          </w:p>
        </w:tc>
        <w:tc>
          <w:tcPr>
            <w:tcW w:w="100" w:type="dxa"/>
            <w:vAlign w:val="bottom"/>
            <w:tcBorders>
              <w:bottom w:val="single" w:sz="8" w:color="E7E7E8"/>
            </w:tcBorders>
            <w:shd w:val="clear" w:color="auto" w:fill="E7E7E8"/>
          </w:tcPr>
          <w:p>
            <w:pPr>
              <w:spacing w:after="0"/>
              <w:rPr>
                <w:sz w:val="22"/>
                <w:szCs w:val="22"/>
                <w:color w:val="auto"/>
              </w:rPr>
            </w:pPr>
          </w:p>
        </w:tc>
        <w:tc>
          <w:tcPr>
            <w:tcW w:w="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(7,421)</w:t>
            </w:r>
          </w:p>
        </w:tc>
        <w:tc>
          <w:tcPr>
            <w:tcW w:w="80" w:type="dxa"/>
            <w:vAlign w:val="bottom"/>
            <w:tcBorders>
              <w:bottom w:val="single" w:sz="8" w:color="E7E7E8"/>
            </w:tcBorders>
            <w:shd w:val="clear" w:color="auto" w:fill="E7E7E8"/>
          </w:tcPr>
          <w:p>
            <w:pPr>
              <w:spacing w:after="0"/>
              <w:rPr>
                <w:sz w:val="22"/>
                <w:szCs w:val="22"/>
                <w:color w:val="auto"/>
              </w:rPr>
            </w:pPr>
          </w:p>
        </w:tc>
        <w:tc>
          <w:tcPr>
            <w:tcW w:w="380" w:type="dxa"/>
            <w:vAlign w:val="bottom"/>
            <w:tcBorders>
              <w:bottom w:val="single" w:sz="8" w:color="auto"/>
            </w:tcBorders>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(66,278)</w:t>
            </w:r>
          </w:p>
        </w:tc>
      </w:tr>
      <w:tr>
        <w:trPr>
          <w:trHeight w:val="20"/>
        </w:trPr>
        <w:tc>
          <w:tcPr>
            <w:tcW w:w="60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5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E7E7E8"/>
              <w:bottom w:val="single" w:sz="8" w:color="auto"/>
            </w:tcBorders>
          </w:tcPr>
          <w:p>
            <w:pPr>
              <w:spacing w:after="0" w:line="20" w:lineRule="exact"/>
              <w:rPr>
                <w:sz w:val="1"/>
                <w:szCs w:val="1"/>
                <w:color w:val="auto"/>
              </w:rPr>
            </w:pPr>
          </w:p>
        </w:tc>
        <w:tc>
          <w:tcPr>
            <w:tcW w:w="160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E7E7E8"/>
              <w:bottom w:val="single" w:sz="8" w:color="auto"/>
            </w:tcBorders>
          </w:tcPr>
          <w:p>
            <w:pPr>
              <w:spacing w:after="0" w:line="20" w:lineRule="exact"/>
              <w:rPr>
                <w:sz w:val="1"/>
                <w:szCs w:val="1"/>
                <w:color w:val="auto"/>
              </w:rPr>
            </w:pPr>
          </w:p>
        </w:tc>
        <w:tc>
          <w:tcPr>
            <w:tcW w:w="1340" w:type="dxa"/>
            <w:vAlign w:val="bottom"/>
            <w:tcBorders>
              <w:top w:val="single" w:sz="8" w:color="E7E7E8"/>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60" w:type="dxa"/>
            <w:vAlign w:val="bottom"/>
            <w:shd w:val="clear" w:color="auto" w:fill="008A5F"/>
          </w:tcPr>
          <w:p>
            <w:pPr>
              <w:spacing w:after="0"/>
              <w:rPr>
                <w:sz w:val="16"/>
                <w:szCs w:val="16"/>
                <w:color w:val="auto"/>
              </w:rPr>
            </w:pPr>
          </w:p>
        </w:tc>
        <w:tc>
          <w:tcPr>
            <w:tcW w:w="140" w:type="dxa"/>
            <w:vAlign w:val="bottom"/>
            <w:shd w:val="clear" w:color="auto" w:fill="008A5F"/>
          </w:tcPr>
          <w:p>
            <w:pPr>
              <w:spacing w:after="0"/>
              <w:rPr>
                <w:sz w:val="16"/>
                <w:szCs w:val="16"/>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Foreign Currency</w:t>
            </w:r>
          </w:p>
        </w:tc>
        <w:tc>
          <w:tcPr>
            <w:tcW w:w="1800" w:type="dxa"/>
            <w:vAlign w:val="bottom"/>
            <w:gridSpan w:val="3"/>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Unrealized losses on</w:t>
            </w:r>
          </w:p>
        </w:tc>
        <w:tc>
          <w:tcPr>
            <w:tcW w:w="38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40" w:type="dxa"/>
            <w:vAlign w:val="bottom"/>
            <w:shd w:val="clear" w:color="auto" w:fill="008A5F"/>
          </w:tcPr>
          <w:p>
            <w:pPr>
              <w:spacing w:after="0"/>
              <w:rPr>
                <w:sz w:val="14"/>
                <w:szCs w:val="14"/>
                <w:color w:val="auto"/>
              </w:rPr>
            </w:pPr>
          </w:p>
        </w:tc>
        <w:tc>
          <w:tcPr>
            <w:tcW w:w="1680" w:type="dxa"/>
            <w:vAlign w:val="bottom"/>
            <w:gridSpan w:val="2"/>
            <w:shd w:val="clear" w:color="auto" w:fill="008A5F"/>
          </w:tcPr>
          <w:p>
            <w:pPr>
              <w:jc w:val="center"/>
              <w:ind w:right="260"/>
              <w:spacing w:after="0" w:line="162" w:lineRule="exact"/>
              <w:rPr>
                <w:sz w:val="20"/>
                <w:szCs w:val="20"/>
                <w:color w:val="auto"/>
              </w:rPr>
            </w:pPr>
            <w:r>
              <w:rPr>
                <w:rFonts w:ascii="Arial" w:cs="Arial" w:eastAsia="Arial" w:hAnsi="Arial"/>
                <w:sz w:val="16"/>
                <w:szCs w:val="16"/>
                <w:b w:val="1"/>
                <w:bCs w:val="1"/>
                <w:color w:val="FFFFFF"/>
                <w:w w:val="99"/>
              </w:rPr>
              <w:t>Translation</w:t>
            </w:r>
          </w:p>
        </w:tc>
        <w:tc>
          <w:tcPr>
            <w:tcW w:w="1800" w:type="dxa"/>
            <w:vAlign w:val="bottom"/>
            <w:gridSpan w:val="3"/>
            <w:vMerge w:val="continue"/>
            <w:shd w:val="clear" w:color="auto" w:fill="008A5F"/>
          </w:tcPr>
          <w:p>
            <w:pPr>
              <w:spacing w:after="0"/>
              <w:rPr>
                <w:sz w:val="14"/>
                <w:szCs w:val="14"/>
                <w:color w:val="auto"/>
              </w:rPr>
            </w:pPr>
          </w:p>
        </w:tc>
        <w:tc>
          <w:tcPr>
            <w:tcW w:w="380" w:type="dxa"/>
            <w:vAlign w:val="bottom"/>
            <w:shd w:val="clear" w:color="auto" w:fill="008A5F"/>
          </w:tcPr>
          <w:p>
            <w:pPr>
              <w:spacing w:after="0"/>
              <w:rPr>
                <w:sz w:val="14"/>
                <w:szCs w:val="14"/>
                <w:color w:val="auto"/>
              </w:rPr>
            </w:pPr>
          </w:p>
        </w:tc>
        <w:tc>
          <w:tcPr>
            <w:tcW w:w="134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060" w:type="dxa"/>
            <w:vAlign w:val="bottom"/>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w w:val="99"/>
              </w:rPr>
              <w:t>Adjustment</w:t>
            </w:r>
          </w:p>
        </w:tc>
        <w:tc>
          <w:tcPr>
            <w:tcW w:w="120" w:type="dxa"/>
            <w:vAlign w:val="bottom"/>
            <w:shd w:val="clear" w:color="auto" w:fill="008A5F"/>
          </w:tcPr>
          <w:p>
            <w:pPr>
              <w:spacing w:after="0"/>
              <w:rPr>
                <w:sz w:val="18"/>
                <w:szCs w:val="18"/>
                <w:color w:val="auto"/>
              </w:rPr>
            </w:pPr>
          </w:p>
        </w:tc>
        <w:tc>
          <w:tcPr>
            <w:tcW w:w="168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hedging activities</w:t>
            </w:r>
          </w:p>
        </w:tc>
        <w:tc>
          <w:tcPr>
            <w:tcW w:w="380" w:type="dxa"/>
            <w:vAlign w:val="bottom"/>
            <w:shd w:val="clear" w:color="auto" w:fill="008A5F"/>
          </w:tcPr>
          <w:p>
            <w:pPr>
              <w:spacing w:after="0"/>
              <w:rPr>
                <w:sz w:val="18"/>
                <w:szCs w:val="18"/>
                <w:color w:val="auto"/>
              </w:rPr>
            </w:pPr>
          </w:p>
        </w:tc>
        <w:tc>
          <w:tcPr>
            <w:tcW w:w="13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December 31, 2017</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(49,497)</w:t>
            </w:r>
          </w:p>
        </w:tc>
        <w:tc>
          <w:tcPr>
            <w:tcW w:w="0" w:type="dxa"/>
            <w:vAlign w:val="bottom"/>
          </w:tcPr>
          <w:p>
            <w:pPr>
              <w:spacing w:after="0"/>
              <w:rPr>
                <w:sz w:val="1"/>
                <w:szCs w:val="1"/>
                <w:color w:val="auto"/>
              </w:rPr>
            </w:pPr>
          </w:p>
        </w:tc>
      </w:tr>
      <w:tr>
        <w:trPr>
          <w:trHeight w:val="235"/>
        </w:trPr>
        <w:tc>
          <w:tcPr>
            <w:tcW w:w="6060" w:type="dxa"/>
            <w:vAlign w:val="bottom"/>
          </w:tcPr>
          <w:p>
            <w:pPr>
              <w:ind w:left="20"/>
              <w:spacing w:after="0"/>
              <w:rPr>
                <w:sz w:val="20"/>
                <w:szCs w:val="20"/>
                <w:color w:val="auto"/>
              </w:rPr>
            </w:pPr>
            <w:r>
              <w:rPr>
                <w:rFonts w:ascii="Arial" w:cs="Arial" w:eastAsia="Arial" w:hAnsi="Arial"/>
                <w:sz w:val="16"/>
                <w:szCs w:val="16"/>
                <w:color w:val="auto"/>
              </w:rPr>
              <w:t>Total other comprehensive income prior to reclassifications</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51"/>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Reclassifications to accumulated deficit</w:t>
            </w:r>
            <w:r>
              <w:rPr>
                <w:rFonts w:ascii="Arial" w:cs="Arial" w:eastAsia="Arial" w:hAnsi="Arial"/>
                <w:sz w:val="21"/>
                <w:szCs w:val="21"/>
                <w:color w:val="auto"/>
                <w:vertAlign w:val="superscript"/>
              </w:rPr>
              <w:t>(a)</w:t>
            </w:r>
          </w:p>
        </w:tc>
        <w:tc>
          <w:tcPr>
            <w:tcW w:w="140" w:type="dxa"/>
            <w:vAlign w:val="bottom"/>
            <w:shd w:val="clear" w:color="auto" w:fill="E7E7E8"/>
          </w:tcPr>
          <w:p>
            <w:pPr>
              <w:spacing w:after="0"/>
              <w:rPr>
                <w:sz w:val="21"/>
                <w:szCs w:val="21"/>
                <w:color w:val="auto"/>
              </w:rPr>
            </w:pP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10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Less other comprehensive income attributable to non-controlling interest</w:t>
            </w: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E7E7E8"/>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57"/>
        </w:trPr>
        <w:tc>
          <w:tcPr>
            <w:tcW w:w="606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March 31, 2018</w:t>
            </w: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(51,798)</w:t>
            </w:r>
          </w:p>
        </w:tc>
        <w:tc>
          <w:tcPr>
            <w:tcW w:w="100" w:type="dxa"/>
            <w:vAlign w:val="bottom"/>
            <w:shd w:val="clear" w:color="auto" w:fill="E7E7E8"/>
          </w:tcPr>
          <w:p>
            <w:pPr>
              <w:spacing w:after="0"/>
              <w:rPr>
                <w:sz w:val="22"/>
                <w:szCs w:val="22"/>
                <w:color w:val="auto"/>
              </w:rPr>
            </w:pP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E7E7E8"/>
          </w:tcPr>
          <w:p>
            <w:pPr>
              <w:ind w:left="1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(51,798)</w:t>
            </w:r>
          </w:p>
        </w:tc>
        <w:tc>
          <w:tcPr>
            <w:tcW w:w="0" w:type="dxa"/>
            <w:vAlign w:val="bottom"/>
          </w:tcPr>
          <w:p>
            <w:pPr>
              <w:spacing w:after="0"/>
              <w:rPr>
                <w:sz w:val="1"/>
                <w:szCs w:val="1"/>
                <w:color w:val="auto"/>
              </w:rPr>
            </w:pPr>
          </w:p>
        </w:tc>
      </w:tr>
      <w:tr>
        <w:trPr>
          <w:trHeight w:val="20"/>
        </w:trPr>
        <w:tc>
          <w:tcPr>
            <w:tcW w:w="606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jc w:val="both"/>
        <w:ind w:firstLine="8"/>
        <w:spacing w:after="0" w:line="266" w:lineRule="auto"/>
        <w:tabs>
          <w:tab w:leader="none" w:pos="2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 the first quarter of 2018, the Company elected to early adopt ASU 2018-02, </w:t>
      </w:r>
      <w:r>
        <w:rPr>
          <w:rFonts w:ascii="Arial" w:cs="Arial" w:eastAsia="Arial" w:hAnsi="Arial"/>
          <w:sz w:val="14"/>
          <w:szCs w:val="14"/>
          <w:i w:val="1"/>
          <w:iCs w:val="1"/>
          <w:color w:val="auto"/>
        </w:rPr>
        <w:t>Income Statement-Reporting Comprehensive Income (Topic 220) - Reclassification of Certain</w:t>
      </w:r>
      <w:r>
        <w:rPr>
          <w:rFonts w:ascii="Arial" w:cs="Arial" w:eastAsia="Arial" w:hAnsi="Arial"/>
          <w:sz w:val="14"/>
          <w:szCs w:val="14"/>
          <w:color w:val="auto"/>
        </w:rPr>
        <w:t xml:space="preserve"> </w:t>
      </w:r>
      <w:r>
        <w:rPr>
          <w:rFonts w:ascii="Arial" w:cs="Arial" w:eastAsia="Arial" w:hAnsi="Arial"/>
          <w:sz w:val="14"/>
          <w:szCs w:val="14"/>
          <w:i w:val="1"/>
          <w:iCs w:val="1"/>
          <w:color w:val="auto"/>
        </w:rPr>
        <w:t>Tax Effects from Accumulated Other Comprehensive Income</w:t>
      </w:r>
      <w:r>
        <w:rPr>
          <w:rFonts w:ascii="Arial" w:cs="Arial" w:eastAsia="Arial" w:hAnsi="Arial"/>
          <w:sz w:val="14"/>
          <w:szCs w:val="14"/>
          <w:color w:val="auto"/>
        </w:rPr>
        <w:t>, which resulted in a discrete reclassification of $2.5 million from accumulated other comprehensive loss to</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deficit effective January 1, 2018.</w:t>
      </w:r>
    </w:p>
    <w:p>
      <w:pPr>
        <w:jc w:val="both"/>
        <w:ind w:firstLine="648"/>
        <w:spacing w:after="0" w:line="277" w:lineRule="auto"/>
        <w:rPr>
          <w:sz w:val="20"/>
          <w:szCs w:val="20"/>
          <w:color w:val="auto"/>
        </w:rPr>
      </w:pPr>
      <w:r>
        <w:rPr>
          <w:rFonts w:ascii="Arial" w:cs="Arial" w:eastAsia="Arial" w:hAnsi="Arial"/>
          <w:sz w:val="16"/>
          <w:szCs w:val="16"/>
          <w:color w:val="auto"/>
        </w:rPr>
        <w:t>For the three months ended March 31, 2019, $0.6 million was reclassified from AOCL into the consolidated statement of operations within interest expense related to the interest rate swaps discussed in Note 13. The Company recorded a tax benefit of $0.1 million associated with this reclassification.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the non-controlling interest for the three months ended March 31, 2019 and 2018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3773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105"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4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63,982</w:t>
            </w:r>
          </w:p>
        </w:tc>
        <w:tc>
          <w:tcPr>
            <w:tcW w:w="10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48,931</w:t>
            </w:r>
          </w:p>
        </w:tc>
      </w:tr>
      <w:tr>
        <w:trPr>
          <w:trHeight w:val="235"/>
        </w:trPr>
        <w:tc>
          <w:tcPr>
            <w:tcW w:w="788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51"/>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comprehensive income</w:t>
            </w:r>
          </w:p>
        </w:tc>
        <w:tc>
          <w:tcPr>
            <w:tcW w:w="40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spacing w:after="0"/>
              <w:rPr>
                <w:sz w:val="21"/>
                <w:szCs w:val="21"/>
                <w:color w:val="auto"/>
              </w:rPr>
            </w:pPr>
          </w:p>
        </w:tc>
        <w:tc>
          <w:tcPr>
            <w:tcW w:w="13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7880" w:type="dxa"/>
            <w:vAlign w:val="bottom"/>
          </w:tcPr>
          <w:p>
            <w:pPr>
              <w:ind w:left="20"/>
              <w:spacing w:after="0"/>
              <w:rPr>
                <w:sz w:val="20"/>
                <w:szCs w:val="20"/>
                <w:color w:val="auto"/>
              </w:rPr>
            </w:pPr>
            <w:r>
              <w:rPr>
                <w:rFonts w:ascii="Arial" w:cs="Arial" w:eastAsia="Arial" w:hAnsi="Arial"/>
                <w:sz w:val="16"/>
                <w:szCs w:val="16"/>
                <w:color w:val="auto"/>
              </w:rPr>
              <w:t>Balance at end of the period</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48,307</w:t>
            </w:r>
          </w:p>
        </w:tc>
      </w:tr>
      <w:tr>
        <w:trPr>
          <w:trHeight w:val="27"/>
        </w:trPr>
        <w:tc>
          <w:tcPr>
            <w:tcW w:w="7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8A5F"/>
        </w:rPr>
        <w:t>NOTE 9 – Income Taxes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recorded approximately $0.4 million of income tax expense and $0.4 million of income tax benefit for the three months ended March 31, 2019 and 2018, respectively. The Company’s effective tax rate for the three months ended March 31, 2019 and 2018 was (3.5)% and 5.8%, respectively. The Company did not recognize a tax benefit for loss from operations as of March 31, 2019 as it is not likely that the benefit is realizable. A tax benefit will be recognized only when there is sufficient income to support realizability.</w:t>
      </w:r>
    </w:p>
    <w:p>
      <w:pPr>
        <w:spacing w:after="0" w:line="10" w:lineRule="exact"/>
        <w:rPr>
          <w:sz w:val="20"/>
          <w:szCs w:val="20"/>
          <w:color w:val="auto"/>
        </w:rPr>
      </w:pPr>
    </w:p>
    <w:p>
      <w:pPr>
        <w:jc w:val="both"/>
        <w:ind w:right="20" w:firstLine="648"/>
        <w:spacing w:after="0" w:line="362" w:lineRule="auto"/>
        <w:rPr>
          <w:sz w:val="20"/>
          <w:szCs w:val="20"/>
          <w:color w:val="auto"/>
        </w:rPr>
      </w:pPr>
      <w:r>
        <w:rPr>
          <w:rFonts w:ascii="Arial" w:cs="Arial" w:eastAsia="Arial" w:hAnsi="Arial"/>
          <w:sz w:val="16"/>
          <w:szCs w:val="16"/>
          <w:color w:val="auto"/>
        </w:rPr>
        <w:t>In addition, the Company also recognized $0.4 million of tax expense and $0.4 million of tax benefit for the three months ended March 31, 2019 and 2018, respectively, discrete to the quarter related to matters accounted for as a period cost.</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color w:val="008A5F"/>
        </w:rPr>
        <w:t>NOTE 10 - Fair Value Measures</w:t>
      </w:r>
    </w:p>
    <w:p>
      <w:pPr>
        <w:spacing w:after="0" w:line="6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fair value of financial assets and liabilities are included at the amount at which the instrument could be exchanged in a current transaction between willing parties, other than in a forced or liquidation sale.</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assessed that the fair value of cash and cash equivalents, trade receivables, trade payables, capital lease and other financing obligations, and other current liabilities approximate their carrying amounts.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7"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6"/>
          <w:szCs w:val="16"/>
          <w:color w:val="auto"/>
        </w:rPr>
        <w:t>The following table shows the carrying amounts and fair values of financial assets and liabilities, including their levels in the fair value hierarchy: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66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96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2000" w:type="dxa"/>
            <w:vAlign w:val="bottom"/>
            <w:gridSpan w:val="2"/>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March 31, 2019</w:t>
            </w:r>
          </w:p>
        </w:tc>
        <w:tc>
          <w:tcPr>
            <w:tcW w:w="160" w:type="dxa"/>
            <w:vAlign w:val="bottom"/>
            <w:shd w:val="clear" w:color="auto" w:fill="008A5F"/>
          </w:tcPr>
          <w:p>
            <w:pPr>
              <w:spacing w:after="0"/>
              <w:rPr>
                <w:sz w:val="21"/>
                <w:szCs w:val="21"/>
                <w:color w:val="auto"/>
              </w:rPr>
            </w:pPr>
          </w:p>
        </w:tc>
        <w:tc>
          <w:tcPr>
            <w:tcW w:w="980" w:type="dxa"/>
            <w:vAlign w:val="bottom"/>
            <w:shd w:val="clear" w:color="auto" w:fill="008A5F"/>
          </w:tcPr>
          <w:p>
            <w:pPr>
              <w:spacing w:after="0"/>
              <w:rPr>
                <w:sz w:val="21"/>
                <w:szCs w:val="21"/>
                <w:color w:val="auto"/>
              </w:rPr>
            </w:pPr>
          </w:p>
        </w:tc>
        <w:tc>
          <w:tcPr>
            <w:tcW w:w="1040" w:type="dxa"/>
            <w:vAlign w:val="bottom"/>
            <w:shd w:val="clear" w:color="auto" w:fill="008A5F"/>
          </w:tcPr>
          <w:p>
            <w:pPr>
              <w:spacing w:after="0"/>
              <w:rPr>
                <w:sz w:val="21"/>
                <w:szCs w:val="21"/>
                <w:color w:val="auto"/>
              </w:rPr>
            </w:pPr>
          </w:p>
        </w:tc>
        <w:tc>
          <w:tcPr>
            <w:tcW w:w="200" w:type="dxa"/>
            <w:vAlign w:val="bottom"/>
            <w:shd w:val="clear" w:color="auto" w:fill="008A5F"/>
          </w:tcPr>
          <w:p>
            <w:pPr>
              <w:spacing w:after="0"/>
              <w:rPr>
                <w:sz w:val="21"/>
                <w:szCs w:val="21"/>
                <w:color w:val="auto"/>
              </w:rPr>
            </w:pPr>
          </w:p>
        </w:tc>
        <w:tc>
          <w:tcPr>
            <w:tcW w:w="1980" w:type="dxa"/>
            <w:vAlign w:val="bottom"/>
            <w:gridSpan w:val="2"/>
            <w:shd w:val="clear" w:color="auto" w:fill="008A5F"/>
          </w:tcPr>
          <w:p>
            <w:pPr>
              <w:ind w:left="60"/>
              <w:spacing w:after="0"/>
              <w:rPr>
                <w:sz w:val="20"/>
                <w:szCs w:val="20"/>
                <w:color w:val="auto"/>
              </w:rPr>
            </w:pPr>
            <w:r>
              <w:rPr>
                <w:rFonts w:ascii="Arial" w:cs="Arial" w:eastAsia="Arial" w:hAnsi="Arial"/>
                <w:sz w:val="16"/>
                <w:szCs w:val="16"/>
                <w:b w:val="1"/>
                <w:bCs w:val="1"/>
                <w:color w:val="FFFFFF"/>
              </w:rPr>
              <w:t>December 31, 2018</w:t>
            </w:r>
          </w:p>
        </w:tc>
        <w:tc>
          <w:tcPr>
            <w:tcW w:w="200" w:type="dxa"/>
            <w:vAlign w:val="bottom"/>
            <w:shd w:val="clear" w:color="auto" w:fill="008A5F"/>
          </w:tcPr>
          <w:p>
            <w:pPr>
              <w:spacing w:after="0"/>
              <w:rPr>
                <w:sz w:val="21"/>
                <w:szCs w:val="21"/>
                <w:color w:val="auto"/>
              </w:rPr>
            </w:pPr>
          </w:p>
        </w:tc>
        <w:tc>
          <w:tcPr>
            <w:tcW w:w="86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60" w:type="dxa"/>
            <w:vAlign w:val="bottom"/>
            <w:vMerge w:val="restart"/>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rPr>
              <w:t>Carrying</w:t>
            </w:r>
          </w:p>
        </w:tc>
        <w:tc>
          <w:tcPr>
            <w:tcW w:w="18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20" w:type="dxa"/>
            <w:vAlign w:val="bottom"/>
            <w:shd w:val="clear" w:color="auto" w:fill="008A5F"/>
          </w:tcPr>
          <w:p>
            <w:pPr>
              <w:jc w:val="right"/>
              <w:ind w:right="159"/>
              <w:spacing w:after="0"/>
              <w:rPr>
                <w:sz w:val="20"/>
                <w:szCs w:val="20"/>
                <w:color w:val="auto"/>
              </w:rPr>
            </w:pPr>
            <w:r>
              <w:rPr>
                <w:rFonts w:ascii="Arial" w:cs="Arial" w:eastAsia="Arial" w:hAnsi="Arial"/>
                <w:sz w:val="16"/>
                <w:szCs w:val="16"/>
                <w:b w:val="1"/>
                <w:bCs w:val="1"/>
                <w:color w:val="FFFFFF"/>
                <w:w w:val="99"/>
              </w:rPr>
              <w:t>Fair Value</w:t>
            </w:r>
          </w:p>
        </w:tc>
        <w:tc>
          <w:tcPr>
            <w:tcW w:w="160" w:type="dxa"/>
            <w:vAlign w:val="bottom"/>
            <w:shd w:val="clear" w:color="auto" w:fill="008A5F"/>
          </w:tcPr>
          <w:p>
            <w:pPr>
              <w:spacing w:after="0"/>
              <w:rPr>
                <w:sz w:val="19"/>
                <w:szCs w:val="19"/>
                <w:color w:val="auto"/>
              </w:rPr>
            </w:pPr>
          </w:p>
        </w:tc>
        <w:tc>
          <w:tcPr>
            <w:tcW w:w="980" w:type="dxa"/>
            <w:vAlign w:val="bottom"/>
            <w:shd w:val="clear" w:color="auto" w:fill="008A5F"/>
          </w:tcPr>
          <w:p>
            <w:pPr>
              <w:spacing w:after="0"/>
              <w:rPr>
                <w:sz w:val="19"/>
                <w:szCs w:val="19"/>
                <w:color w:val="auto"/>
              </w:rPr>
            </w:pPr>
          </w:p>
        </w:tc>
        <w:tc>
          <w:tcPr>
            <w:tcW w:w="104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Carrying</w:t>
            </w:r>
          </w:p>
        </w:tc>
        <w:tc>
          <w:tcPr>
            <w:tcW w:w="200" w:type="dxa"/>
            <w:vAlign w:val="bottom"/>
            <w:shd w:val="clear" w:color="auto" w:fill="008A5F"/>
          </w:tcPr>
          <w:p>
            <w:pPr>
              <w:spacing w:after="0"/>
              <w:rPr>
                <w:sz w:val="19"/>
                <w:szCs w:val="19"/>
                <w:color w:val="auto"/>
              </w:rPr>
            </w:pPr>
          </w:p>
        </w:tc>
        <w:tc>
          <w:tcPr>
            <w:tcW w:w="1000" w:type="dxa"/>
            <w:vAlign w:val="bottom"/>
            <w:shd w:val="clear" w:color="auto" w:fill="008A5F"/>
          </w:tcPr>
          <w:p>
            <w:pPr>
              <w:spacing w:after="0"/>
              <w:rPr>
                <w:sz w:val="19"/>
                <w:szCs w:val="19"/>
                <w:color w:val="auto"/>
              </w:rPr>
            </w:pPr>
          </w:p>
        </w:tc>
        <w:tc>
          <w:tcPr>
            <w:tcW w:w="9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Fair Value</w:t>
            </w:r>
          </w:p>
        </w:tc>
        <w:tc>
          <w:tcPr>
            <w:tcW w:w="200" w:type="dxa"/>
            <w:vAlign w:val="bottom"/>
            <w:shd w:val="clear" w:color="auto" w:fill="008A5F"/>
          </w:tcPr>
          <w:p>
            <w:pPr>
              <w:spacing w:after="0"/>
              <w:rPr>
                <w:sz w:val="19"/>
                <w:szCs w:val="19"/>
                <w:color w:val="auto"/>
              </w:rPr>
            </w:pPr>
          </w:p>
        </w:tc>
        <w:tc>
          <w:tcPr>
            <w:tcW w:w="86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6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7"/>
                <w:szCs w:val="7"/>
                <w:color w:val="auto"/>
              </w:rPr>
            </w:pPr>
          </w:p>
        </w:tc>
        <w:tc>
          <w:tcPr>
            <w:tcW w:w="960" w:type="dxa"/>
            <w:vAlign w:val="bottom"/>
            <w:vMerge w:val="continue"/>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980" w:type="dxa"/>
            <w:vAlign w:val="bottom"/>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Level 1</w:t>
            </w:r>
          </w:p>
        </w:tc>
        <w:tc>
          <w:tcPr>
            <w:tcW w:w="102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160" w:type="dxa"/>
            <w:vAlign w:val="bottom"/>
            <w:shd w:val="clear" w:color="auto" w:fill="008A5F"/>
          </w:tcPr>
          <w:p>
            <w:pPr>
              <w:spacing w:after="0"/>
              <w:rPr>
                <w:sz w:val="7"/>
                <w:szCs w:val="7"/>
                <w:color w:val="auto"/>
              </w:rPr>
            </w:pPr>
          </w:p>
        </w:tc>
        <w:tc>
          <w:tcPr>
            <w:tcW w:w="980" w:type="dxa"/>
            <w:vAlign w:val="bottom"/>
            <w:vMerge w:val="restart"/>
            <w:shd w:val="clear" w:color="auto" w:fill="008A5F"/>
          </w:tcPr>
          <w:p>
            <w:pPr>
              <w:ind w:left="40"/>
              <w:spacing w:after="0"/>
              <w:rPr>
                <w:sz w:val="20"/>
                <w:szCs w:val="20"/>
                <w:color w:val="auto"/>
              </w:rPr>
            </w:pPr>
            <w:r>
              <w:rPr>
                <w:rFonts w:ascii="Arial" w:cs="Arial" w:eastAsia="Arial" w:hAnsi="Arial"/>
                <w:sz w:val="16"/>
                <w:szCs w:val="16"/>
                <w:b w:val="1"/>
                <w:bCs w:val="1"/>
                <w:color w:val="FFFFFF"/>
              </w:rPr>
              <w:t>Level 3</w:t>
            </w:r>
          </w:p>
        </w:tc>
        <w:tc>
          <w:tcPr>
            <w:tcW w:w="1040" w:type="dxa"/>
            <w:vAlign w:val="bottom"/>
            <w:vMerge w:val="continue"/>
            <w:shd w:val="clear" w:color="auto" w:fill="008A5F"/>
          </w:tcPr>
          <w:p>
            <w:pPr>
              <w:spacing w:after="0"/>
              <w:rPr>
                <w:sz w:val="7"/>
                <w:szCs w:val="7"/>
                <w:color w:val="auto"/>
              </w:rPr>
            </w:pPr>
          </w:p>
        </w:tc>
        <w:tc>
          <w:tcPr>
            <w:tcW w:w="200" w:type="dxa"/>
            <w:vAlign w:val="bottom"/>
            <w:shd w:val="clear" w:color="auto" w:fill="008A5F"/>
          </w:tcPr>
          <w:p>
            <w:pPr>
              <w:spacing w:after="0"/>
              <w:rPr>
                <w:sz w:val="7"/>
                <w:szCs w:val="7"/>
                <w:color w:val="auto"/>
              </w:rPr>
            </w:pPr>
          </w:p>
        </w:tc>
        <w:tc>
          <w:tcPr>
            <w:tcW w:w="100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1</w:t>
            </w:r>
          </w:p>
        </w:tc>
        <w:tc>
          <w:tcPr>
            <w:tcW w:w="980" w:type="dxa"/>
            <w:vAlign w:val="bottom"/>
            <w:vMerge w:val="restart"/>
            <w:shd w:val="clear" w:color="auto" w:fill="008A5F"/>
          </w:tcPr>
          <w:p>
            <w:pPr>
              <w:jc w:val="right"/>
              <w:ind w:right="199"/>
              <w:spacing w:after="0"/>
              <w:rPr>
                <w:sz w:val="20"/>
                <w:szCs w:val="20"/>
                <w:color w:val="auto"/>
              </w:rPr>
            </w:pPr>
            <w:r>
              <w:rPr>
                <w:rFonts w:ascii="Arial" w:cs="Arial" w:eastAsia="Arial" w:hAnsi="Arial"/>
                <w:sz w:val="16"/>
                <w:szCs w:val="16"/>
                <w:b w:val="1"/>
                <w:bCs w:val="1"/>
                <w:color w:val="FFFFFF"/>
              </w:rPr>
              <w:t>Level 2</w:t>
            </w:r>
          </w:p>
        </w:tc>
        <w:tc>
          <w:tcPr>
            <w:tcW w:w="200" w:type="dxa"/>
            <w:vAlign w:val="bottom"/>
            <w:shd w:val="clear" w:color="auto" w:fill="008A5F"/>
          </w:tcPr>
          <w:p>
            <w:pPr>
              <w:spacing w:after="0"/>
              <w:rPr>
                <w:sz w:val="7"/>
                <w:szCs w:val="7"/>
                <w:color w:val="auto"/>
              </w:rPr>
            </w:pPr>
          </w:p>
        </w:tc>
        <w:tc>
          <w:tcPr>
            <w:tcW w:w="860" w:type="dxa"/>
            <w:vAlign w:val="bottom"/>
            <w:vMerge w:val="restart"/>
            <w:shd w:val="clear" w:color="auto" w:fill="008A5F"/>
          </w:tcPr>
          <w:p>
            <w:pPr>
              <w:ind w:left="60"/>
              <w:spacing w:after="0"/>
              <w:rPr>
                <w:sz w:val="20"/>
                <w:szCs w:val="20"/>
                <w:color w:val="auto"/>
              </w:rPr>
            </w:pPr>
            <w:r>
              <w:rPr>
                <w:rFonts w:ascii="Arial" w:cs="Arial" w:eastAsia="Arial" w:hAnsi="Arial"/>
                <w:sz w:val="16"/>
                <w:szCs w:val="16"/>
                <w:b w:val="1"/>
                <w:bCs w:val="1"/>
                <w:color w:val="FFFFFF"/>
              </w:rPr>
              <w:t>Level 3</w:t>
            </w:r>
          </w:p>
        </w:tc>
        <w:tc>
          <w:tcPr>
            <w:tcW w:w="0" w:type="dxa"/>
            <w:vAlign w:val="bottom"/>
          </w:tcPr>
          <w:p>
            <w:pPr>
              <w:spacing w:after="0"/>
              <w:rPr>
                <w:sz w:val="1"/>
                <w:szCs w:val="1"/>
                <w:color w:val="auto"/>
              </w:rPr>
            </w:pPr>
          </w:p>
        </w:tc>
      </w:tr>
      <w:tr>
        <w:trPr>
          <w:trHeight w:val="229"/>
        </w:trPr>
        <w:tc>
          <w:tcPr>
            <w:tcW w:w="2660" w:type="dxa"/>
            <w:vAlign w:val="bottom"/>
            <w:vMerge w:val="continue"/>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960" w:type="dxa"/>
            <w:vAlign w:val="bottom"/>
            <w:shd w:val="clear" w:color="auto" w:fill="008A5F"/>
          </w:tcPr>
          <w:p>
            <w:pPr>
              <w:jc w:val="right"/>
              <w:ind w:right="179"/>
              <w:spacing w:after="0"/>
              <w:rPr>
                <w:sz w:val="20"/>
                <w:szCs w:val="20"/>
                <w:color w:val="auto"/>
              </w:rPr>
            </w:pPr>
            <w:r>
              <w:rPr>
                <w:rFonts w:ascii="Arial" w:cs="Arial" w:eastAsia="Arial" w:hAnsi="Arial"/>
                <w:sz w:val="16"/>
                <w:szCs w:val="16"/>
                <w:b w:val="1"/>
                <w:bCs w:val="1"/>
                <w:color w:val="FFFFFF"/>
              </w:rPr>
              <w:t>Amount</w:t>
            </w:r>
          </w:p>
        </w:tc>
        <w:tc>
          <w:tcPr>
            <w:tcW w:w="180" w:type="dxa"/>
            <w:vAlign w:val="bottom"/>
            <w:shd w:val="clear" w:color="auto" w:fill="008A5F"/>
          </w:tcPr>
          <w:p>
            <w:pPr>
              <w:spacing w:after="0"/>
              <w:rPr>
                <w:sz w:val="19"/>
                <w:szCs w:val="19"/>
                <w:color w:val="auto"/>
              </w:rPr>
            </w:pPr>
          </w:p>
        </w:tc>
        <w:tc>
          <w:tcPr>
            <w:tcW w:w="980" w:type="dxa"/>
            <w:vAlign w:val="bottom"/>
            <w:vMerge w:val="continue"/>
            <w:shd w:val="clear" w:color="auto" w:fill="008A5F"/>
          </w:tcPr>
          <w:p>
            <w:pPr>
              <w:spacing w:after="0"/>
              <w:rPr>
                <w:sz w:val="19"/>
                <w:szCs w:val="19"/>
                <w:color w:val="auto"/>
              </w:rPr>
            </w:pPr>
          </w:p>
        </w:tc>
        <w:tc>
          <w:tcPr>
            <w:tcW w:w="1020" w:type="dxa"/>
            <w:vAlign w:val="bottom"/>
            <w:vMerge w:val="continue"/>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980" w:type="dxa"/>
            <w:vAlign w:val="bottom"/>
            <w:vMerge w:val="continue"/>
            <w:shd w:val="clear" w:color="auto" w:fill="008A5F"/>
          </w:tcPr>
          <w:p>
            <w:pPr>
              <w:spacing w:after="0"/>
              <w:rPr>
                <w:sz w:val="19"/>
                <w:szCs w:val="19"/>
                <w:color w:val="auto"/>
              </w:rPr>
            </w:pPr>
          </w:p>
        </w:tc>
        <w:tc>
          <w:tcPr>
            <w:tcW w:w="1040" w:type="dxa"/>
            <w:vAlign w:val="bottom"/>
            <w:shd w:val="clear" w:color="auto" w:fill="008A5F"/>
          </w:tcPr>
          <w:p>
            <w:pPr>
              <w:jc w:val="right"/>
              <w:ind w:right="219"/>
              <w:spacing w:after="0"/>
              <w:rPr>
                <w:sz w:val="20"/>
                <w:szCs w:val="20"/>
                <w:color w:val="auto"/>
              </w:rPr>
            </w:pPr>
            <w:r>
              <w:rPr>
                <w:rFonts w:ascii="Arial" w:cs="Arial" w:eastAsia="Arial" w:hAnsi="Arial"/>
                <w:sz w:val="16"/>
                <w:szCs w:val="16"/>
                <w:b w:val="1"/>
                <w:bCs w:val="1"/>
                <w:color w:val="FFFFFF"/>
              </w:rPr>
              <w:t>Amount</w:t>
            </w:r>
          </w:p>
        </w:tc>
        <w:tc>
          <w:tcPr>
            <w:tcW w:w="200" w:type="dxa"/>
            <w:vAlign w:val="bottom"/>
            <w:shd w:val="clear" w:color="auto" w:fill="008A5F"/>
          </w:tcPr>
          <w:p>
            <w:pPr>
              <w:spacing w:after="0"/>
              <w:rPr>
                <w:sz w:val="19"/>
                <w:szCs w:val="19"/>
                <w:color w:val="auto"/>
              </w:rPr>
            </w:pPr>
          </w:p>
        </w:tc>
        <w:tc>
          <w:tcPr>
            <w:tcW w:w="1000" w:type="dxa"/>
            <w:vAlign w:val="bottom"/>
            <w:vMerge w:val="continue"/>
            <w:shd w:val="clear" w:color="auto" w:fill="008A5F"/>
          </w:tcPr>
          <w:p>
            <w:pPr>
              <w:spacing w:after="0"/>
              <w:rPr>
                <w:sz w:val="19"/>
                <w:szCs w:val="19"/>
                <w:color w:val="auto"/>
              </w:rPr>
            </w:pPr>
          </w:p>
        </w:tc>
        <w:tc>
          <w:tcPr>
            <w:tcW w:w="980" w:type="dxa"/>
            <w:vAlign w:val="bottom"/>
            <w:vMerge w:val="continue"/>
            <w:shd w:val="clear" w:color="auto" w:fill="008A5F"/>
          </w:tcPr>
          <w:p>
            <w:pPr>
              <w:spacing w:after="0"/>
              <w:rPr>
                <w:sz w:val="19"/>
                <w:szCs w:val="19"/>
                <w:color w:val="auto"/>
              </w:rPr>
            </w:pPr>
          </w:p>
        </w:tc>
        <w:tc>
          <w:tcPr>
            <w:tcW w:w="200" w:type="dxa"/>
            <w:vAlign w:val="bottom"/>
            <w:shd w:val="clear" w:color="auto" w:fill="008A5F"/>
          </w:tcPr>
          <w:p>
            <w:pPr>
              <w:spacing w:after="0"/>
              <w:rPr>
                <w:sz w:val="19"/>
                <w:szCs w:val="19"/>
                <w:color w:val="auto"/>
              </w:rPr>
            </w:pPr>
          </w:p>
        </w:tc>
        <w:tc>
          <w:tcPr>
            <w:tcW w:w="860" w:type="dxa"/>
            <w:vAlign w:val="bottom"/>
            <w:vMerge w:val="continue"/>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66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96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980" w:type="dxa"/>
            <w:vAlign w:val="bottom"/>
            <w:shd w:val="clear" w:color="auto" w:fill="008A5F"/>
          </w:tcPr>
          <w:p>
            <w:pPr>
              <w:spacing w:after="0"/>
              <w:rPr>
                <w:sz w:val="7"/>
                <w:szCs w:val="7"/>
                <w:color w:val="auto"/>
              </w:rPr>
            </w:pPr>
          </w:p>
        </w:tc>
        <w:tc>
          <w:tcPr>
            <w:tcW w:w="1020" w:type="dxa"/>
            <w:vAlign w:val="bottom"/>
            <w:shd w:val="clear" w:color="auto" w:fill="008A5F"/>
          </w:tcPr>
          <w:p>
            <w:pPr>
              <w:spacing w:after="0"/>
              <w:rPr>
                <w:sz w:val="7"/>
                <w:szCs w:val="7"/>
                <w:color w:val="auto"/>
              </w:rPr>
            </w:pPr>
          </w:p>
        </w:tc>
        <w:tc>
          <w:tcPr>
            <w:tcW w:w="160" w:type="dxa"/>
            <w:vAlign w:val="bottom"/>
            <w:shd w:val="clear" w:color="auto" w:fill="008A5F"/>
          </w:tcPr>
          <w:p>
            <w:pPr>
              <w:spacing w:after="0"/>
              <w:rPr>
                <w:sz w:val="7"/>
                <w:szCs w:val="7"/>
                <w:color w:val="auto"/>
              </w:rPr>
            </w:pPr>
          </w:p>
        </w:tc>
        <w:tc>
          <w:tcPr>
            <w:tcW w:w="980" w:type="dxa"/>
            <w:vAlign w:val="bottom"/>
            <w:shd w:val="clear" w:color="auto" w:fill="008A5F"/>
          </w:tcPr>
          <w:p>
            <w:pPr>
              <w:spacing w:after="0"/>
              <w:rPr>
                <w:sz w:val="7"/>
                <w:szCs w:val="7"/>
                <w:color w:val="auto"/>
              </w:rPr>
            </w:pPr>
          </w:p>
        </w:tc>
        <w:tc>
          <w:tcPr>
            <w:tcW w:w="1040" w:type="dxa"/>
            <w:vAlign w:val="bottom"/>
            <w:shd w:val="clear" w:color="auto" w:fill="008A5F"/>
          </w:tcPr>
          <w:p>
            <w:pPr>
              <w:spacing w:after="0"/>
              <w:rPr>
                <w:sz w:val="7"/>
                <w:szCs w:val="7"/>
                <w:color w:val="auto"/>
              </w:rPr>
            </w:pPr>
          </w:p>
        </w:tc>
        <w:tc>
          <w:tcPr>
            <w:tcW w:w="200" w:type="dxa"/>
            <w:vAlign w:val="bottom"/>
            <w:shd w:val="clear" w:color="auto" w:fill="008A5F"/>
          </w:tcPr>
          <w:p>
            <w:pPr>
              <w:spacing w:after="0"/>
              <w:rPr>
                <w:sz w:val="7"/>
                <w:szCs w:val="7"/>
                <w:color w:val="auto"/>
              </w:rPr>
            </w:pPr>
          </w:p>
        </w:tc>
        <w:tc>
          <w:tcPr>
            <w:tcW w:w="1000" w:type="dxa"/>
            <w:vAlign w:val="bottom"/>
            <w:shd w:val="clear" w:color="auto" w:fill="008A5F"/>
          </w:tcPr>
          <w:p>
            <w:pPr>
              <w:spacing w:after="0"/>
              <w:rPr>
                <w:sz w:val="7"/>
                <w:szCs w:val="7"/>
                <w:color w:val="auto"/>
              </w:rPr>
            </w:pPr>
          </w:p>
        </w:tc>
        <w:tc>
          <w:tcPr>
            <w:tcW w:w="980" w:type="dxa"/>
            <w:vAlign w:val="bottom"/>
            <w:shd w:val="clear" w:color="auto" w:fill="008A5F"/>
          </w:tcPr>
          <w:p>
            <w:pPr>
              <w:spacing w:after="0"/>
              <w:rPr>
                <w:sz w:val="7"/>
                <w:szCs w:val="7"/>
                <w:color w:val="auto"/>
              </w:rPr>
            </w:pPr>
          </w:p>
        </w:tc>
        <w:tc>
          <w:tcPr>
            <w:tcW w:w="200" w:type="dxa"/>
            <w:vAlign w:val="bottom"/>
            <w:shd w:val="clear" w:color="auto" w:fill="008A5F"/>
          </w:tcPr>
          <w:p>
            <w:pPr>
              <w:spacing w:after="0"/>
              <w:rPr>
                <w:sz w:val="7"/>
                <w:szCs w:val="7"/>
                <w:color w:val="auto"/>
              </w:rPr>
            </w:pPr>
          </w:p>
        </w:tc>
        <w:tc>
          <w:tcPr>
            <w:tcW w:w="86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60" w:type="dxa"/>
            <w:vAlign w:val="bottom"/>
            <w:shd w:val="clear" w:color="auto" w:fill="E7E7E8"/>
          </w:tcPr>
          <w:p>
            <w:pPr>
              <w:ind w:left="20"/>
              <w:spacing w:after="0" w:line="162" w:lineRule="exact"/>
              <w:rPr>
                <w:sz w:val="20"/>
                <w:szCs w:val="20"/>
                <w:color w:val="auto"/>
              </w:rPr>
            </w:pPr>
            <w:r>
              <w:rPr>
                <w:rFonts w:ascii="Arial" w:cs="Arial" w:eastAsia="Arial" w:hAnsi="Arial"/>
                <w:sz w:val="16"/>
                <w:szCs w:val="16"/>
                <w:i w:val="1"/>
                <w:iCs w:val="1"/>
                <w:color w:val="auto"/>
              </w:rPr>
              <w:t>Financial liabilities not measured at</w:t>
            </w:r>
          </w:p>
        </w:tc>
        <w:tc>
          <w:tcPr>
            <w:tcW w:w="18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0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04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86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i w:val="1"/>
                <w:iCs w:val="1"/>
                <w:color w:val="auto"/>
              </w:rPr>
              <w:t>fair value</w:t>
            </w:r>
          </w:p>
        </w:tc>
        <w:tc>
          <w:tcPr>
            <w:tcW w:w="180" w:type="dxa"/>
            <w:vAlign w:val="bottom"/>
            <w:shd w:val="clear" w:color="auto" w:fill="E7E7E8"/>
          </w:tcPr>
          <w:p>
            <w:pPr>
              <w:spacing w:after="0"/>
              <w:rPr>
                <w:sz w:val="18"/>
                <w:szCs w:val="18"/>
                <w:color w:val="auto"/>
              </w:rPr>
            </w:pPr>
          </w:p>
        </w:tc>
        <w:tc>
          <w:tcPr>
            <w:tcW w:w="96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1020" w:type="dxa"/>
            <w:vAlign w:val="bottom"/>
            <w:shd w:val="clear" w:color="auto" w:fill="E7E7E8"/>
          </w:tcPr>
          <w:p>
            <w:pPr>
              <w:spacing w:after="0"/>
              <w:rPr>
                <w:sz w:val="18"/>
                <w:szCs w:val="18"/>
                <w:color w:val="auto"/>
              </w:rPr>
            </w:pPr>
          </w:p>
        </w:tc>
        <w:tc>
          <w:tcPr>
            <w:tcW w:w="16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104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1000" w:type="dxa"/>
            <w:vAlign w:val="bottom"/>
            <w:shd w:val="clear" w:color="auto" w:fill="E7E7E8"/>
          </w:tcPr>
          <w:p>
            <w:pPr>
              <w:spacing w:after="0"/>
              <w:rPr>
                <w:sz w:val="18"/>
                <w:szCs w:val="18"/>
                <w:color w:val="auto"/>
              </w:rPr>
            </w:pPr>
          </w:p>
        </w:tc>
        <w:tc>
          <w:tcPr>
            <w:tcW w:w="980" w:type="dxa"/>
            <w:vAlign w:val="bottom"/>
            <w:shd w:val="clear" w:color="auto" w:fill="E7E7E8"/>
          </w:tcPr>
          <w:p>
            <w:pPr>
              <w:spacing w:after="0"/>
              <w:rPr>
                <w:sz w:val="18"/>
                <w:szCs w:val="18"/>
                <w:color w:val="auto"/>
              </w:rPr>
            </w:pPr>
          </w:p>
        </w:tc>
        <w:tc>
          <w:tcPr>
            <w:tcW w:w="200" w:type="dxa"/>
            <w:vAlign w:val="bottom"/>
            <w:shd w:val="clear" w:color="auto" w:fill="E7E7E8"/>
          </w:tcPr>
          <w:p>
            <w:pPr>
              <w:spacing w:after="0"/>
              <w:rPr>
                <w:sz w:val="18"/>
                <w:szCs w:val="18"/>
                <w:color w:val="auto"/>
              </w:rPr>
            </w:pPr>
          </w:p>
        </w:tc>
        <w:tc>
          <w:tcPr>
            <w:tcW w:w="86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66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8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00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6"/>
                <w:szCs w:val="16"/>
                <w:color w:val="auto"/>
              </w:rPr>
              <w:t>US ABL Facility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887,245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640"/>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910,500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 $</w:t>
            </w:r>
          </w:p>
        </w:tc>
        <w:tc>
          <w:tcPr>
            <w:tcW w:w="1040" w:type="dxa"/>
            <w:vAlign w:val="bottom"/>
          </w:tcPr>
          <w:p>
            <w:pPr>
              <w:jc w:val="right"/>
              <w:spacing w:after="0"/>
              <w:rPr>
                <w:sz w:val="20"/>
                <w:szCs w:val="20"/>
                <w:color w:val="auto"/>
              </w:rPr>
            </w:pPr>
            <w:r>
              <w:rPr>
                <w:rFonts w:ascii="Arial" w:cs="Arial" w:eastAsia="Arial" w:hAnsi="Arial"/>
                <w:sz w:val="16"/>
                <w:szCs w:val="16"/>
                <w:color w:val="auto"/>
              </w:rPr>
              <w:t>853,409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ind w:left="62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878,500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Canadian ABL Facility</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918</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660" w:type="dxa"/>
            <w:vAlign w:val="bottom"/>
          </w:tcPr>
          <w:p>
            <w:pPr>
              <w:ind w:left="20"/>
              <w:spacing w:after="0"/>
              <w:rPr>
                <w:sz w:val="20"/>
                <w:szCs w:val="20"/>
                <w:color w:val="auto"/>
              </w:rPr>
            </w:pPr>
            <w:r>
              <w:rPr>
                <w:rFonts w:ascii="Arial" w:cs="Arial" w:eastAsia="Arial" w:hAnsi="Arial"/>
                <w:sz w:val="16"/>
                <w:szCs w:val="16"/>
                <w:color w:val="auto"/>
              </w:rPr>
              <w:t>2022 Secured Notes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292,674</w:t>
            </w:r>
          </w:p>
        </w:tc>
        <w:tc>
          <w:tcPr>
            <w:tcW w:w="18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309,486</w:t>
            </w:r>
          </w:p>
        </w:tc>
        <w:tc>
          <w:tcPr>
            <w:tcW w:w="160" w:type="dxa"/>
            <w:vAlign w:val="bottom"/>
          </w:tcPr>
          <w:p>
            <w:pPr>
              <w:spacing w:after="0"/>
              <w:rPr>
                <w:sz w:val="20"/>
                <w:szCs w:val="20"/>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292,258</w:t>
            </w:r>
          </w:p>
        </w:tc>
        <w:tc>
          <w:tcPr>
            <w:tcW w:w="200" w:type="dxa"/>
            <w:vAlign w:val="bottom"/>
          </w:tcPr>
          <w:p>
            <w:pPr>
              <w:spacing w:after="0"/>
              <w:rPr>
                <w:sz w:val="20"/>
                <w:szCs w:val="20"/>
                <w:color w:val="auto"/>
              </w:rPr>
            </w:pPr>
          </w:p>
        </w:tc>
        <w:tc>
          <w:tcPr>
            <w:tcW w:w="1000" w:type="dxa"/>
            <w:vAlign w:val="bottom"/>
          </w:tcPr>
          <w:p>
            <w:pPr>
              <w:ind w:left="6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297,027</w:t>
            </w:r>
          </w:p>
        </w:tc>
        <w:tc>
          <w:tcPr>
            <w:tcW w:w="200" w:type="dxa"/>
            <w:vAlign w:val="bottom"/>
          </w:tcPr>
          <w:p>
            <w:pPr>
              <w:spacing w:after="0"/>
              <w:rPr>
                <w:sz w:val="20"/>
                <w:szCs w:val="20"/>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2023 Secured Notes</w:t>
            </w:r>
          </w:p>
        </w:tc>
        <w:tc>
          <w:tcPr>
            <w:tcW w:w="180" w:type="dxa"/>
            <w:vAlign w:val="bottom"/>
            <w:shd w:val="clear" w:color="auto" w:fill="E7E7E8"/>
          </w:tcPr>
          <w:p>
            <w:pPr>
              <w:spacing w:after="0"/>
              <w:rPr>
                <w:sz w:val="21"/>
                <w:szCs w:val="21"/>
                <w:color w:val="auto"/>
              </w:rPr>
            </w:pP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294,123</w:t>
            </w:r>
          </w:p>
        </w:tc>
        <w:tc>
          <w:tcPr>
            <w:tcW w:w="180" w:type="dxa"/>
            <w:vAlign w:val="bottom"/>
            <w:shd w:val="clear" w:color="auto" w:fill="E7E7E8"/>
          </w:tcPr>
          <w:p>
            <w:pPr>
              <w:spacing w:after="0"/>
              <w:rPr>
                <w:sz w:val="21"/>
                <w:szCs w:val="21"/>
                <w:color w:val="auto"/>
              </w:rPr>
            </w:pPr>
          </w:p>
        </w:tc>
        <w:tc>
          <w:tcPr>
            <w:tcW w:w="980" w:type="dxa"/>
            <w:vAlign w:val="bottom"/>
            <w:shd w:val="clear" w:color="auto" w:fill="E7E7E8"/>
          </w:tcPr>
          <w:p>
            <w:pPr>
              <w:ind w:left="6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300,420</w:t>
            </w:r>
          </w:p>
        </w:tc>
        <w:tc>
          <w:tcPr>
            <w:tcW w:w="160" w:type="dxa"/>
            <w:vAlign w:val="bottom"/>
            <w:shd w:val="clear" w:color="auto" w:fill="E7E7E8"/>
          </w:tcPr>
          <w:p>
            <w:pPr>
              <w:spacing w:after="0"/>
              <w:rPr>
                <w:sz w:val="21"/>
                <w:szCs w:val="21"/>
                <w:color w:val="auto"/>
              </w:rPr>
            </w:pPr>
          </w:p>
        </w:tc>
        <w:tc>
          <w:tcPr>
            <w:tcW w:w="9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293,918</w:t>
            </w:r>
          </w:p>
        </w:tc>
        <w:tc>
          <w:tcPr>
            <w:tcW w:w="200" w:type="dxa"/>
            <w:vAlign w:val="bottom"/>
            <w:shd w:val="clear" w:color="auto" w:fill="E7E7E8"/>
          </w:tcPr>
          <w:p>
            <w:pPr>
              <w:spacing w:after="0"/>
              <w:rPr>
                <w:sz w:val="21"/>
                <w:szCs w:val="21"/>
                <w:color w:val="auto"/>
              </w:rPr>
            </w:pPr>
          </w:p>
        </w:tc>
        <w:tc>
          <w:tcPr>
            <w:tcW w:w="100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288,633</w:t>
            </w:r>
          </w:p>
        </w:tc>
        <w:tc>
          <w:tcPr>
            <w:tcW w:w="200" w:type="dxa"/>
            <w:vAlign w:val="bottom"/>
            <w:shd w:val="clear" w:color="auto" w:fill="E7E7E8"/>
          </w:tcPr>
          <w:p>
            <w:pPr>
              <w:spacing w:after="0"/>
              <w:rPr>
                <w:sz w:val="21"/>
                <w:szCs w:val="21"/>
                <w:color w:val="auto"/>
              </w:rPr>
            </w:pPr>
          </w:p>
        </w:tc>
        <w:tc>
          <w:tcPr>
            <w:tcW w:w="860" w:type="dxa"/>
            <w:vAlign w:val="bottom"/>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Unsecured Notes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198,969</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198,710</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198,931</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197,462</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266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1,673,011</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6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1,719,116</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7E7E8"/>
          </w:tcPr>
          <w:p>
            <w:pPr>
              <w:ind w:left="54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1,638,516</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 $</w:t>
            </w:r>
          </w:p>
        </w:tc>
        <w:tc>
          <w:tcPr>
            <w:tcW w:w="9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1,662,540</w:t>
            </w:r>
          </w:p>
        </w:tc>
        <w:tc>
          <w:tcPr>
            <w:tcW w:w="2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tcBorders>
              <w:top w:val="single" w:sz="8" w:color="E7E7E8"/>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60" w:type="dxa"/>
            <w:vAlign w:val="bottom"/>
            <w:tcBorders>
              <w:top w:val="single" w:sz="8" w:color="E7E7E8"/>
              <w:bottom w:val="single" w:sz="8" w:color="auto"/>
            </w:tcBorders>
          </w:tcPr>
          <w:p>
            <w:pPr>
              <w:spacing w:after="0" w:line="20" w:lineRule="exact"/>
              <w:rPr>
                <w:sz w:val="1"/>
                <w:szCs w:val="1"/>
                <w:color w:val="auto"/>
              </w:rPr>
            </w:pPr>
          </w:p>
        </w:tc>
        <w:tc>
          <w:tcPr>
            <w:tcW w:w="18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20" w:type="dxa"/>
            <w:vAlign w:val="bottom"/>
            <w:tcBorders>
              <w:top w:val="single" w:sz="8" w:color="E7E7E8"/>
              <w:bottom w:val="single" w:sz="8" w:color="auto"/>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104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c>
          <w:tcPr>
            <w:tcW w:w="980" w:type="dxa"/>
            <w:vAlign w:val="bottom"/>
            <w:tcBorders>
              <w:top w:val="single" w:sz="8" w:color="E7E7E8"/>
              <w:bottom w:val="single" w:sz="8" w:color="auto"/>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86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carrying value of the US ABL Facility, the Canadian ABL Facility, the 2022 Secured Notes, the 2023 Secured Notes and the Unsecured Notes includes $23.3 million, $0.0 million, $7.3 million, $5.9 million and $1.0 million, respectively, of unamortized debt issuance costs as of March 31, 2019, which are presented as a direct reduction of the corresponding liability. The carrying value of the US ABL Facility, the Canadian ABL Facility and the 2022 Secured Notes, the 2023 Secured Notes and the Unsecured Notes includes $25.1 million, $0.9 million, $7.7 million, $6.1 million and $1.1 million, respectively of unamortized debt issuance costs for the year ended December 31, 2018, which are presented as a direct reduction of the corresponding liability.</w:t>
      </w:r>
    </w:p>
    <w:p>
      <w:pPr>
        <w:spacing w:after="0" w:line="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There were no transfers of financial instruments between the three levels of the fair value hierarchy during the three months ended March 31, 2019 and 2018. The carrying value of the US and Canadian ABL Facility, excluding debt issuance costs, approximates fair value as the interest rates are variable and reflective of market rates. The fair value of the 2022 Secured Notes, the 2023 Secured Notes and the Unsecured Notes is based on their last trading price at the end of each period obtained from a third party. The location and the fair value of derivative assets and liabilities designated as hedges in the consolidated balance sheet are disclosed in Note 13.</w:t>
      </w:r>
    </w:p>
    <w:p>
      <w:pPr>
        <w:spacing w:after="0" w:line="304" w:lineRule="exact"/>
        <w:rPr>
          <w:sz w:val="20"/>
          <w:szCs w:val="20"/>
          <w:color w:val="auto"/>
        </w:rPr>
      </w:pPr>
    </w:p>
    <w:p>
      <w:pPr>
        <w:spacing w:after="0"/>
        <w:rPr>
          <w:sz w:val="20"/>
          <w:szCs w:val="20"/>
          <w:color w:val="auto"/>
        </w:rPr>
      </w:pPr>
      <w:r>
        <w:rPr>
          <w:rFonts w:ascii="Arial" w:cs="Arial" w:eastAsia="Arial" w:hAnsi="Arial"/>
          <w:sz w:val="23"/>
          <w:szCs w:val="23"/>
          <w:color w:val="008A5F"/>
        </w:rPr>
        <w:t>NOTE 11 - Restructuring</w:t>
      </w:r>
    </w:p>
    <w:p>
      <w:pPr>
        <w:spacing w:after="0" w:line="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Restructuring costs include charges associated with exit or disposal activities that meet the definition of restructuring under FASB ASC Topic 420, “Exit or Disposal Cost Obligations” (“ASC 420”). Our restructuring plans are generally country or region specific and are typically completed within a one year period. Restructuring costs incurred under these plans include (i) one-time termination benefits related to employee separations, (ii) contract termination costs, and (iii) other related costs associated with exit or disposal activities including, but not limited to, costs for consolidating or closing facilities. Costs related to the integration of acquired businesses that do not meet the definition of restructuring under ASC 420, such as employee training costs, duplicate facility costs, and professional services expenses, are included within SG&amp;A.</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incurred costs associated with restructuring plans designed to streamline operations and reduce costs of $6.0 million and $0.6 million net of reversals, during the three months ended March 31, 2019 and 2018, respectively. The following is a summary of the activity in the Company’s restructuring accruals for three months ended March 31, 2019 and 2018:</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180" w:type="dxa"/>
            <w:vAlign w:val="bottom"/>
            <w:shd w:val="clear" w:color="auto" w:fill="008A5F"/>
          </w:tcPr>
          <w:p>
            <w:pPr>
              <w:spacing w:after="0"/>
              <w:rPr>
                <w:sz w:val="21"/>
                <w:szCs w:val="21"/>
                <w:color w:val="auto"/>
              </w:rPr>
            </w:pPr>
          </w:p>
        </w:tc>
        <w:tc>
          <w:tcPr>
            <w:tcW w:w="180" w:type="dxa"/>
            <w:vAlign w:val="bottom"/>
            <w:shd w:val="clear" w:color="auto" w:fill="008A5F"/>
          </w:tcPr>
          <w:p>
            <w:pPr>
              <w:spacing w:after="0"/>
              <w:rPr>
                <w:sz w:val="21"/>
                <w:szCs w:val="21"/>
                <w:color w:val="auto"/>
              </w:rPr>
            </w:pPr>
          </w:p>
        </w:tc>
        <w:tc>
          <w:tcPr>
            <w:tcW w:w="11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40" w:type="dxa"/>
            <w:vAlign w:val="bottom"/>
            <w:shd w:val="clear" w:color="auto" w:fill="008A5F"/>
          </w:tcPr>
          <w:p>
            <w:pPr>
              <w:spacing w:after="0"/>
              <w:rPr>
                <w:sz w:val="21"/>
                <w:szCs w:val="21"/>
                <w:color w:val="auto"/>
              </w:rPr>
            </w:pPr>
          </w:p>
        </w:tc>
        <w:tc>
          <w:tcPr>
            <w:tcW w:w="114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660" w:type="dxa"/>
            <w:vAlign w:val="bottom"/>
            <w:gridSpan w:val="5"/>
            <w:shd w:val="clear" w:color="auto" w:fill="008A5F"/>
          </w:tcPr>
          <w:p>
            <w:pPr>
              <w:ind w:left="20"/>
              <w:spacing w:after="0"/>
              <w:rPr>
                <w:sz w:val="20"/>
                <w:szCs w:val="20"/>
                <w:color w:val="auto"/>
              </w:rPr>
            </w:pPr>
            <w:r>
              <w:rPr>
                <w:rFonts w:ascii="Arial" w:cs="Arial" w:eastAsia="Arial" w:hAnsi="Arial"/>
                <w:sz w:val="16"/>
                <w:szCs w:val="16"/>
                <w:b w:val="1"/>
                <w:bCs w:val="1"/>
                <w:color w:val="FFFFFF"/>
              </w:rPr>
              <w:t>Three Months Ended March 31,</w:t>
            </w:r>
          </w:p>
        </w:tc>
        <w:tc>
          <w:tcPr>
            <w:tcW w:w="160" w:type="dxa"/>
            <w:vAlign w:val="bottom"/>
            <w:shd w:val="clear" w:color="auto" w:fill="008A5F"/>
          </w:tcPr>
          <w:p>
            <w:pPr>
              <w:spacing w:after="0"/>
              <w:rPr>
                <w:sz w:val="21"/>
                <w:szCs w:val="21"/>
                <w:color w:val="auto"/>
              </w:rPr>
            </w:pPr>
          </w:p>
        </w:tc>
        <w:tc>
          <w:tcPr>
            <w:tcW w:w="1120" w:type="dxa"/>
            <w:vAlign w:val="bottom"/>
            <w:shd w:val="clear" w:color="auto" w:fill="008A5F"/>
          </w:tcPr>
          <w:p>
            <w:pPr>
              <w:spacing w:after="0"/>
              <w:rPr>
                <w:sz w:val="21"/>
                <w:szCs w:val="21"/>
                <w:color w:val="auto"/>
              </w:rPr>
            </w:pPr>
          </w:p>
        </w:tc>
        <w:tc>
          <w:tcPr>
            <w:tcW w:w="100" w:type="dxa"/>
            <w:vAlign w:val="bottom"/>
            <w:shd w:val="clear" w:color="auto" w:fill="008A5F"/>
          </w:tcPr>
          <w:p>
            <w:pPr>
              <w:spacing w:after="0"/>
              <w:rPr>
                <w:sz w:val="21"/>
                <w:szCs w:val="21"/>
                <w:color w:val="auto"/>
              </w:rPr>
            </w:pPr>
          </w:p>
        </w:tc>
        <w:tc>
          <w:tcPr>
            <w:tcW w:w="280" w:type="dxa"/>
            <w:vAlign w:val="bottom"/>
            <w:shd w:val="clear" w:color="auto" w:fill="008A5F"/>
          </w:tcPr>
          <w:p>
            <w:pPr>
              <w:spacing w:after="0"/>
              <w:rPr>
                <w:sz w:val="21"/>
                <w:szCs w:val="21"/>
                <w:color w:val="auto"/>
              </w:rPr>
            </w:pPr>
          </w:p>
        </w:tc>
        <w:tc>
          <w:tcPr>
            <w:tcW w:w="100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9"/>
                <w:szCs w:val="19"/>
                <w:color w:val="auto"/>
              </w:rPr>
            </w:pPr>
          </w:p>
        </w:tc>
        <w:tc>
          <w:tcPr>
            <w:tcW w:w="110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140" w:type="dxa"/>
            <w:vAlign w:val="bottom"/>
            <w:vMerge w:val="restart"/>
            <w:shd w:val="clear" w:color="auto" w:fill="008A5F"/>
          </w:tcPr>
          <w:p>
            <w:pPr>
              <w:jc w:val="center"/>
              <w:ind w:right="9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1180" w:type="dxa"/>
            <w:vAlign w:val="bottom"/>
            <w:shd w:val="clear" w:color="auto" w:fill="008A5F"/>
          </w:tcPr>
          <w:p>
            <w:pPr>
              <w:spacing w:after="0"/>
              <w:rPr>
                <w:sz w:val="19"/>
                <w:szCs w:val="19"/>
                <w:color w:val="auto"/>
              </w:rPr>
            </w:pPr>
          </w:p>
        </w:tc>
        <w:tc>
          <w:tcPr>
            <w:tcW w:w="100" w:type="dxa"/>
            <w:vAlign w:val="bottom"/>
            <w:shd w:val="clear" w:color="auto" w:fill="008A5F"/>
          </w:tcPr>
          <w:p>
            <w:pPr>
              <w:spacing w:after="0"/>
              <w:rPr>
                <w:sz w:val="19"/>
                <w:szCs w:val="19"/>
                <w:color w:val="auto"/>
              </w:rPr>
            </w:pPr>
          </w:p>
        </w:tc>
        <w:tc>
          <w:tcPr>
            <w:tcW w:w="180" w:type="dxa"/>
            <w:vAlign w:val="bottom"/>
            <w:shd w:val="clear" w:color="auto" w:fill="008A5F"/>
          </w:tcPr>
          <w:p>
            <w:pPr>
              <w:spacing w:after="0"/>
              <w:rPr>
                <w:sz w:val="19"/>
                <w:szCs w:val="19"/>
                <w:color w:val="auto"/>
              </w:rPr>
            </w:pPr>
          </w:p>
        </w:tc>
        <w:tc>
          <w:tcPr>
            <w:tcW w:w="1120" w:type="dxa"/>
            <w:vAlign w:val="bottom"/>
            <w:shd w:val="clear" w:color="auto" w:fill="008A5F"/>
          </w:tcPr>
          <w:p>
            <w:pPr>
              <w:spacing w:after="0"/>
              <w:rPr>
                <w:sz w:val="19"/>
                <w:szCs w:val="19"/>
                <w:color w:val="auto"/>
              </w:rPr>
            </w:pPr>
          </w:p>
        </w:tc>
        <w:tc>
          <w:tcPr>
            <w:tcW w:w="80" w:type="dxa"/>
            <w:vAlign w:val="bottom"/>
            <w:shd w:val="clear" w:color="auto" w:fill="008A5F"/>
          </w:tcPr>
          <w:p>
            <w:pPr>
              <w:spacing w:after="0"/>
              <w:rPr>
                <w:sz w:val="19"/>
                <w:szCs w:val="19"/>
                <w:color w:val="auto"/>
              </w:rPr>
            </w:pPr>
          </w:p>
        </w:tc>
        <w:tc>
          <w:tcPr>
            <w:tcW w:w="160" w:type="dxa"/>
            <w:vAlign w:val="bottom"/>
            <w:shd w:val="clear" w:color="auto" w:fill="008A5F"/>
          </w:tcPr>
          <w:p>
            <w:pPr>
              <w:spacing w:after="0"/>
              <w:rPr>
                <w:sz w:val="19"/>
                <w:szCs w:val="19"/>
                <w:color w:val="auto"/>
              </w:rPr>
            </w:pPr>
          </w:p>
        </w:tc>
        <w:tc>
          <w:tcPr>
            <w:tcW w:w="1120" w:type="dxa"/>
            <w:vAlign w:val="bottom"/>
            <w:vMerge w:val="restart"/>
            <w:shd w:val="clear" w:color="auto" w:fill="008A5F"/>
          </w:tcPr>
          <w:p>
            <w:pPr>
              <w:ind w:left="280"/>
              <w:spacing w:after="0"/>
              <w:rPr>
                <w:sz w:val="20"/>
                <w:szCs w:val="20"/>
                <w:color w:val="auto"/>
              </w:rPr>
            </w:pPr>
            <w:r>
              <w:rPr>
                <w:rFonts w:ascii="Arial" w:cs="Arial" w:eastAsia="Arial" w:hAnsi="Arial"/>
                <w:sz w:val="16"/>
                <w:szCs w:val="16"/>
                <w:b w:val="1"/>
                <w:bCs w:val="1"/>
                <w:color w:val="FFFFFF"/>
              </w:rPr>
              <w:t>2018</w:t>
            </w:r>
          </w:p>
        </w:tc>
        <w:tc>
          <w:tcPr>
            <w:tcW w:w="100" w:type="dxa"/>
            <w:vAlign w:val="bottom"/>
            <w:shd w:val="clear" w:color="auto" w:fill="008A5F"/>
          </w:tcPr>
          <w:p>
            <w:pPr>
              <w:spacing w:after="0"/>
              <w:rPr>
                <w:sz w:val="19"/>
                <w:szCs w:val="19"/>
                <w:color w:val="auto"/>
              </w:rPr>
            </w:pPr>
          </w:p>
        </w:tc>
        <w:tc>
          <w:tcPr>
            <w:tcW w:w="280" w:type="dxa"/>
            <w:vAlign w:val="bottom"/>
            <w:shd w:val="clear" w:color="auto" w:fill="008A5F"/>
          </w:tcPr>
          <w:p>
            <w:pPr>
              <w:spacing w:after="0"/>
              <w:rPr>
                <w:sz w:val="19"/>
                <w:szCs w:val="19"/>
                <w:color w:val="auto"/>
              </w:rPr>
            </w:pPr>
          </w:p>
        </w:tc>
        <w:tc>
          <w:tcPr>
            <w:tcW w:w="1000" w:type="dxa"/>
            <w:vAlign w:val="bottom"/>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318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110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14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180" w:type="dxa"/>
            <w:vAlign w:val="bottom"/>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180" w:type="dxa"/>
            <w:vAlign w:val="bottom"/>
            <w:shd w:val="clear" w:color="auto" w:fill="008A5F"/>
          </w:tcPr>
          <w:p>
            <w:pPr>
              <w:spacing w:after="0"/>
              <w:rPr>
                <w:sz w:val="7"/>
                <w:szCs w:val="7"/>
                <w:color w:val="auto"/>
              </w:rPr>
            </w:pPr>
          </w:p>
        </w:tc>
        <w:tc>
          <w:tcPr>
            <w:tcW w:w="1120" w:type="dxa"/>
            <w:vAlign w:val="bottom"/>
            <w:shd w:val="clear" w:color="auto" w:fill="008A5F"/>
          </w:tcPr>
          <w:p>
            <w:pPr>
              <w:spacing w:after="0"/>
              <w:rPr>
                <w:sz w:val="7"/>
                <w:szCs w:val="7"/>
                <w:color w:val="auto"/>
              </w:rPr>
            </w:pPr>
          </w:p>
        </w:tc>
        <w:tc>
          <w:tcPr>
            <w:tcW w:w="80" w:type="dxa"/>
            <w:vAlign w:val="bottom"/>
            <w:shd w:val="clear" w:color="auto" w:fill="008A5F"/>
          </w:tcPr>
          <w:p>
            <w:pPr>
              <w:spacing w:after="0"/>
              <w:rPr>
                <w:sz w:val="7"/>
                <w:szCs w:val="7"/>
                <w:color w:val="auto"/>
              </w:rPr>
            </w:pPr>
          </w:p>
        </w:tc>
        <w:tc>
          <w:tcPr>
            <w:tcW w:w="160" w:type="dxa"/>
            <w:vAlign w:val="bottom"/>
            <w:shd w:val="clear" w:color="auto" w:fill="008A5F"/>
          </w:tcPr>
          <w:p>
            <w:pPr>
              <w:spacing w:after="0"/>
              <w:rPr>
                <w:sz w:val="7"/>
                <w:szCs w:val="7"/>
                <w:color w:val="auto"/>
              </w:rPr>
            </w:pPr>
          </w:p>
        </w:tc>
        <w:tc>
          <w:tcPr>
            <w:tcW w:w="112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280" w:type="dxa"/>
            <w:vAlign w:val="bottom"/>
            <w:shd w:val="clear" w:color="auto" w:fill="008A5F"/>
          </w:tcPr>
          <w:p>
            <w:pPr>
              <w:spacing w:after="0"/>
              <w:rPr>
                <w:sz w:val="7"/>
                <w:szCs w:val="7"/>
                <w:color w:val="auto"/>
              </w:rPr>
            </w:pPr>
          </w:p>
        </w:tc>
        <w:tc>
          <w:tcPr>
            <w:tcW w:w="100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40" w:type="dxa"/>
            <w:vAlign w:val="bottom"/>
            <w:shd w:val="clear" w:color="auto" w:fill="008A5F"/>
          </w:tcPr>
          <w:p>
            <w:pPr>
              <w:spacing w:after="0"/>
              <w:rPr>
                <w:sz w:val="17"/>
                <w:szCs w:val="17"/>
                <w:color w:val="auto"/>
              </w:rPr>
            </w:pPr>
          </w:p>
        </w:tc>
        <w:tc>
          <w:tcPr>
            <w:tcW w:w="1240" w:type="dxa"/>
            <w:vAlign w:val="bottom"/>
            <w:gridSpan w:val="2"/>
            <w:shd w:val="clear" w:color="auto" w:fill="008A5F"/>
          </w:tcPr>
          <w:p>
            <w:pPr>
              <w:jc w:val="center"/>
              <w:ind w:right="220"/>
              <w:spacing w:after="0"/>
              <w:rPr>
                <w:sz w:val="20"/>
                <w:szCs w:val="20"/>
                <w:color w:val="auto"/>
              </w:rPr>
            </w:pPr>
            <w:r>
              <w:rPr>
                <w:rFonts w:ascii="Arial" w:cs="Arial" w:eastAsia="Arial" w:hAnsi="Arial"/>
                <w:sz w:val="16"/>
                <w:szCs w:val="16"/>
                <w:b w:val="1"/>
                <w:bCs w:val="1"/>
                <w:color w:val="FFFFFF"/>
              </w:rPr>
              <w:t>Facility Exit</w:t>
            </w:r>
          </w:p>
        </w:tc>
        <w:tc>
          <w:tcPr>
            <w:tcW w:w="100" w:type="dxa"/>
            <w:vAlign w:val="bottom"/>
            <w:shd w:val="clear" w:color="auto" w:fill="008A5F"/>
          </w:tcPr>
          <w:p>
            <w:pPr>
              <w:spacing w:after="0"/>
              <w:rPr>
                <w:sz w:val="17"/>
                <w:szCs w:val="17"/>
                <w:color w:val="auto"/>
              </w:rPr>
            </w:pPr>
          </w:p>
        </w:tc>
        <w:tc>
          <w:tcPr>
            <w:tcW w:w="1180" w:type="dxa"/>
            <w:vAlign w:val="bottom"/>
            <w:shd w:val="clear" w:color="auto" w:fill="008A5F"/>
          </w:tcPr>
          <w:p>
            <w:pPr>
              <w:spacing w:after="0"/>
              <w:rPr>
                <w:sz w:val="17"/>
                <w:szCs w:val="17"/>
                <w:color w:val="auto"/>
              </w:rPr>
            </w:pPr>
          </w:p>
        </w:tc>
        <w:tc>
          <w:tcPr>
            <w:tcW w:w="100" w:type="dxa"/>
            <w:vAlign w:val="bottom"/>
            <w:shd w:val="clear" w:color="auto" w:fill="008A5F"/>
          </w:tcPr>
          <w:p>
            <w:pPr>
              <w:spacing w:after="0"/>
              <w:rPr>
                <w:sz w:val="17"/>
                <w:szCs w:val="17"/>
                <w:color w:val="auto"/>
              </w:rPr>
            </w:pPr>
          </w:p>
        </w:tc>
        <w:tc>
          <w:tcPr>
            <w:tcW w:w="180" w:type="dxa"/>
            <w:vAlign w:val="bottom"/>
            <w:shd w:val="clear" w:color="auto" w:fill="008A5F"/>
          </w:tcPr>
          <w:p>
            <w:pPr>
              <w:spacing w:after="0"/>
              <w:rPr>
                <w:sz w:val="17"/>
                <w:szCs w:val="17"/>
                <w:color w:val="auto"/>
              </w:rPr>
            </w:pPr>
          </w:p>
        </w:tc>
        <w:tc>
          <w:tcPr>
            <w:tcW w:w="120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rPr>
              <w:t>Employee</w:t>
            </w:r>
          </w:p>
        </w:tc>
        <w:tc>
          <w:tcPr>
            <w:tcW w:w="160" w:type="dxa"/>
            <w:vAlign w:val="bottom"/>
            <w:shd w:val="clear" w:color="auto" w:fill="008A5F"/>
          </w:tcPr>
          <w:p>
            <w:pPr>
              <w:spacing w:after="0"/>
              <w:rPr>
                <w:sz w:val="17"/>
                <w:szCs w:val="17"/>
                <w:color w:val="auto"/>
              </w:rPr>
            </w:pPr>
          </w:p>
        </w:tc>
        <w:tc>
          <w:tcPr>
            <w:tcW w:w="122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Facility Exit</w:t>
            </w:r>
          </w:p>
        </w:tc>
        <w:tc>
          <w:tcPr>
            <w:tcW w:w="280" w:type="dxa"/>
            <w:vAlign w:val="bottom"/>
            <w:shd w:val="clear" w:color="auto" w:fill="008A5F"/>
          </w:tcPr>
          <w:p>
            <w:pPr>
              <w:spacing w:after="0"/>
              <w:rPr>
                <w:sz w:val="17"/>
                <w:szCs w:val="17"/>
                <w:color w:val="auto"/>
              </w:rPr>
            </w:pPr>
          </w:p>
        </w:tc>
        <w:tc>
          <w:tcPr>
            <w:tcW w:w="1000" w:type="dxa"/>
            <w:vAlign w:val="bottom"/>
            <w:shd w:val="clear" w:color="auto" w:fill="008A5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008A5F"/>
          </w:tcPr>
          <w:p>
            <w:pPr>
              <w:spacing w:after="0"/>
              <w:rPr>
                <w:sz w:val="20"/>
                <w:szCs w:val="20"/>
                <w:color w:val="auto"/>
              </w:rPr>
            </w:pP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w w:val="98"/>
              </w:rPr>
              <w:t>Costs</w:t>
            </w:r>
          </w:p>
        </w:tc>
        <w:tc>
          <w:tcPr>
            <w:tcW w:w="140" w:type="dxa"/>
            <w:vAlign w:val="bottom"/>
            <w:shd w:val="clear" w:color="auto" w:fill="008A5F"/>
          </w:tcPr>
          <w:p>
            <w:pPr>
              <w:spacing w:after="0"/>
              <w:rPr>
                <w:sz w:val="20"/>
                <w:szCs w:val="20"/>
                <w:color w:val="auto"/>
              </w:rPr>
            </w:pPr>
          </w:p>
        </w:tc>
        <w:tc>
          <w:tcPr>
            <w:tcW w:w="1240" w:type="dxa"/>
            <w:vAlign w:val="bottom"/>
            <w:gridSpan w:val="2"/>
            <w:shd w:val="clear" w:color="auto" w:fill="008A5F"/>
          </w:tcPr>
          <w:p>
            <w:pPr>
              <w:jc w:val="center"/>
              <w:ind w:right="280"/>
              <w:spacing w:after="0"/>
              <w:rPr>
                <w:sz w:val="20"/>
                <w:szCs w:val="20"/>
                <w:color w:val="auto"/>
              </w:rPr>
            </w:pPr>
            <w:r>
              <w:rPr>
                <w:rFonts w:ascii="Arial" w:cs="Arial" w:eastAsia="Arial" w:hAnsi="Arial"/>
                <w:sz w:val="16"/>
                <w:szCs w:val="16"/>
                <w:b w:val="1"/>
                <w:bCs w:val="1"/>
                <w:color w:val="FFFFFF"/>
                <w:w w:val="98"/>
              </w:rPr>
              <w:t>Costs</w:t>
            </w:r>
          </w:p>
        </w:tc>
        <w:tc>
          <w:tcPr>
            <w:tcW w:w="100" w:type="dxa"/>
            <w:vAlign w:val="bottom"/>
            <w:shd w:val="clear" w:color="auto" w:fill="008A5F"/>
          </w:tcPr>
          <w:p>
            <w:pPr>
              <w:spacing w:after="0"/>
              <w:rPr>
                <w:sz w:val="20"/>
                <w:szCs w:val="20"/>
                <w:color w:val="auto"/>
              </w:rPr>
            </w:pPr>
          </w:p>
        </w:tc>
        <w:tc>
          <w:tcPr>
            <w:tcW w:w="1280" w:type="dxa"/>
            <w:vAlign w:val="bottom"/>
            <w:gridSpan w:val="2"/>
            <w:shd w:val="clear" w:color="auto" w:fill="008A5F"/>
          </w:tcPr>
          <w:p>
            <w:pPr>
              <w:ind w:left="320"/>
              <w:spacing w:after="0"/>
              <w:rPr>
                <w:sz w:val="20"/>
                <w:szCs w:val="20"/>
                <w:color w:val="auto"/>
              </w:rPr>
            </w:pPr>
            <w:r>
              <w:rPr>
                <w:rFonts w:ascii="Arial" w:cs="Arial" w:eastAsia="Arial" w:hAnsi="Arial"/>
                <w:sz w:val="16"/>
                <w:szCs w:val="16"/>
                <w:b w:val="1"/>
                <w:bCs w:val="1"/>
                <w:color w:val="FFFFFF"/>
              </w:rPr>
              <w:t>Total</w:t>
            </w:r>
          </w:p>
        </w:tc>
        <w:tc>
          <w:tcPr>
            <w:tcW w:w="180" w:type="dxa"/>
            <w:vAlign w:val="bottom"/>
            <w:shd w:val="clear" w:color="auto" w:fill="008A5F"/>
          </w:tcPr>
          <w:p>
            <w:pPr>
              <w:spacing w:after="0"/>
              <w:rPr>
                <w:sz w:val="20"/>
                <w:szCs w:val="20"/>
                <w:color w:val="auto"/>
              </w:rPr>
            </w:pPr>
          </w:p>
        </w:tc>
        <w:tc>
          <w:tcPr>
            <w:tcW w:w="1200" w:type="dxa"/>
            <w:vAlign w:val="bottom"/>
            <w:gridSpan w:val="2"/>
            <w:shd w:val="clear" w:color="auto" w:fill="008A5F"/>
          </w:tcPr>
          <w:p>
            <w:pPr>
              <w:jc w:val="center"/>
              <w:ind w:right="320"/>
              <w:spacing w:after="0"/>
              <w:rPr>
                <w:sz w:val="20"/>
                <w:szCs w:val="20"/>
                <w:color w:val="auto"/>
              </w:rPr>
            </w:pPr>
            <w:r>
              <w:rPr>
                <w:rFonts w:ascii="Arial" w:cs="Arial" w:eastAsia="Arial" w:hAnsi="Arial"/>
                <w:sz w:val="16"/>
                <w:szCs w:val="16"/>
                <w:b w:val="1"/>
                <w:bCs w:val="1"/>
                <w:color w:val="FFFFFF"/>
                <w:w w:val="98"/>
              </w:rPr>
              <w:t>Costs</w:t>
            </w:r>
          </w:p>
        </w:tc>
        <w:tc>
          <w:tcPr>
            <w:tcW w:w="160" w:type="dxa"/>
            <w:vAlign w:val="bottom"/>
            <w:shd w:val="clear" w:color="auto" w:fill="008A5F"/>
          </w:tcPr>
          <w:p>
            <w:pPr>
              <w:spacing w:after="0"/>
              <w:rPr>
                <w:sz w:val="20"/>
                <w:szCs w:val="20"/>
                <w:color w:val="auto"/>
              </w:rPr>
            </w:pPr>
          </w:p>
        </w:tc>
        <w:tc>
          <w:tcPr>
            <w:tcW w:w="1220" w:type="dxa"/>
            <w:vAlign w:val="bottom"/>
            <w:gridSpan w:val="2"/>
            <w:shd w:val="clear" w:color="auto" w:fill="008A5F"/>
          </w:tcPr>
          <w:p>
            <w:pPr>
              <w:ind w:left="240"/>
              <w:spacing w:after="0"/>
              <w:rPr>
                <w:sz w:val="20"/>
                <w:szCs w:val="20"/>
                <w:color w:val="auto"/>
              </w:rPr>
            </w:pPr>
            <w:r>
              <w:rPr>
                <w:rFonts w:ascii="Arial" w:cs="Arial" w:eastAsia="Arial" w:hAnsi="Arial"/>
                <w:sz w:val="16"/>
                <w:szCs w:val="16"/>
                <w:b w:val="1"/>
                <w:bCs w:val="1"/>
                <w:color w:val="FFFFFF"/>
              </w:rPr>
              <w:t>Costs</w:t>
            </w:r>
          </w:p>
        </w:tc>
        <w:tc>
          <w:tcPr>
            <w:tcW w:w="280" w:type="dxa"/>
            <w:vAlign w:val="bottom"/>
            <w:shd w:val="clear" w:color="auto" w:fill="008A5F"/>
          </w:tcPr>
          <w:p>
            <w:pPr>
              <w:spacing w:after="0"/>
              <w:rPr>
                <w:sz w:val="20"/>
                <w:szCs w:val="20"/>
                <w:color w:val="auto"/>
              </w:rPr>
            </w:pPr>
          </w:p>
        </w:tc>
        <w:tc>
          <w:tcPr>
            <w:tcW w:w="1000" w:type="dxa"/>
            <w:vAlign w:val="bottom"/>
            <w:shd w:val="clear" w:color="auto" w:fill="008A5F"/>
          </w:tcPr>
          <w:p>
            <w:pPr>
              <w:jc w:val="right"/>
              <w:ind w:right="39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43"/>
        </w:trPr>
        <w:tc>
          <w:tcPr>
            <w:tcW w:w="3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Balance at beginning of the period</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4,544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5,515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E7E7E8"/>
          </w:tcPr>
          <w:p>
            <w:pPr>
              <w:spacing w:after="0"/>
              <w:rPr>
                <w:sz w:val="21"/>
                <w:szCs w:val="21"/>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5"/>
        </w:trPr>
        <w:tc>
          <w:tcPr>
            <w:tcW w:w="3180" w:type="dxa"/>
            <w:vAlign w:val="bottom"/>
          </w:tcPr>
          <w:p>
            <w:pPr>
              <w:ind w:left="22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51"/>
        </w:trPr>
        <w:tc>
          <w:tcPr>
            <w:tcW w:w="3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Cash payments</w:t>
            </w:r>
          </w:p>
        </w:tc>
        <w:tc>
          <w:tcPr>
            <w:tcW w:w="180" w:type="dxa"/>
            <w:vAlign w:val="bottom"/>
            <w:shd w:val="clear" w:color="auto" w:fill="E7E7E8"/>
          </w:tcPr>
          <w:p>
            <w:pPr>
              <w:spacing w:after="0"/>
              <w:rPr>
                <w:sz w:val="21"/>
                <w:szCs w:val="21"/>
                <w:color w:val="auto"/>
              </w:rPr>
            </w:pP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(3,228)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1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(1,144)</w:t>
            </w:r>
          </w:p>
        </w:tc>
        <w:tc>
          <w:tcPr>
            <w:tcW w:w="1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(4,372)</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E7E7E8"/>
          </w:tcPr>
          <w:p>
            <w:pPr>
              <w:spacing w:after="0"/>
              <w:rPr>
                <w:sz w:val="21"/>
                <w:szCs w:val="21"/>
                <w:color w:val="auto"/>
              </w:rPr>
            </w:pPr>
          </w:p>
        </w:tc>
        <w:tc>
          <w:tcPr>
            <w:tcW w:w="160" w:type="dxa"/>
            <w:vAlign w:val="bottom"/>
            <w:shd w:val="clear" w:color="auto" w:fill="E7E7E8"/>
          </w:tcPr>
          <w:p>
            <w:pPr>
              <w:spacing w:after="0"/>
              <w:rPr>
                <w:sz w:val="21"/>
                <w:szCs w:val="21"/>
                <w:color w:val="auto"/>
              </w:rPr>
            </w:pPr>
          </w:p>
        </w:tc>
        <w:tc>
          <w:tcPr>
            <w:tcW w:w="1220" w:type="dxa"/>
            <w:vAlign w:val="bottom"/>
            <w:gridSpan w:val="2"/>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280" w:type="dxa"/>
            <w:vAlign w:val="bottom"/>
            <w:shd w:val="clear" w:color="auto" w:fill="E7E7E8"/>
          </w:tcPr>
          <w:p>
            <w:pPr>
              <w:spacing w:after="0"/>
              <w:rPr>
                <w:sz w:val="21"/>
                <w:szCs w:val="21"/>
                <w:color w:val="auto"/>
              </w:rPr>
            </w:pP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5"/>
        </w:trPr>
        <w:tc>
          <w:tcPr>
            <w:tcW w:w="318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1"/>
        </w:trPr>
        <w:tc>
          <w:tcPr>
            <w:tcW w:w="31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Non-cash movements</w:t>
            </w:r>
          </w:p>
        </w:tc>
        <w:tc>
          <w:tcPr>
            <w:tcW w:w="180" w:type="dxa"/>
            <w:vAlign w:val="bottom"/>
            <w:tcBorders>
              <w:bottom w:val="single" w:sz="8" w:color="auto"/>
            </w:tcBorders>
            <w:shd w:val="clear" w:color="auto" w:fill="E7E7E8"/>
          </w:tcPr>
          <w:p>
            <w:pPr>
              <w:spacing w:after="0"/>
              <w:rPr>
                <w:sz w:val="21"/>
                <w:szCs w:val="21"/>
                <w:color w:val="auto"/>
              </w:rPr>
            </w:pPr>
          </w:p>
        </w:tc>
        <w:tc>
          <w:tcPr>
            <w:tcW w:w="11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E7E7E8"/>
          </w:tcPr>
          <w:p>
            <w:pPr>
              <w:spacing w:after="0"/>
              <w:rPr>
                <w:sz w:val="21"/>
                <w:szCs w:val="21"/>
                <w:color w:val="auto"/>
              </w:rPr>
            </w:pPr>
          </w:p>
        </w:tc>
        <w:tc>
          <w:tcPr>
            <w:tcW w:w="10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7E7E8"/>
          </w:tcPr>
          <w:p>
            <w:pPr>
              <w:spacing w:after="0"/>
              <w:rPr>
                <w:sz w:val="21"/>
                <w:szCs w:val="21"/>
                <w:color w:val="auto"/>
              </w:rPr>
            </w:pPr>
          </w:p>
        </w:tc>
        <w:tc>
          <w:tcPr>
            <w:tcW w:w="160" w:type="dxa"/>
            <w:vAlign w:val="bottom"/>
            <w:tcBorders>
              <w:bottom w:val="single" w:sz="8" w:color="auto"/>
            </w:tcBorders>
            <w:shd w:val="clear" w:color="auto" w:fill="E7E7E8"/>
          </w:tcPr>
          <w:p>
            <w:pPr>
              <w:spacing w:after="0"/>
              <w:rPr>
                <w:sz w:val="21"/>
                <w:szCs w:val="21"/>
                <w:color w:val="auto"/>
              </w:rPr>
            </w:pPr>
          </w:p>
        </w:tc>
        <w:tc>
          <w:tcPr>
            <w:tcW w:w="1120" w:type="dxa"/>
            <w:vAlign w:val="bottom"/>
            <w:tcBorders>
              <w:bottom w:val="single" w:sz="8" w:color="auto"/>
            </w:tcBorders>
            <w:shd w:val="clear" w:color="auto" w:fill="E7E7E8"/>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E7E7E8"/>
          </w:tcPr>
          <w:p>
            <w:pPr>
              <w:spacing w:after="0"/>
              <w:rPr>
                <w:sz w:val="21"/>
                <w:szCs w:val="21"/>
                <w:color w:val="auto"/>
              </w:rPr>
            </w:pPr>
          </w:p>
        </w:tc>
        <w:tc>
          <w:tcPr>
            <w:tcW w:w="280" w:type="dxa"/>
            <w:vAlign w:val="bottom"/>
            <w:tcBorders>
              <w:bottom w:val="single" w:sz="8" w:color="auto"/>
            </w:tcBorders>
            <w:shd w:val="clear" w:color="auto" w:fill="E7E7E8"/>
          </w:tcPr>
          <w:p>
            <w:pPr>
              <w:spacing w:after="0"/>
              <w:rPr>
                <w:sz w:val="21"/>
                <w:szCs w:val="21"/>
                <w:color w:val="auto"/>
              </w:rPr>
            </w:pP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4,252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restructuring charges for the three months ended March 31, 2019 relate primarily to employee termination costs and lease exit costs in connection with the integration of ModSpace. The Company initiated certain restructuring plans associated with the ModSpace acquisition in order to capture operating synergies as a result of integrating ModSpace into WillScot. The restructuring activities under this primarily include the termination of leases for duplicative branches and corporate facilities and the termination of employees in connection with the consolidation of these overlapping facilities and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094"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6"/>
          <w:szCs w:val="16"/>
          <w:color w:val="auto"/>
        </w:rPr>
        <w:t>functions within our existing business. The Company is still in the process of evaluating all acquired facilities. The Company anticipates that the remaining actions contemplated under the accruals of $2.8 million and $4.3 million for employee termination costs and facility exit costs, as of March 31, 2019, will be substantially completed by the end of the second quarter of 2019 and the end of the fourth quarter of 2023, respectively.</w:t>
      </w:r>
    </w:p>
    <w:p>
      <w:pPr>
        <w:spacing w:after="0" w:line="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restructuring charges for the three months ended March 31, 2018 primarily relate to employee termination costs in connection with the integration of Tyson and Acton Mobile ("Acton"), which we acquired in the fourth quarter of 2017. As part of the restructuring plan, certain employees were required to render future service in order to receive their termination benefits. The termination costs associated with these employees was recognized over the period from the date of communication of termination to the employee to the actual date of termination.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$6.0 million and $0.6 million of restructuring charges for the three months ended March 31, 2019 and 2018 includes: $5.3 million and $0.6 million of charges pertaining to the Modular - US segment; $0.7 million and $0.0 million of charges pertaining to the Modular - Other North America segment.</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008A5F"/>
        </w:rPr>
        <w:t>NOTE 12 - Stock-Based Compensation</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three months ended March 31, 2019, 478,400 time-based restricted stock units ("Time-Based RSUs") and 302,182 market-based restricted stock units ("Market-Based RSUs", and together with the Time-Based RSUs, the "RSUs") were granted under the WillScot Corporation 2017 Incentive Award Plan (the "Plan"). No restricted stock awards ("RSAs") or stock option awards were granted during the period.</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three months ended March 31, 2019, 27,675 RSAs, 213,180 Time-Based RSUs, and 147,313 stock options vested, resulting in the issuance of 184,212 shares of common stock, net of 56,643 shares withheld to cover taxes. No RSAs, Time-Based RSUs, Market-Based RSUs or stock options were forfeited during the three months ended March 31, 2019.</w:t>
      </w:r>
    </w:p>
    <w:p>
      <w:pPr>
        <w:spacing w:after="0" w:line="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At March 31, 2019, 44,378 RSAs, 1,117,953 Time-Based RSUs, 302,182 Market-Based RSUs, and 441,944 stock options were unvested, with weighted-average grant date fair values of $16.80, $12.78, $13.22, and $5.51,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RSAs recognized in SG&amp;A on the condensed consolidated statements of operations was $0.3 million and $0.0 million for the three months ended March 31, 2019 and 2018, respectively, with associated tax benefits of $ 0.1 million and $0.0 million for the three months ended March 31, 2019 and 2018, respectively. At March 31, 2019, there was $0.3 million of unrecognized compensation cost related to RSAs and is expected to be recognized over a remaining period of 0.4 years.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Restricted Stock Units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Time-Based RSUs recognized in SG&amp;A on the condensed consolidated statements of operations was $0.8 million and $0.1 million for the three months ended March 31, 2019 and 2018, respectively, with associated tax benefits of $0.2 million and $0.0 million for the three months ended March 31, 2019 and 2018, respectively. At March 31, 2019, unrecognized compensation cost related to Time-Based RSUs totaled $14.2 million and is expected to be recognized over a remaining period of 3.4 years.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Market-Based Restricted Stock Units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On March 21, 2019, the Compensation Committee of the Board of Directors granted 302,182 Market-Based RSUs which vest based on the achievement of the Company’s relative total stockholder return ("TSR") of its common stock as compared to the TSR of the constituents of the Russell 3000 Index at grant date over the three-year period performance period. The target number of Market-Based RSUs may be adjusted from 0% to 150% based on the TSR attainment levels defined by the Compensation Committee. The 100% target payout is tied to performance at the 50% percentile, with a payout curve ranging from zero (for performance less than the 25% percentile) to 150% (for performance at or above the 75% percentile). Vesting is also subject to continued service requirements through the vesting date. Each Market-Based RSU represents a contingent right to receive one share upon vesting of the Company’s Class A common stock, or its cash equivalent, as determined by the Compensation Committee.</w:t>
      </w:r>
    </w:p>
    <w:p>
      <w:pPr>
        <w:spacing w:after="0" w:line="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Market-Based RSUs were valued based on a Monte Carlo simulation model to reflect the impact of the Market-Based RSU market condition, resulting in a grant-date fair value per Market-Based RSU of $13.22. The probability of satisfying a market condition is considered in the estimation of the grant-date fair value for Market-Based RSUs and the compensation cost is not reversed if the market condition is not achieved, provided the requisite service has been provided.</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Market-Based RSUs recognized in SG&amp;A on the condensed consolidated statements of operations was $0.1 million and $0.0 million for the three months ended March 31, 2019 and 2018, respectively, with associated tax benefits of $0.0 million for the three months ended March 31, 2019 and 2018. At March 31, 2019, unrecognized compensation cost related to Market-Based RSUs totaled $3.9 million and is expected to be recognized over a remaining period of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9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Stock Option Awards</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Compensation expense for stock option awards, recognized in SG&amp;A on the condensed consolidated statements of operations, was $0.2 million and $0.0 million for the three months ended March 31, 2019 and 2018, respectively, with associated tax benefits of $0.0 million for the three months ended March 31, 2019 and 2018. At March 31, 2019, unrecognized compensation cost related to stock option awards totaled $2.4 million and is expected to be recognized over a remaining period of 3.0 years.</w:t>
      </w:r>
    </w:p>
    <w:p>
      <w:pPr>
        <w:spacing w:after="0" w:line="191" w:lineRule="exact"/>
        <w:rPr>
          <w:sz w:val="20"/>
          <w:szCs w:val="20"/>
          <w:color w:val="auto"/>
        </w:rPr>
      </w:pPr>
    </w:p>
    <w:p>
      <w:pPr>
        <w:spacing w:after="0"/>
        <w:rPr>
          <w:sz w:val="20"/>
          <w:szCs w:val="20"/>
          <w:color w:val="auto"/>
        </w:rPr>
      </w:pPr>
      <w:r>
        <w:rPr>
          <w:rFonts w:ascii="Arial" w:cs="Arial" w:eastAsia="Arial" w:hAnsi="Arial"/>
          <w:sz w:val="23"/>
          <w:szCs w:val="23"/>
          <w:color w:val="008A5F"/>
        </w:rPr>
        <w:t>NOTE 13 - Derivatives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November 6, 2018, WSII entered into an interest rate swap agreement (the “Swap Agreement”) with a financial counterparty that effectively converts $400.0 million in aggregate notional amount of variable-rate debt under the Company’s ABL Facility into fixed-rate debt. The Swap Agreement will terminate on May 29, 2022, at the same time the Company’s ABL Facility matures. The Swap Agreement contains customary representations, warranties and covenants and may be terminated prior to its expiration.</w:t>
      </w:r>
    </w:p>
    <w:p>
      <w:pPr>
        <w:spacing w:after="0" w:line="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Swap Agreement was designated and qualified as a hedge of the Company’s exposure to changes in interest payment cash flows created by fluctuations in variable interest rates on the ABL Facility. Although no significant ineffectiveness is expected with this hedging strategy, the effectiveness of the interest rate swaps is evaluated on a quarterly basis. The Company did not have any derivative financial instruments for the three months ended March 31, 2018.</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interest rate swap arrangement as of March 31,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shd w:val="clear" w:color="auto" w:fill="008A5F"/>
          </w:tcPr>
          <w:p>
            <w:pPr>
              <w:spacing w:after="0"/>
              <w:rPr>
                <w:sz w:val="17"/>
                <w:szCs w:val="17"/>
                <w:color w:val="auto"/>
              </w:rPr>
            </w:pPr>
          </w:p>
        </w:tc>
        <w:tc>
          <w:tcPr>
            <w:tcW w:w="580" w:type="dxa"/>
            <w:vAlign w:val="bottom"/>
            <w:shd w:val="clear" w:color="auto" w:fill="008A5F"/>
          </w:tcPr>
          <w:p>
            <w:pPr>
              <w:spacing w:after="0"/>
              <w:rPr>
                <w:sz w:val="17"/>
                <w:szCs w:val="17"/>
                <w:color w:val="auto"/>
              </w:rPr>
            </w:pPr>
          </w:p>
        </w:tc>
        <w:tc>
          <w:tcPr>
            <w:tcW w:w="2180" w:type="dxa"/>
            <w:vAlign w:val="bottom"/>
            <w:shd w:val="clear" w:color="auto" w:fill="008A5F"/>
          </w:tcPr>
          <w:p>
            <w:pPr>
              <w:jc w:val="center"/>
              <w:ind w:right="419"/>
              <w:spacing w:after="0"/>
              <w:rPr>
                <w:sz w:val="20"/>
                <w:szCs w:val="20"/>
                <w:color w:val="auto"/>
              </w:rPr>
            </w:pPr>
            <w:r>
              <w:rPr>
                <w:rFonts w:ascii="Arial" w:cs="Arial" w:eastAsia="Arial" w:hAnsi="Arial"/>
                <w:sz w:val="16"/>
                <w:szCs w:val="16"/>
                <w:b w:val="1"/>
                <w:bCs w:val="1"/>
                <w:color w:val="FFFFFF"/>
              </w:rPr>
              <w:t>Aggregate Notional</w:t>
            </w:r>
          </w:p>
        </w:tc>
        <w:tc>
          <w:tcPr>
            <w:tcW w:w="1700" w:type="dxa"/>
            <w:vAlign w:val="bottom"/>
            <w:shd w:val="clear" w:color="auto" w:fill="008A5F"/>
          </w:tcPr>
          <w:p>
            <w:pPr>
              <w:spacing w:after="0"/>
              <w:rPr>
                <w:sz w:val="17"/>
                <w:szCs w:val="17"/>
                <w:color w:val="auto"/>
              </w:rPr>
            </w:pPr>
          </w:p>
        </w:tc>
        <w:tc>
          <w:tcPr>
            <w:tcW w:w="880" w:type="dxa"/>
            <w:vAlign w:val="bottom"/>
            <w:shd w:val="clear" w:color="auto" w:fill="008A5F"/>
          </w:tcPr>
          <w:p>
            <w:pPr>
              <w:spacing w:after="0"/>
              <w:rPr>
                <w:sz w:val="17"/>
                <w:szCs w:val="17"/>
                <w:color w:val="auto"/>
              </w:rPr>
            </w:pPr>
          </w:p>
        </w:tc>
        <w:tc>
          <w:tcPr>
            <w:tcW w:w="200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Receive Rate as of March</w:t>
            </w:r>
          </w:p>
        </w:tc>
        <w:tc>
          <w:tcPr>
            <w:tcW w:w="200" w:type="dxa"/>
            <w:vAlign w:val="bottom"/>
            <w:shd w:val="clear" w:color="auto" w:fill="008A5F"/>
          </w:tcPr>
          <w:p>
            <w:pPr>
              <w:spacing w:after="0"/>
              <w:rPr>
                <w:sz w:val="17"/>
                <w:szCs w:val="17"/>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Receive Rate as of</w:t>
            </w:r>
          </w:p>
        </w:tc>
      </w:tr>
      <w:tr>
        <w:trPr>
          <w:trHeight w:val="236"/>
        </w:trPr>
        <w:tc>
          <w:tcPr>
            <w:tcW w:w="1980" w:type="dxa"/>
            <w:vAlign w:val="bottom"/>
            <w:shd w:val="clear" w:color="auto" w:fill="008A5F"/>
          </w:tcPr>
          <w:p>
            <w:pPr>
              <w:spacing w:after="0"/>
              <w:rPr>
                <w:sz w:val="20"/>
                <w:szCs w:val="20"/>
                <w:color w:val="auto"/>
              </w:rPr>
            </w:pPr>
          </w:p>
        </w:tc>
        <w:tc>
          <w:tcPr>
            <w:tcW w:w="580" w:type="dxa"/>
            <w:vAlign w:val="bottom"/>
            <w:shd w:val="clear" w:color="auto" w:fill="008A5F"/>
          </w:tcPr>
          <w:p>
            <w:pPr>
              <w:spacing w:after="0"/>
              <w:rPr>
                <w:sz w:val="20"/>
                <w:szCs w:val="20"/>
                <w:color w:val="auto"/>
              </w:rPr>
            </w:pPr>
          </w:p>
        </w:tc>
        <w:tc>
          <w:tcPr>
            <w:tcW w:w="2180" w:type="dxa"/>
            <w:vAlign w:val="bottom"/>
            <w:shd w:val="clear" w:color="auto" w:fill="008A5F"/>
          </w:tcPr>
          <w:p>
            <w:pPr>
              <w:jc w:val="center"/>
              <w:ind w:right="419"/>
              <w:spacing w:after="0"/>
              <w:rPr>
                <w:sz w:val="20"/>
                <w:szCs w:val="20"/>
                <w:color w:val="auto"/>
              </w:rPr>
            </w:pPr>
            <w:r>
              <w:rPr>
                <w:rFonts w:ascii="Arial" w:cs="Arial" w:eastAsia="Arial" w:hAnsi="Arial"/>
                <w:sz w:val="16"/>
                <w:szCs w:val="16"/>
                <w:b w:val="1"/>
                <w:bCs w:val="1"/>
                <w:color w:val="FFFFFF"/>
              </w:rPr>
              <w:t>Amount (in millions)</w:t>
            </w:r>
          </w:p>
        </w:tc>
        <w:tc>
          <w:tcPr>
            <w:tcW w:w="170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Receive Rate</w:t>
            </w:r>
          </w:p>
        </w:tc>
        <w:tc>
          <w:tcPr>
            <w:tcW w:w="880" w:type="dxa"/>
            <w:vAlign w:val="bottom"/>
            <w:shd w:val="clear" w:color="auto" w:fill="008A5F"/>
          </w:tcPr>
          <w:p>
            <w:pPr>
              <w:jc w:val="right"/>
              <w:ind w:right="59"/>
              <w:spacing w:after="0"/>
              <w:rPr>
                <w:sz w:val="20"/>
                <w:szCs w:val="20"/>
                <w:color w:val="auto"/>
              </w:rPr>
            </w:pPr>
            <w:r>
              <w:rPr>
                <w:rFonts w:ascii="Arial" w:cs="Arial" w:eastAsia="Arial" w:hAnsi="Arial"/>
                <w:sz w:val="16"/>
                <w:szCs w:val="16"/>
                <w:b w:val="1"/>
                <w:bCs w:val="1"/>
                <w:color w:val="FFFFFF"/>
              </w:rPr>
              <w:t>Pay Rate</w:t>
            </w:r>
          </w:p>
        </w:tc>
        <w:tc>
          <w:tcPr>
            <w:tcW w:w="200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31, 2019</w:t>
            </w:r>
          </w:p>
        </w:tc>
        <w:tc>
          <w:tcPr>
            <w:tcW w:w="200" w:type="dxa"/>
            <w:vAlign w:val="bottom"/>
            <w:shd w:val="clear" w:color="auto" w:fill="008A5F"/>
          </w:tcPr>
          <w:p>
            <w:pPr>
              <w:spacing w:after="0"/>
              <w:rPr>
                <w:sz w:val="20"/>
                <w:szCs w:val="20"/>
                <w:color w:val="auto"/>
              </w:rPr>
            </w:pPr>
          </w:p>
        </w:tc>
        <w:tc>
          <w:tcPr>
            <w:tcW w:w="1880" w:type="dxa"/>
            <w:vAlign w:val="bottom"/>
            <w:shd w:val="clear" w:color="auto" w:fill="008A5F"/>
          </w:tcPr>
          <w:p>
            <w:pPr>
              <w:ind w:left="140"/>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US ABL Facility</w:t>
            </w:r>
          </w:p>
        </w:tc>
        <w:tc>
          <w:tcPr>
            <w:tcW w:w="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18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400.0</w:t>
            </w:r>
          </w:p>
        </w:tc>
        <w:tc>
          <w:tcPr>
            <w:tcW w:w="1700" w:type="dxa"/>
            <w:vAlign w:val="bottom"/>
            <w:shd w:val="clear" w:color="auto" w:fill="E7E7E8"/>
          </w:tcPr>
          <w:p>
            <w:pPr>
              <w:ind w:left="500"/>
              <w:spacing w:after="0"/>
              <w:rPr>
                <w:sz w:val="20"/>
                <w:szCs w:val="20"/>
                <w:color w:val="auto"/>
              </w:rPr>
            </w:pPr>
            <w:r>
              <w:rPr>
                <w:rFonts w:ascii="Arial" w:cs="Arial" w:eastAsia="Arial" w:hAnsi="Arial"/>
                <w:sz w:val="16"/>
                <w:szCs w:val="16"/>
                <w:color w:val="auto"/>
              </w:rPr>
              <w:t>1 month LIBOR</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3.06 %</w:t>
            </w:r>
          </w:p>
        </w:tc>
        <w:tc>
          <w:tcPr>
            <w:tcW w:w="2200" w:type="dxa"/>
            <w:vAlign w:val="bottom"/>
            <w:gridSpan w:val="2"/>
            <w:shd w:val="clear" w:color="auto" w:fill="E7E7E8"/>
          </w:tcPr>
          <w:p>
            <w:pPr>
              <w:ind w:left="1500"/>
              <w:spacing w:after="0"/>
              <w:rPr>
                <w:sz w:val="20"/>
                <w:szCs w:val="20"/>
                <w:color w:val="auto"/>
              </w:rPr>
            </w:pPr>
            <w:r>
              <w:rPr>
                <w:rFonts w:ascii="Arial" w:cs="Arial" w:eastAsia="Arial" w:hAnsi="Arial"/>
                <w:sz w:val="16"/>
                <w:szCs w:val="16"/>
                <w:color w:val="auto"/>
              </w:rPr>
              <w:t>2.49 %</w:t>
            </w:r>
          </w:p>
        </w:tc>
        <w:tc>
          <w:tcPr>
            <w:tcW w:w="1880" w:type="dxa"/>
            <w:vAlign w:val="bottom"/>
            <w:shd w:val="clear" w:color="auto" w:fill="E7E7E8"/>
          </w:tcPr>
          <w:p>
            <w:pPr>
              <w:jc w:val="center"/>
              <w:ind w:left="1259"/>
              <w:spacing w:after="0"/>
              <w:rPr>
                <w:sz w:val="20"/>
                <w:szCs w:val="20"/>
                <w:color w:val="auto"/>
              </w:rPr>
            </w:pPr>
            <w:r>
              <w:rPr>
                <w:rFonts w:ascii="Arial" w:cs="Arial" w:eastAsia="Arial" w:hAnsi="Arial"/>
                <w:sz w:val="16"/>
                <w:szCs w:val="16"/>
                <w:color w:val="auto"/>
              </w:rPr>
              <w:t>2.44 %</w:t>
            </w:r>
          </w:p>
        </w:tc>
      </w:tr>
      <w:tr>
        <w:trPr>
          <w:trHeight w:val="249"/>
        </w:trPr>
        <w:tc>
          <w:tcPr>
            <w:tcW w:w="11400" w:type="dxa"/>
            <w:vAlign w:val="bottom"/>
            <w:gridSpan w:val="8"/>
          </w:tcPr>
          <w:p>
            <w:pPr>
              <w:ind w:left="660"/>
              <w:spacing w:after="0"/>
              <w:rPr>
                <w:sz w:val="20"/>
                <w:szCs w:val="20"/>
                <w:color w:val="auto"/>
              </w:rPr>
            </w:pPr>
            <w:r>
              <w:rPr>
                <w:rFonts w:ascii="Arial" w:cs="Arial" w:eastAsia="Arial" w:hAnsi="Arial"/>
                <w:sz w:val="16"/>
                <w:szCs w:val="16"/>
                <w:color w:val="auto"/>
              </w:rPr>
              <w:t>The location and the fair value of derivative instruments designated as hedges, at the respective balance sheet dates, were as follows:</w:t>
            </w:r>
          </w:p>
        </w:tc>
      </w:tr>
      <w:tr>
        <w:trPr>
          <w:trHeight w:val="251"/>
        </w:trPr>
        <w:tc>
          <w:tcPr>
            <w:tcW w:w="198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80" w:type="dxa"/>
            <w:vAlign w:val="bottom"/>
            <w:shd w:val="clear" w:color="auto" w:fill="008A5F"/>
          </w:tcPr>
          <w:p>
            <w:pPr>
              <w:spacing w:after="0"/>
              <w:rPr>
                <w:sz w:val="21"/>
                <w:szCs w:val="21"/>
                <w:color w:val="auto"/>
              </w:rPr>
            </w:pPr>
          </w:p>
        </w:tc>
        <w:tc>
          <w:tcPr>
            <w:tcW w:w="3880" w:type="dxa"/>
            <w:vAlign w:val="bottom"/>
            <w:gridSpan w:val="2"/>
            <w:shd w:val="clear" w:color="auto" w:fill="008A5F"/>
          </w:tcPr>
          <w:p>
            <w:pPr>
              <w:ind w:left="1740"/>
              <w:spacing w:after="0"/>
              <w:rPr>
                <w:sz w:val="20"/>
                <w:szCs w:val="20"/>
                <w:color w:val="auto"/>
              </w:rPr>
            </w:pPr>
            <w:r>
              <w:rPr>
                <w:rFonts w:ascii="Arial" w:cs="Arial" w:eastAsia="Arial" w:hAnsi="Arial"/>
                <w:sz w:val="16"/>
                <w:szCs w:val="16"/>
                <w:b w:val="1"/>
                <w:bCs w:val="1"/>
                <w:color w:val="FFFFFF"/>
              </w:rPr>
              <w:t>Balance Sheet Location</w:t>
            </w:r>
          </w:p>
        </w:tc>
        <w:tc>
          <w:tcPr>
            <w:tcW w:w="880" w:type="dxa"/>
            <w:vAlign w:val="bottom"/>
            <w:shd w:val="clear" w:color="auto" w:fill="008A5F"/>
          </w:tcPr>
          <w:p>
            <w:pPr>
              <w:spacing w:after="0"/>
              <w:rPr>
                <w:sz w:val="21"/>
                <w:szCs w:val="21"/>
                <w:color w:val="auto"/>
              </w:rPr>
            </w:pPr>
          </w:p>
        </w:tc>
        <w:tc>
          <w:tcPr>
            <w:tcW w:w="2000" w:type="dxa"/>
            <w:vAlign w:val="bottom"/>
            <w:shd w:val="clear" w:color="auto" w:fill="008A5F"/>
          </w:tcPr>
          <w:p>
            <w:pPr>
              <w:ind w:left="340"/>
              <w:spacing w:after="0"/>
              <w:rPr>
                <w:sz w:val="20"/>
                <w:szCs w:val="20"/>
                <w:color w:val="auto"/>
              </w:rPr>
            </w:pPr>
            <w:r>
              <w:rPr>
                <w:rFonts w:ascii="Arial" w:cs="Arial" w:eastAsia="Arial" w:hAnsi="Arial"/>
                <w:sz w:val="16"/>
                <w:szCs w:val="16"/>
                <w:b w:val="1"/>
                <w:bCs w:val="1"/>
                <w:color w:val="FFFFFF"/>
              </w:rPr>
              <w:t>March 31, 2019</w:t>
            </w:r>
          </w:p>
        </w:tc>
        <w:tc>
          <w:tcPr>
            <w:tcW w:w="200" w:type="dxa"/>
            <w:vAlign w:val="bottom"/>
            <w:shd w:val="clear" w:color="auto" w:fill="008A5F"/>
          </w:tcPr>
          <w:p>
            <w:pPr>
              <w:spacing w:after="0"/>
              <w:rPr>
                <w:sz w:val="21"/>
                <w:szCs w:val="21"/>
                <w:color w:val="auto"/>
              </w:rPr>
            </w:pPr>
          </w:p>
        </w:tc>
        <w:tc>
          <w:tcPr>
            <w:tcW w:w="1880" w:type="dxa"/>
            <w:vAlign w:val="bottom"/>
            <w:shd w:val="clear" w:color="auto" w:fill="008A5F"/>
          </w:tcPr>
          <w:p>
            <w:pPr>
              <w:ind w:left="100"/>
              <w:spacing w:after="0"/>
              <w:rPr>
                <w:sz w:val="20"/>
                <w:szCs w:val="20"/>
                <w:color w:val="auto"/>
              </w:rPr>
            </w:pPr>
            <w:r>
              <w:rPr>
                <w:rFonts w:ascii="Arial" w:cs="Arial" w:eastAsia="Arial" w:hAnsi="Arial"/>
                <w:sz w:val="16"/>
                <w:szCs w:val="16"/>
                <w:b w:val="1"/>
                <w:bCs w:val="1"/>
                <w:color w:val="FFFFFF"/>
              </w:rPr>
              <w:t>December 31, 2018</w:t>
            </w:r>
          </w:p>
        </w:tc>
      </w:tr>
      <w:tr>
        <w:trPr>
          <w:trHeight w:val="230"/>
        </w:trPr>
        <w:tc>
          <w:tcPr>
            <w:tcW w:w="19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Cash Flow Hedges:</w:t>
            </w:r>
          </w:p>
        </w:tc>
        <w:tc>
          <w:tcPr>
            <w:tcW w:w="580" w:type="dxa"/>
            <w:vAlign w:val="bottom"/>
            <w:shd w:val="clear" w:color="auto" w:fill="E7E7E8"/>
          </w:tcPr>
          <w:p>
            <w:pPr>
              <w:spacing w:after="0"/>
              <w:rPr>
                <w:sz w:val="19"/>
                <w:szCs w:val="19"/>
                <w:color w:val="auto"/>
              </w:rPr>
            </w:pPr>
          </w:p>
        </w:tc>
        <w:tc>
          <w:tcPr>
            <w:tcW w:w="2180" w:type="dxa"/>
            <w:vAlign w:val="bottom"/>
            <w:shd w:val="clear" w:color="auto" w:fill="E7E7E8"/>
          </w:tcPr>
          <w:p>
            <w:pPr>
              <w:spacing w:after="0"/>
              <w:rPr>
                <w:sz w:val="19"/>
                <w:szCs w:val="19"/>
                <w:color w:val="auto"/>
              </w:rPr>
            </w:pPr>
          </w:p>
        </w:tc>
        <w:tc>
          <w:tcPr>
            <w:tcW w:w="1700" w:type="dxa"/>
            <w:vAlign w:val="bottom"/>
            <w:shd w:val="clear" w:color="auto" w:fill="E7E7E8"/>
          </w:tcPr>
          <w:p>
            <w:pPr>
              <w:spacing w:after="0"/>
              <w:rPr>
                <w:sz w:val="19"/>
                <w:szCs w:val="19"/>
                <w:color w:val="auto"/>
              </w:rPr>
            </w:pPr>
          </w:p>
        </w:tc>
        <w:tc>
          <w:tcPr>
            <w:tcW w:w="880" w:type="dxa"/>
            <w:vAlign w:val="bottom"/>
            <w:shd w:val="clear" w:color="auto" w:fill="E7E7E8"/>
          </w:tcPr>
          <w:p>
            <w:pPr>
              <w:spacing w:after="0"/>
              <w:rPr>
                <w:sz w:val="19"/>
                <w:szCs w:val="19"/>
                <w:color w:val="auto"/>
              </w:rPr>
            </w:pPr>
          </w:p>
        </w:tc>
        <w:tc>
          <w:tcPr>
            <w:tcW w:w="2000" w:type="dxa"/>
            <w:vAlign w:val="bottom"/>
            <w:shd w:val="clear" w:color="auto" w:fill="E7E7E8"/>
          </w:tcPr>
          <w:p>
            <w:pPr>
              <w:spacing w:after="0"/>
              <w:rPr>
                <w:sz w:val="19"/>
                <w:szCs w:val="19"/>
                <w:color w:val="auto"/>
              </w:rPr>
            </w:pPr>
          </w:p>
        </w:tc>
        <w:tc>
          <w:tcPr>
            <w:tcW w:w="200" w:type="dxa"/>
            <w:vAlign w:val="bottom"/>
            <w:shd w:val="clear" w:color="auto" w:fill="E7E7E8"/>
          </w:tcPr>
          <w:p>
            <w:pPr>
              <w:spacing w:after="0"/>
              <w:rPr>
                <w:sz w:val="19"/>
                <w:szCs w:val="19"/>
                <w:color w:val="auto"/>
              </w:rPr>
            </w:pPr>
          </w:p>
        </w:tc>
        <w:tc>
          <w:tcPr>
            <w:tcW w:w="1880" w:type="dxa"/>
            <w:vAlign w:val="bottom"/>
            <w:shd w:val="clear" w:color="auto" w:fill="E7E7E8"/>
          </w:tcPr>
          <w:p>
            <w:pPr>
              <w:spacing w:after="0"/>
              <w:rPr>
                <w:sz w:val="19"/>
                <w:szCs w:val="19"/>
                <w:color w:val="auto"/>
              </w:rPr>
            </w:pPr>
          </w:p>
        </w:tc>
      </w:tr>
      <w:tr>
        <w:trPr>
          <w:trHeight w:val="235"/>
        </w:trPr>
        <w:tc>
          <w:tcPr>
            <w:tcW w:w="1980" w:type="dxa"/>
            <w:vAlign w:val="bottom"/>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tcPr>
          <w:p>
            <w:pPr>
              <w:spacing w:after="0"/>
              <w:rPr>
                <w:sz w:val="20"/>
                <w:szCs w:val="20"/>
                <w:color w:val="auto"/>
              </w:rPr>
            </w:pPr>
          </w:p>
        </w:tc>
        <w:tc>
          <w:tcPr>
            <w:tcW w:w="2180" w:type="dxa"/>
            <w:vAlign w:val="bottom"/>
          </w:tcPr>
          <w:p>
            <w:pPr>
              <w:ind w:left="780"/>
              <w:spacing w:after="0"/>
              <w:rPr>
                <w:sz w:val="20"/>
                <w:szCs w:val="20"/>
                <w:color w:val="auto"/>
              </w:rPr>
            </w:pPr>
            <w:r>
              <w:rPr>
                <w:rFonts w:ascii="Arial" w:cs="Arial" w:eastAsia="Arial" w:hAnsi="Arial"/>
                <w:sz w:val="16"/>
                <w:szCs w:val="16"/>
                <w:color w:val="auto"/>
              </w:rPr>
              <w:t>Accrued liabilities</w:t>
            </w:r>
          </w:p>
        </w:tc>
        <w:tc>
          <w:tcPr>
            <w:tcW w:w="1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ind w:left="1520"/>
              <w:spacing w:after="0"/>
              <w:rPr>
                <w:sz w:val="20"/>
                <w:szCs w:val="20"/>
                <w:color w:val="auto"/>
              </w:rPr>
            </w:pPr>
            <w:r>
              <w:rPr>
                <w:rFonts w:ascii="Arial" w:cs="Arial" w:eastAsia="Arial" w:hAnsi="Arial"/>
                <w:sz w:val="16"/>
                <w:szCs w:val="16"/>
                <w:color w:val="auto"/>
              </w:rPr>
              <w:t>2,314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tcPr>
          <w:p>
            <w:pPr>
              <w:jc w:val="center"/>
              <w:ind w:left="1279"/>
              <w:spacing w:after="0"/>
              <w:rPr>
                <w:sz w:val="20"/>
                <w:szCs w:val="20"/>
                <w:color w:val="auto"/>
              </w:rPr>
            </w:pPr>
            <w:r>
              <w:rPr>
                <w:rFonts w:ascii="Arial" w:cs="Arial" w:eastAsia="Arial" w:hAnsi="Arial"/>
                <w:sz w:val="16"/>
                <w:szCs w:val="16"/>
                <w:color w:val="auto"/>
                <w:w w:val="99"/>
              </w:rPr>
              <w:t>1,709</w:t>
            </w:r>
          </w:p>
        </w:tc>
      </w:tr>
      <w:tr>
        <w:trPr>
          <w:trHeight w:val="251"/>
        </w:trPr>
        <w:tc>
          <w:tcPr>
            <w:tcW w:w="19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Interest rate swap</w:t>
            </w:r>
          </w:p>
        </w:tc>
        <w:tc>
          <w:tcPr>
            <w:tcW w:w="580" w:type="dxa"/>
            <w:vAlign w:val="bottom"/>
            <w:shd w:val="clear" w:color="auto" w:fill="E7E7E8"/>
          </w:tcPr>
          <w:p>
            <w:pPr>
              <w:spacing w:after="0"/>
              <w:rPr>
                <w:sz w:val="21"/>
                <w:szCs w:val="21"/>
                <w:color w:val="auto"/>
              </w:rPr>
            </w:pPr>
          </w:p>
        </w:tc>
        <w:tc>
          <w:tcPr>
            <w:tcW w:w="3880" w:type="dxa"/>
            <w:vAlign w:val="bottom"/>
            <w:gridSpan w:val="2"/>
            <w:shd w:val="clear" w:color="auto" w:fill="E7E7E8"/>
          </w:tcPr>
          <w:p>
            <w:pPr>
              <w:ind w:left="780"/>
              <w:spacing w:after="0"/>
              <w:rPr>
                <w:sz w:val="20"/>
                <w:szCs w:val="20"/>
                <w:color w:val="auto"/>
              </w:rPr>
            </w:pPr>
            <w:r>
              <w:rPr>
                <w:rFonts w:ascii="Arial" w:cs="Arial" w:eastAsia="Arial" w:hAnsi="Arial"/>
                <w:sz w:val="16"/>
                <w:szCs w:val="16"/>
                <w:color w:val="auto"/>
              </w:rPr>
              <w:t>Other long-term liabilities</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E7E7E8"/>
          </w:tcPr>
          <w:p>
            <w:pPr>
              <w:ind w:left="1520"/>
              <w:spacing w:after="0"/>
              <w:rPr>
                <w:sz w:val="20"/>
                <w:szCs w:val="20"/>
                <w:color w:val="auto"/>
              </w:rPr>
            </w:pPr>
            <w:r>
              <w:rPr>
                <w:rFonts w:ascii="Arial" w:cs="Arial" w:eastAsia="Arial" w:hAnsi="Arial"/>
                <w:sz w:val="16"/>
                <w:szCs w:val="16"/>
                <w:color w:val="auto"/>
              </w:rPr>
              <w:t>8,451</w:t>
            </w:r>
          </w:p>
        </w:tc>
        <w:tc>
          <w:tcPr>
            <w:tcW w:w="200" w:type="dxa"/>
            <w:vAlign w:val="bottom"/>
            <w:shd w:val="clear" w:color="auto" w:fill="E7E7E8"/>
          </w:tcPr>
          <w:p>
            <w:pPr>
              <w:jc w:val="right"/>
              <w:ind w:right="44"/>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E7E7E8"/>
          </w:tcPr>
          <w:p>
            <w:pPr>
              <w:jc w:val="center"/>
              <w:ind w:left="1279"/>
              <w:spacing w:after="0"/>
              <w:rPr>
                <w:sz w:val="20"/>
                <w:szCs w:val="20"/>
                <w:color w:val="auto"/>
              </w:rPr>
            </w:pPr>
            <w:r>
              <w:rPr>
                <w:rFonts w:ascii="Arial" w:cs="Arial" w:eastAsia="Arial" w:hAnsi="Arial"/>
                <w:sz w:val="16"/>
                <w:szCs w:val="16"/>
                <w:color w:val="auto"/>
                <w:w w:val="99"/>
              </w:rPr>
              <w:t>6,192</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flows from derivative instruments are presented within net cash provided by operating activities in the consolidated statements of cash flows.</w:t>
      </w:r>
    </w:p>
    <w:p>
      <w:pPr>
        <w:spacing w:after="0" w:line="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fair value of the interest rate swap is based on dealer quotes of market forward rates, a Level 2 input on the fair value hierarchy, and reflects the amount that the Company would receive or pay as of March 31, 2019 and December 31, 2018, respectively for contracts involving the same attributes and maturity dates.</w:t>
      </w:r>
    </w:p>
    <w:p>
      <w:pPr>
        <w:spacing w:after="0" w:line="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 discloses the impact of the interest rate swap, excluding the impact of income taxes, on other comprehensive income (“OCI”), AOCL and the Company’s statement of operations for the three months ended March 31, 2019.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shd w:val="clear" w:color="auto" w:fill="008A5F"/>
          </w:tcPr>
          <w:p>
            <w:pPr>
              <w:spacing w:after="0"/>
              <w:rPr>
                <w:sz w:val="16"/>
                <w:szCs w:val="16"/>
                <w:color w:val="auto"/>
              </w:rPr>
            </w:pPr>
          </w:p>
        </w:tc>
        <w:tc>
          <w:tcPr>
            <w:tcW w:w="620" w:type="dxa"/>
            <w:vAlign w:val="bottom"/>
            <w:shd w:val="clear" w:color="auto" w:fill="008A5F"/>
          </w:tcPr>
          <w:p>
            <w:pPr>
              <w:spacing w:after="0"/>
              <w:rPr>
                <w:sz w:val="16"/>
                <w:szCs w:val="16"/>
                <w:color w:val="auto"/>
              </w:rPr>
            </w:pPr>
          </w:p>
        </w:tc>
        <w:tc>
          <w:tcPr>
            <w:tcW w:w="2100" w:type="dxa"/>
            <w:vAlign w:val="bottom"/>
            <w:vMerge w:val="restart"/>
            <w:shd w:val="clear" w:color="auto" w:fill="008A5F"/>
          </w:tcPr>
          <w:p>
            <w:pPr>
              <w:jc w:val="center"/>
              <w:ind w:right="319"/>
              <w:spacing w:after="0"/>
              <w:rPr>
                <w:sz w:val="20"/>
                <w:szCs w:val="20"/>
                <w:color w:val="auto"/>
              </w:rPr>
            </w:pPr>
            <w:r>
              <w:rPr>
                <w:rFonts w:ascii="Arial" w:cs="Arial" w:eastAsia="Arial" w:hAnsi="Arial"/>
                <w:sz w:val="16"/>
                <w:szCs w:val="16"/>
                <w:b w:val="1"/>
                <w:bCs w:val="1"/>
                <w:color w:val="FFFFFF"/>
              </w:rPr>
              <w:t>Loss Recognized</w:t>
            </w:r>
          </w:p>
        </w:tc>
        <w:tc>
          <w:tcPr>
            <w:tcW w:w="2060" w:type="dxa"/>
            <w:vAlign w:val="bottom"/>
            <w:vMerge w:val="restart"/>
            <w:shd w:val="clear" w:color="auto" w:fill="008A5F"/>
          </w:tcPr>
          <w:p>
            <w:pPr>
              <w:jc w:val="center"/>
              <w:spacing w:after="0"/>
              <w:rPr>
                <w:sz w:val="20"/>
                <w:szCs w:val="20"/>
                <w:color w:val="auto"/>
              </w:rPr>
            </w:pPr>
            <w:r>
              <w:rPr>
                <w:rFonts w:ascii="Arial" w:cs="Arial" w:eastAsia="Arial" w:hAnsi="Arial"/>
                <w:sz w:val="16"/>
                <w:szCs w:val="16"/>
                <w:b w:val="1"/>
                <w:bCs w:val="1"/>
                <w:color w:val="FFFFFF"/>
              </w:rPr>
              <w:t>Location of Gain (Loss)</w:t>
            </w:r>
          </w:p>
        </w:tc>
        <w:tc>
          <w:tcPr>
            <w:tcW w:w="340" w:type="dxa"/>
            <w:vAlign w:val="bottom"/>
            <w:shd w:val="clear" w:color="auto" w:fill="008A5F"/>
          </w:tcPr>
          <w:p>
            <w:pPr>
              <w:spacing w:after="0"/>
              <w:rPr>
                <w:sz w:val="16"/>
                <w:szCs w:val="16"/>
                <w:color w:val="auto"/>
              </w:rPr>
            </w:pPr>
          </w:p>
        </w:tc>
        <w:tc>
          <w:tcPr>
            <w:tcW w:w="2260" w:type="dxa"/>
            <w:vAlign w:val="bottom"/>
            <w:shd w:val="clear" w:color="auto" w:fill="008A5F"/>
          </w:tcPr>
          <w:p>
            <w:pPr>
              <w:jc w:val="center"/>
              <w:ind w:right="159"/>
              <w:spacing w:after="0"/>
              <w:rPr>
                <w:sz w:val="20"/>
                <w:szCs w:val="20"/>
                <w:color w:val="auto"/>
              </w:rPr>
            </w:pPr>
            <w:r>
              <w:rPr>
                <w:rFonts w:ascii="Arial" w:cs="Arial" w:eastAsia="Arial" w:hAnsi="Arial"/>
                <w:sz w:val="16"/>
                <w:szCs w:val="16"/>
                <w:b w:val="1"/>
                <w:bCs w:val="1"/>
                <w:color w:val="FFFFFF"/>
              </w:rPr>
              <w:t>Loss Reclassified from</w:t>
            </w:r>
          </w:p>
        </w:tc>
        <w:tc>
          <w:tcPr>
            <w:tcW w:w="120" w:type="dxa"/>
            <w:vAlign w:val="bottom"/>
            <w:shd w:val="clear" w:color="auto" w:fill="008A5F"/>
          </w:tcPr>
          <w:p>
            <w:pPr>
              <w:spacing w:after="0"/>
              <w:rPr>
                <w:sz w:val="16"/>
                <w:szCs w:val="16"/>
                <w:color w:val="auto"/>
              </w:rPr>
            </w:pPr>
          </w:p>
        </w:tc>
        <w:tc>
          <w:tcPr>
            <w:tcW w:w="2240" w:type="dxa"/>
            <w:vAlign w:val="bottom"/>
            <w:vMerge w:val="restart"/>
            <w:shd w:val="clear" w:color="auto" w:fill="008A5F"/>
          </w:tcPr>
          <w:p>
            <w:pPr>
              <w:jc w:val="center"/>
              <w:ind w:right="39"/>
              <w:spacing w:after="0"/>
              <w:rPr>
                <w:sz w:val="20"/>
                <w:szCs w:val="20"/>
                <w:color w:val="auto"/>
              </w:rPr>
            </w:pPr>
            <w:r>
              <w:rPr>
                <w:rFonts w:ascii="Arial" w:cs="Arial" w:eastAsia="Arial" w:hAnsi="Arial"/>
                <w:sz w:val="16"/>
                <w:szCs w:val="16"/>
                <w:b w:val="1"/>
                <w:bCs w:val="1"/>
                <w:color w:val="FFFFFF"/>
              </w:rPr>
              <w:t>(Loss) Gain Recognized in</w:t>
            </w:r>
          </w:p>
        </w:tc>
        <w:tc>
          <w:tcPr>
            <w:tcW w:w="0" w:type="dxa"/>
            <w:vAlign w:val="bottom"/>
          </w:tcPr>
          <w:p>
            <w:pPr>
              <w:spacing w:after="0"/>
              <w:rPr>
                <w:sz w:val="1"/>
                <w:szCs w:val="1"/>
                <w:color w:val="auto"/>
              </w:rPr>
            </w:pPr>
          </w:p>
        </w:tc>
      </w:tr>
      <w:tr>
        <w:trPr>
          <w:trHeight w:val="176"/>
        </w:trPr>
        <w:tc>
          <w:tcPr>
            <w:tcW w:w="166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620" w:type="dxa"/>
            <w:vAlign w:val="bottom"/>
            <w:shd w:val="clear" w:color="auto" w:fill="008A5F"/>
          </w:tcPr>
          <w:p>
            <w:pPr>
              <w:spacing w:after="0"/>
              <w:rPr>
                <w:sz w:val="15"/>
                <w:szCs w:val="15"/>
                <w:color w:val="auto"/>
              </w:rPr>
            </w:pPr>
          </w:p>
        </w:tc>
        <w:tc>
          <w:tcPr>
            <w:tcW w:w="2100" w:type="dxa"/>
            <w:vAlign w:val="bottom"/>
            <w:vMerge w:val="continue"/>
            <w:shd w:val="clear" w:color="auto" w:fill="008A5F"/>
          </w:tcPr>
          <w:p>
            <w:pPr>
              <w:spacing w:after="0"/>
              <w:rPr>
                <w:sz w:val="15"/>
                <w:szCs w:val="15"/>
                <w:color w:val="auto"/>
              </w:rPr>
            </w:pPr>
          </w:p>
        </w:tc>
        <w:tc>
          <w:tcPr>
            <w:tcW w:w="2060" w:type="dxa"/>
            <w:vAlign w:val="bottom"/>
            <w:vMerge w:val="continue"/>
            <w:shd w:val="clear" w:color="auto" w:fill="008A5F"/>
          </w:tcPr>
          <w:p>
            <w:pPr>
              <w:spacing w:after="0"/>
              <w:rPr>
                <w:sz w:val="15"/>
                <w:szCs w:val="15"/>
                <w:color w:val="auto"/>
              </w:rPr>
            </w:pPr>
          </w:p>
        </w:tc>
        <w:tc>
          <w:tcPr>
            <w:tcW w:w="340" w:type="dxa"/>
            <w:vAlign w:val="bottom"/>
            <w:shd w:val="clear" w:color="auto" w:fill="008A5F"/>
          </w:tcPr>
          <w:p>
            <w:pPr>
              <w:spacing w:after="0"/>
              <w:rPr>
                <w:sz w:val="15"/>
                <w:szCs w:val="15"/>
                <w:color w:val="auto"/>
              </w:rPr>
            </w:pPr>
          </w:p>
        </w:tc>
        <w:tc>
          <w:tcPr>
            <w:tcW w:w="2260" w:type="dxa"/>
            <w:vAlign w:val="bottom"/>
            <w:shd w:val="clear" w:color="auto" w:fill="008A5F"/>
          </w:tcPr>
          <w:p>
            <w:pPr>
              <w:jc w:val="center"/>
              <w:ind w:right="159"/>
              <w:spacing w:after="0" w:line="176" w:lineRule="exact"/>
              <w:rPr>
                <w:sz w:val="20"/>
                <w:szCs w:val="20"/>
                <w:color w:val="auto"/>
              </w:rPr>
            </w:pPr>
            <w:r>
              <w:rPr>
                <w:rFonts w:ascii="Arial" w:cs="Arial" w:eastAsia="Arial" w:hAnsi="Arial"/>
                <w:sz w:val="16"/>
                <w:szCs w:val="16"/>
                <w:b w:val="1"/>
                <w:bCs w:val="1"/>
                <w:color w:val="FFFFFF"/>
              </w:rPr>
              <w:t>AOCL into Income</w:t>
            </w:r>
          </w:p>
        </w:tc>
        <w:tc>
          <w:tcPr>
            <w:tcW w:w="120" w:type="dxa"/>
            <w:vAlign w:val="bottom"/>
            <w:shd w:val="clear" w:color="auto" w:fill="008A5F"/>
          </w:tcPr>
          <w:p>
            <w:pPr>
              <w:spacing w:after="0"/>
              <w:rPr>
                <w:sz w:val="15"/>
                <w:szCs w:val="15"/>
                <w:color w:val="auto"/>
              </w:rPr>
            </w:pPr>
          </w:p>
        </w:tc>
        <w:tc>
          <w:tcPr>
            <w:tcW w:w="2240" w:type="dxa"/>
            <w:vAlign w:val="bottom"/>
            <w:vMerge w:val="continue"/>
            <w:shd w:val="clear" w:color="auto" w:fill="008A5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660" w:type="dxa"/>
            <w:vAlign w:val="bottom"/>
            <w:vMerge w:val="continue"/>
            <w:shd w:val="clear" w:color="auto" w:fill="008A5F"/>
          </w:tcPr>
          <w:p>
            <w:pPr>
              <w:spacing w:after="0"/>
              <w:rPr>
                <w:sz w:val="20"/>
                <w:szCs w:val="20"/>
                <w:color w:val="auto"/>
              </w:rPr>
            </w:pPr>
          </w:p>
        </w:tc>
        <w:tc>
          <w:tcPr>
            <w:tcW w:w="620" w:type="dxa"/>
            <w:vAlign w:val="bottom"/>
            <w:shd w:val="clear" w:color="auto" w:fill="008A5F"/>
          </w:tcPr>
          <w:p>
            <w:pPr>
              <w:spacing w:after="0"/>
              <w:rPr>
                <w:sz w:val="20"/>
                <w:szCs w:val="20"/>
                <w:color w:val="auto"/>
              </w:rPr>
            </w:pPr>
          </w:p>
        </w:tc>
        <w:tc>
          <w:tcPr>
            <w:tcW w:w="2100" w:type="dxa"/>
            <w:vAlign w:val="bottom"/>
            <w:shd w:val="clear" w:color="auto" w:fill="008A5F"/>
          </w:tcPr>
          <w:p>
            <w:pPr>
              <w:jc w:val="center"/>
              <w:ind w:right="299"/>
              <w:spacing w:after="0"/>
              <w:rPr>
                <w:sz w:val="20"/>
                <w:szCs w:val="20"/>
                <w:color w:val="auto"/>
              </w:rPr>
            </w:pPr>
            <w:r>
              <w:rPr>
                <w:rFonts w:ascii="Arial" w:cs="Arial" w:eastAsia="Arial" w:hAnsi="Arial"/>
                <w:sz w:val="16"/>
                <w:szCs w:val="16"/>
                <w:b w:val="1"/>
                <w:bCs w:val="1"/>
                <w:color w:val="FFFFFF"/>
              </w:rPr>
              <w:t>in OCI</w:t>
            </w:r>
          </w:p>
        </w:tc>
        <w:tc>
          <w:tcPr>
            <w:tcW w:w="2060" w:type="dxa"/>
            <w:vAlign w:val="bottom"/>
            <w:shd w:val="clear" w:color="auto" w:fill="008A5F"/>
          </w:tcPr>
          <w:p>
            <w:pPr>
              <w:jc w:val="center"/>
              <w:spacing w:after="0"/>
              <w:rPr>
                <w:sz w:val="20"/>
                <w:szCs w:val="20"/>
                <w:color w:val="auto"/>
              </w:rPr>
            </w:pPr>
            <w:r>
              <w:rPr>
                <w:rFonts w:ascii="Arial" w:cs="Arial" w:eastAsia="Arial" w:hAnsi="Arial"/>
                <w:sz w:val="16"/>
                <w:szCs w:val="16"/>
                <w:b w:val="1"/>
                <w:bCs w:val="1"/>
                <w:color w:val="FFFFFF"/>
              </w:rPr>
              <w:t>Recognized in Income</w:t>
            </w:r>
          </w:p>
        </w:tc>
        <w:tc>
          <w:tcPr>
            <w:tcW w:w="340" w:type="dxa"/>
            <w:vAlign w:val="bottom"/>
            <w:shd w:val="clear" w:color="auto" w:fill="008A5F"/>
          </w:tcPr>
          <w:p>
            <w:pPr>
              <w:spacing w:after="0"/>
              <w:rPr>
                <w:sz w:val="20"/>
                <w:szCs w:val="20"/>
                <w:color w:val="auto"/>
              </w:rPr>
            </w:pPr>
          </w:p>
        </w:tc>
        <w:tc>
          <w:tcPr>
            <w:tcW w:w="2260" w:type="dxa"/>
            <w:vAlign w:val="bottom"/>
            <w:shd w:val="clear" w:color="auto" w:fill="008A5F"/>
          </w:tcPr>
          <w:p>
            <w:pPr>
              <w:jc w:val="center"/>
              <w:ind w:right="139"/>
              <w:spacing w:after="0"/>
              <w:rPr>
                <w:sz w:val="20"/>
                <w:szCs w:val="20"/>
                <w:color w:val="auto"/>
              </w:rPr>
            </w:pPr>
            <w:r>
              <w:rPr>
                <w:rFonts w:ascii="Arial" w:cs="Arial" w:eastAsia="Arial" w:hAnsi="Arial"/>
                <w:sz w:val="16"/>
                <w:szCs w:val="16"/>
                <w:b w:val="1"/>
                <w:bCs w:val="1"/>
                <w:color w:val="FFFFFF"/>
              </w:rPr>
              <w:t>(Effective Portion)</w:t>
            </w:r>
          </w:p>
        </w:tc>
        <w:tc>
          <w:tcPr>
            <w:tcW w:w="120" w:type="dxa"/>
            <w:vAlign w:val="bottom"/>
            <w:shd w:val="clear" w:color="auto" w:fill="008A5F"/>
          </w:tcPr>
          <w:p>
            <w:pPr>
              <w:spacing w:after="0"/>
              <w:rPr>
                <w:sz w:val="20"/>
                <w:szCs w:val="20"/>
                <w:color w:val="auto"/>
              </w:rPr>
            </w:pPr>
          </w:p>
        </w:tc>
        <w:tc>
          <w:tcPr>
            <w:tcW w:w="2240" w:type="dxa"/>
            <w:vAlign w:val="bottom"/>
            <w:shd w:val="clear" w:color="auto" w:fill="008A5F"/>
          </w:tcPr>
          <w:p>
            <w:pPr>
              <w:jc w:val="center"/>
              <w:ind w:right="19"/>
              <w:spacing w:after="0"/>
              <w:rPr>
                <w:sz w:val="20"/>
                <w:szCs w:val="20"/>
                <w:color w:val="auto"/>
              </w:rPr>
            </w:pPr>
            <w:r>
              <w:rPr>
                <w:rFonts w:ascii="Arial" w:cs="Arial" w:eastAsia="Arial" w:hAnsi="Arial"/>
                <w:sz w:val="16"/>
                <w:szCs w:val="16"/>
                <w:b w:val="1"/>
                <w:bCs w:val="1"/>
                <w:color w:val="FFFFFF"/>
              </w:rPr>
              <w:t>Income (Ineffective Portion)</w:t>
            </w:r>
          </w:p>
        </w:tc>
        <w:tc>
          <w:tcPr>
            <w:tcW w:w="0" w:type="dxa"/>
            <w:vAlign w:val="bottom"/>
          </w:tcPr>
          <w:p>
            <w:pPr>
              <w:spacing w:after="0"/>
              <w:rPr>
                <w:sz w:val="1"/>
                <w:szCs w:val="1"/>
                <w:color w:val="auto"/>
              </w:rPr>
            </w:pPr>
          </w:p>
        </w:tc>
      </w:tr>
      <w:tr>
        <w:trPr>
          <w:trHeight w:val="243"/>
        </w:trPr>
        <w:tc>
          <w:tcPr>
            <w:tcW w:w="1660" w:type="dxa"/>
            <w:vAlign w:val="bottom"/>
            <w:shd w:val="clear" w:color="auto" w:fill="E7E7E8"/>
          </w:tcPr>
          <w:p>
            <w:pPr>
              <w:ind w:left="20"/>
              <w:spacing w:after="0"/>
              <w:rPr>
                <w:sz w:val="20"/>
                <w:szCs w:val="20"/>
                <w:color w:val="auto"/>
              </w:rPr>
            </w:pPr>
            <w:r>
              <w:rPr>
                <w:rFonts w:ascii="Arial" w:cs="Arial" w:eastAsia="Arial" w:hAnsi="Arial"/>
                <w:sz w:val="16"/>
                <w:szCs w:val="16"/>
                <w:color w:val="auto"/>
              </w:rPr>
              <w:t>Interest rate swap</w:t>
            </w:r>
          </w:p>
        </w:tc>
        <w:tc>
          <w:tcPr>
            <w:tcW w:w="6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(2,874)</w:t>
            </w:r>
          </w:p>
        </w:tc>
        <w:tc>
          <w:tcPr>
            <w:tcW w:w="2060" w:type="dxa"/>
            <w:vAlign w:val="bottom"/>
            <w:shd w:val="clear" w:color="auto" w:fill="E7E7E8"/>
          </w:tcPr>
          <w:p>
            <w:pPr>
              <w:jc w:val="center"/>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2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(568)</w:t>
            </w:r>
          </w:p>
        </w:tc>
        <w:tc>
          <w:tcPr>
            <w:tcW w:w="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40" w:type="dxa"/>
            <w:vAlign w:val="bottom"/>
            <w:shd w:val="clear" w:color="auto" w:fill="E7E7E8"/>
          </w:tcPr>
          <w:p>
            <w:pPr>
              <w:ind w:left="2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3"/>
          <w:szCs w:val="23"/>
          <w:color w:val="008A5F"/>
        </w:rPr>
        <w:t>NOTE 14 - Commitments and Contingencies</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is involved in various lawsuits or claims in the ordinary course of business. Management is of the opinion that there is no pending claim or lawsuit which, if adversely determined, would have a material effect on the Company’s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color w:val="008A5F"/>
        </w:rPr>
        <w:t>NOTE 15 - Segment Reporting</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the Business Combination, the Company historically has operated in one principal line of business: modular leasing and sales.</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Modular leasing and sales is comprised of two operating segments: US and Other North America. The US modular operating segment (“Modular - US”) consists of the contiguous 48 states and Hawaii. The Other North America operating segment (“Modular - Other North America”) consists of Alaska, Canada and Mexico. Total assets for each reportable segment are not available because the Company utilizes a centralized approach to working capital management. Transactions between reportable segments are not significant.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7" w:right="239" w:bottom="1440" w:gutter="0" w:footer="0" w:header="0"/>
        </w:sectPr>
      </w:pPr>
    </w:p>
    <w:bookmarkStart w:id="23" w:name="page24"/>
    <w:bookmarkEnd w:id="23"/>
    <w:p>
      <w:pPr>
        <w:jc w:val="both"/>
        <w:ind w:firstLine="648"/>
        <w:spacing w:after="0" w:line="269" w:lineRule="auto"/>
        <w:rPr>
          <w:sz w:val="20"/>
          <w:szCs w:val="20"/>
          <w:color w:val="auto"/>
        </w:rPr>
      </w:pPr>
      <w:r>
        <w:rPr>
          <w:rFonts w:ascii="Arial" w:cs="Arial" w:eastAsia="Arial" w:hAnsi="Arial"/>
          <w:sz w:val="16"/>
          <w:szCs w:val="16"/>
          <w:color w:val="auto"/>
        </w:rPr>
        <w:t>The Chief Operating Decision Maker ("CODM") evaluates business segment performance on Adjusted EBITDA, which excludes certain items as shown in the reconciliation of the Company’s consolidated net loss before tax to Adjusted EBITDA below. Management believes that evaluating segment performance excluding such items is meaningful because it provides insight with respect to intrinsic operating results of the Company.</w:t>
      </w:r>
    </w:p>
    <w:p>
      <w:pPr>
        <w:spacing w:after="0" w:line="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following tables set forth certain information regarding each of the Company’s reportable segments for the three months ended March 31, 2019 and 2018, respectively.</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CODM evaluates business segment performance on Adjusted EBITDA, a non-GAAP measure that excludes certain items as described in the reconciliation of the Company’s consolidated net loss to Adjusted EBITDA reconciliation below. Management believes that evaluating segment performance excluding such items is meaningful because it provides insight with respect to intrinsic operating results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37730"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35"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FFFFFF"/>
        </w:rPr>
        <w:t>Three Months Ended March 31, 2019</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1500" w:type="dxa"/>
            <w:vAlign w:val="bottom"/>
            <w:shd w:val="clear" w:color="auto" w:fill="008A5F"/>
          </w:tcPr>
          <w:p>
            <w:pPr>
              <w:spacing w:after="0"/>
              <w:rPr>
                <w:sz w:val="16"/>
                <w:szCs w:val="16"/>
                <w:color w:val="auto"/>
              </w:rPr>
            </w:pPr>
          </w:p>
        </w:tc>
        <w:tc>
          <w:tcPr>
            <w:tcW w:w="100" w:type="dxa"/>
            <w:vAlign w:val="bottom"/>
            <w:shd w:val="clear" w:color="auto" w:fill="008A5F"/>
          </w:tcPr>
          <w:p>
            <w:pPr>
              <w:spacing w:after="0"/>
              <w:rPr>
                <w:sz w:val="16"/>
                <w:szCs w:val="16"/>
                <w:color w:val="auto"/>
              </w:rPr>
            </w:pPr>
          </w:p>
        </w:tc>
        <w:tc>
          <w:tcPr>
            <w:tcW w:w="180" w:type="dxa"/>
            <w:vAlign w:val="bottom"/>
            <w:shd w:val="clear" w:color="auto" w:fill="008A5F"/>
          </w:tcPr>
          <w:p>
            <w:pPr>
              <w:spacing w:after="0"/>
              <w:rPr>
                <w:sz w:val="16"/>
                <w:szCs w:val="16"/>
                <w:color w:val="auto"/>
              </w:rPr>
            </w:pPr>
          </w:p>
        </w:tc>
        <w:tc>
          <w:tcPr>
            <w:tcW w:w="16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340" w:type="dxa"/>
            <w:vAlign w:val="bottom"/>
            <w:shd w:val="clear" w:color="auto" w:fill="008A5F"/>
          </w:tcPr>
          <w:p>
            <w:pPr>
              <w:spacing w:after="0"/>
              <w:rPr>
                <w:sz w:val="16"/>
                <w:szCs w:val="16"/>
                <w:color w:val="auto"/>
              </w:rPr>
            </w:pPr>
          </w:p>
        </w:tc>
      </w:tr>
      <w:tr>
        <w:trPr>
          <w:trHeight w:val="236"/>
        </w:trPr>
        <w:tc>
          <w:tcPr>
            <w:tcW w:w="6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20" w:type="dxa"/>
            <w:vAlign w:val="bottom"/>
            <w:shd w:val="clear" w:color="auto" w:fill="008A5F"/>
          </w:tcPr>
          <w:p>
            <w:pPr>
              <w:spacing w:after="0"/>
              <w:rPr>
                <w:sz w:val="20"/>
                <w:szCs w:val="20"/>
                <w:color w:val="auto"/>
              </w:rPr>
            </w:pPr>
          </w:p>
        </w:tc>
        <w:tc>
          <w:tcPr>
            <w:tcW w:w="1600" w:type="dxa"/>
            <w:vAlign w:val="bottom"/>
            <w:gridSpan w:val="2"/>
            <w:shd w:val="clear" w:color="auto" w:fill="008A5F"/>
          </w:tcPr>
          <w:p>
            <w:pPr>
              <w:ind w:left="120"/>
              <w:spacing w:after="0"/>
              <w:rPr>
                <w:sz w:val="20"/>
                <w:szCs w:val="20"/>
                <w:color w:val="auto"/>
              </w:rPr>
            </w:pPr>
            <w:r>
              <w:rPr>
                <w:rFonts w:ascii="Arial" w:cs="Arial" w:eastAsia="Arial" w:hAnsi="Arial"/>
                <w:sz w:val="16"/>
                <w:szCs w:val="16"/>
                <w:b w:val="1"/>
                <w:bCs w:val="1"/>
                <w:color w:val="FFFFFF"/>
              </w:rPr>
              <w:t>Modular - US</w:t>
            </w:r>
          </w:p>
        </w:tc>
        <w:tc>
          <w:tcPr>
            <w:tcW w:w="180" w:type="dxa"/>
            <w:vAlign w:val="bottom"/>
            <w:shd w:val="clear" w:color="auto" w:fill="008A5F"/>
          </w:tcPr>
          <w:p>
            <w:pPr>
              <w:spacing w:after="0"/>
              <w:rPr>
                <w:sz w:val="20"/>
                <w:szCs w:val="20"/>
                <w:color w:val="auto"/>
              </w:rPr>
            </w:pPr>
          </w:p>
        </w:tc>
        <w:tc>
          <w:tcPr>
            <w:tcW w:w="1660" w:type="dxa"/>
            <w:vAlign w:val="bottom"/>
            <w:gridSpan w:val="2"/>
            <w:shd w:val="clear" w:color="auto" w:fill="008A5F"/>
          </w:tcPr>
          <w:p>
            <w:pPr>
              <w:ind w:left="10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20"/>
                <w:szCs w:val="20"/>
                <w:color w:val="auto"/>
              </w:rPr>
            </w:pPr>
          </w:p>
        </w:tc>
        <w:tc>
          <w:tcPr>
            <w:tcW w:w="134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Total</w:t>
            </w:r>
          </w:p>
        </w:tc>
      </w:tr>
      <w:tr>
        <w:trPr>
          <w:trHeight w:val="216"/>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E7E7E8"/>
          </w:tcPr>
          <w:p>
            <w:pPr>
              <w:spacing w:after="0"/>
              <w:rPr>
                <w:sz w:val="18"/>
                <w:szCs w:val="18"/>
                <w:color w:val="auto"/>
              </w:rPr>
            </w:pPr>
          </w:p>
        </w:tc>
        <w:tc>
          <w:tcPr>
            <w:tcW w:w="150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180" w:type="dxa"/>
            <w:vAlign w:val="bottom"/>
            <w:shd w:val="clear" w:color="auto" w:fill="E7E7E8"/>
          </w:tcPr>
          <w:p>
            <w:pPr>
              <w:spacing w:after="0"/>
              <w:rPr>
                <w:sz w:val="18"/>
                <w:szCs w:val="18"/>
                <w:color w:val="auto"/>
              </w:rPr>
            </w:pPr>
          </w:p>
        </w:tc>
        <w:tc>
          <w:tcPr>
            <w:tcW w:w="1540" w:type="dxa"/>
            <w:vAlign w:val="bottom"/>
            <w:shd w:val="clear" w:color="auto" w:fill="E7E7E8"/>
          </w:tcPr>
          <w:p>
            <w:pPr>
              <w:spacing w:after="0"/>
              <w:rPr>
                <w:sz w:val="18"/>
                <w:szCs w:val="18"/>
                <w:color w:val="auto"/>
              </w:rPr>
            </w:pPr>
          </w:p>
        </w:tc>
        <w:tc>
          <w:tcPr>
            <w:tcW w:w="120" w:type="dxa"/>
            <w:vAlign w:val="bottom"/>
            <w:shd w:val="clear" w:color="auto" w:fill="E7E7E8"/>
          </w:tcPr>
          <w:p>
            <w:pPr>
              <w:spacing w:after="0"/>
              <w:rPr>
                <w:sz w:val="18"/>
                <w:szCs w:val="18"/>
                <w:color w:val="auto"/>
              </w:rPr>
            </w:pPr>
          </w:p>
        </w:tc>
        <w:tc>
          <w:tcPr>
            <w:tcW w:w="360" w:type="dxa"/>
            <w:vAlign w:val="bottom"/>
            <w:shd w:val="clear" w:color="auto" w:fill="E7E7E8"/>
          </w:tcPr>
          <w:p>
            <w:pPr>
              <w:spacing w:after="0"/>
              <w:rPr>
                <w:sz w:val="18"/>
                <w:szCs w:val="18"/>
                <w:color w:val="auto"/>
              </w:rPr>
            </w:pPr>
          </w:p>
        </w:tc>
        <w:tc>
          <w:tcPr>
            <w:tcW w:w="1340" w:type="dxa"/>
            <w:vAlign w:val="bottom"/>
            <w:shd w:val="clear" w:color="auto" w:fill="E7E7E8"/>
          </w:tcPr>
          <w:p>
            <w:pPr>
              <w:spacing w:after="0"/>
              <w:rPr>
                <w:sz w:val="18"/>
                <w:szCs w:val="18"/>
                <w:color w:val="auto"/>
              </w:rPr>
            </w:pPr>
          </w:p>
        </w:tc>
      </w:tr>
      <w:tr>
        <w:trPr>
          <w:trHeight w:val="235"/>
        </w:trPr>
        <w:tc>
          <w:tcPr>
            <w:tcW w:w="604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162,800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15,422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178,222</w:t>
            </w:r>
          </w:p>
        </w:tc>
      </w:tr>
      <w:tr>
        <w:trPr>
          <w:trHeight w:val="235"/>
        </w:trPr>
        <w:tc>
          <w:tcPr>
            <w:tcW w:w="604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50,281</w:t>
            </w: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604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14,904</w:t>
            </w:r>
          </w:p>
        </w:tc>
      </w:tr>
      <w:tr>
        <w:trPr>
          <w:trHeight w:val="251"/>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8,371</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3,230</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11,601</w:t>
            </w:r>
          </w:p>
        </w:tc>
      </w:tr>
      <w:tr>
        <w:trPr>
          <w:trHeight w:val="229"/>
        </w:trPr>
        <w:tc>
          <w:tcPr>
            <w:tcW w:w="60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231,476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23,532</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255,008</w:t>
            </w:r>
          </w:p>
        </w:tc>
      </w:tr>
      <w:tr>
        <w:trPr>
          <w:trHeight w:val="116"/>
        </w:trPr>
        <w:tc>
          <w:tcPr>
            <w:tcW w:w="6040" w:type="dxa"/>
            <w:vAlign w:val="bottom"/>
            <w:shd w:val="clear" w:color="auto" w:fill="E7E7E8"/>
          </w:tcPr>
          <w:p>
            <w:pPr>
              <w:spacing w:after="0"/>
              <w:rPr>
                <w:sz w:val="10"/>
                <w:szCs w:val="10"/>
                <w:color w:val="auto"/>
              </w:rPr>
            </w:pPr>
          </w:p>
        </w:tc>
        <w:tc>
          <w:tcPr>
            <w:tcW w:w="220" w:type="dxa"/>
            <w:vAlign w:val="bottom"/>
            <w:shd w:val="clear" w:color="auto" w:fill="E7E7E8"/>
          </w:tcPr>
          <w:p>
            <w:pPr>
              <w:spacing w:after="0"/>
              <w:rPr>
                <w:sz w:val="10"/>
                <w:szCs w:val="10"/>
                <w:color w:val="auto"/>
              </w:rPr>
            </w:pPr>
          </w:p>
        </w:tc>
        <w:tc>
          <w:tcPr>
            <w:tcW w:w="150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540" w:type="dxa"/>
            <w:vAlign w:val="bottom"/>
            <w:shd w:val="clear" w:color="auto" w:fill="E7E7E8"/>
          </w:tcPr>
          <w:p>
            <w:pPr>
              <w:spacing w:after="0"/>
              <w:rPr>
                <w:sz w:val="10"/>
                <w:szCs w:val="10"/>
                <w:color w:val="auto"/>
              </w:rPr>
            </w:pPr>
          </w:p>
        </w:tc>
        <w:tc>
          <w:tcPr>
            <w:tcW w:w="12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340" w:type="dxa"/>
            <w:vAlign w:val="bottom"/>
            <w:shd w:val="clear" w:color="auto" w:fill="E7E7E8"/>
          </w:tcPr>
          <w:p>
            <w:pPr>
              <w:spacing w:after="0"/>
              <w:rPr>
                <w:sz w:val="10"/>
                <w:szCs w:val="10"/>
                <w:color w:val="auto"/>
              </w:rPr>
            </w:pPr>
          </w:p>
        </w:tc>
      </w:tr>
      <w:tr>
        <w:trPr>
          <w:trHeight w:val="235"/>
        </w:trPr>
        <w:tc>
          <w:tcPr>
            <w:tcW w:w="6040" w:type="dxa"/>
            <w:vAlign w:val="bottom"/>
          </w:tcPr>
          <w:p>
            <w:pPr>
              <w:ind w:left="2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604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43,883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3,352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47,235</w:t>
            </w:r>
          </w:p>
        </w:tc>
      </w:tr>
      <w:tr>
        <w:trPr>
          <w:trHeight w:val="251"/>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39,751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3,592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43,343</w:t>
            </w:r>
          </w:p>
        </w:tc>
      </w:tr>
      <w:tr>
        <w:trPr>
          <w:trHeight w:val="235"/>
        </w:trPr>
        <w:tc>
          <w:tcPr>
            <w:tcW w:w="60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604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10,250</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10,878</w:t>
            </w:r>
          </w:p>
        </w:tc>
      </w:tr>
      <w:tr>
        <w:trPr>
          <w:trHeight w:val="235"/>
        </w:trPr>
        <w:tc>
          <w:tcPr>
            <w:tcW w:w="604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7,795</w:t>
            </w: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220" w:type="dxa"/>
            <w:vAlign w:val="bottom"/>
            <w:tcBorders>
              <w:bottom w:val="single" w:sz="8" w:color="auto"/>
            </w:tcBorders>
            <w:shd w:val="clear" w:color="auto" w:fill="E7E7E8"/>
          </w:tcPr>
          <w:p>
            <w:pPr>
              <w:spacing w:after="0"/>
              <w:rPr>
                <w:sz w:val="21"/>
                <w:szCs w:val="21"/>
                <w:color w:val="auto"/>
              </w:rPr>
            </w:pPr>
          </w:p>
        </w:tc>
        <w:tc>
          <w:tcPr>
            <w:tcW w:w="15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36,473</w:t>
            </w:r>
          </w:p>
        </w:tc>
        <w:tc>
          <w:tcPr>
            <w:tcW w:w="100" w:type="dxa"/>
            <w:vAlign w:val="bottom"/>
            <w:shd w:val="clear" w:color="auto" w:fill="E7E7E8"/>
          </w:tcPr>
          <w:p>
            <w:pPr>
              <w:spacing w:after="0"/>
              <w:rPr>
                <w:sz w:val="21"/>
                <w:szCs w:val="21"/>
                <w:color w:val="auto"/>
              </w:rPr>
            </w:pPr>
          </w:p>
        </w:tc>
        <w:tc>
          <w:tcPr>
            <w:tcW w:w="180" w:type="dxa"/>
            <w:vAlign w:val="bottom"/>
            <w:tcBorders>
              <w:bottom w:val="single" w:sz="8" w:color="auto"/>
            </w:tcBorders>
            <w:shd w:val="clear" w:color="auto" w:fill="E7E7E8"/>
          </w:tcPr>
          <w:p>
            <w:pPr>
              <w:spacing w:after="0"/>
              <w:rPr>
                <w:sz w:val="21"/>
                <w:szCs w:val="21"/>
                <w:color w:val="auto"/>
              </w:rPr>
            </w:pPr>
          </w:p>
        </w:tc>
        <w:tc>
          <w:tcPr>
            <w:tcW w:w="15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4,630</w:t>
            </w:r>
          </w:p>
        </w:tc>
        <w:tc>
          <w:tcPr>
            <w:tcW w:w="12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3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41,103</w:t>
            </w:r>
          </w:p>
        </w:tc>
      </w:tr>
      <w:tr>
        <w:trPr>
          <w:trHeight w:val="229"/>
        </w:trPr>
        <w:tc>
          <w:tcPr>
            <w:tcW w:w="604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95,250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9,404</w:t>
            </w:r>
          </w:p>
        </w:tc>
        <w:tc>
          <w:tcPr>
            <w:tcW w:w="1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104,654</w:t>
            </w: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220" w:type="dxa"/>
            <w:vAlign w:val="bottom"/>
            <w:shd w:val="clear" w:color="auto" w:fill="E7E7E8"/>
          </w:tcPr>
          <w:p>
            <w:pPr>
              <w:spacing w:after="0"/>
              <w:rPr>
                <w:sz w:val="21"/>
                <w:szCs w:val="21"/>
                <w:color w:val="auto"/>
              </w:rPr>
            </w:pPr>
          </w:p>
        </w:tc>
        <w:tc>
          <w:tcPr>
            <w:tcW w:w="15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spacing w:after="0"/>
              <w:rPr>
                <w:sz w:val="21"/>
                <w:szCs w:val="21"/>
                <w:color w:val="auto"/>
              </w:rPr>
            </w:pPr>
          </w:p>
        </w:tc>
        <w:tc>
          <w:tcPr>
            <w:tcW w:w="154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340" w:type="dxa"/>
            <w:vAlign w:val="bottom"/>
            <w:shd w:val="clear" w:color="auto" w:fill="E7E7E8"/>
          </w:tcPr>
          <w:p>
            <w:pPr>
              <w:spacing w:after="0"/>
              <w:rPr>
                <w:sz w:val="21"/>
                <w:szCs w:val="21"/>
                <w:color w:val="auto"/>
              </w:rPr>
            </w:pPr>
          </w:p>
        </w:tc>
      </w:tr>
      <w:tr>
        <w:trPr>
          <w:trHeight w:val="235"/>
        </w:trPr>
        <w:tc>
          <w:tcPr>
            <w:tcW w:w="60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76,768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7,740</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84,508</w:t>
            </w: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66,405</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73,485</w:t>
            </w:r>
          </w:p>
        </w:tc>
      </w:tr>
      <w:tr>
        <w:trPr>
          <w:trHeight w:val="235"/>
        </w:trPr>
        <w:tc>
          <w:tcPr>
            <w:tcW w:w="604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3,004</w:t>
            </w:r>
          </w:p>
        </w:tc>
      </w:tr>
      <w:tr>
        <w:trPr>
          <w:trHeight w:val="251"/>
        </w:trPr>
        <w:tc>
          <w:tcPr>
            <w:tcW w:w="6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2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49,921</w:t>
            </w:r>
          </w:p>
        </w:tc>
        <w:tc>
          <w:tcPr>
            <w:tcW w:w="100" w:type="dxa"/>
            <w:vAlign w:val="bottom"/>
            <w:shd w:val="clear" w:color="auto" w:fill="E7E7E8"/>
          </w:tcPr>
          <w:p>
            <w:pPr>
              <w:spacing w:after="0"/>
              <w:rPr>
                <w:sz w:val="21"/>
                <w:szCs w:val="21"/>
                <w:color w:val="auto"/>
              </w:rPr>
            </w:pP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1,952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094" w:right="239" w:bottom="1440" w:gutter="0" w:footer="0" w:header="0"/>
        </w:sectPr>
      </w:pPr>
    </w:p>
    <w:bookmarkStart w:id="24" w:name="page25"/>
    <w:bookmarkEnd w:id="24"/>
    <w:p>
      <w:pPr>
        <w:ind w:left="750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157480</wp:posOffset>
            </wp:positionH>
            <wp:positionV relativeFrom="page">
              <wp:posOffset>723265</wp:posOffset>
            </wp:positionV>
            <wp:extent cx="7237730" cy="394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394335"/>
                    </a:xfrm>
                    <a:prstGeom prst="rect">
                      <a:avLst/>
                    </a:prstGeom>
                    <a:noFill/>
                  </pic:spPr>
                </pic:pic>
              </a:graphicData>
            </a:graphic>
          </wp:anchor>
        </w:drawing>
        <w:t>Three Months Ended March 31, 2018</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Leasing and services revenue:</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87,948</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9,314</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97,262</w:t>
            </w:r>
          </w:p>
        </w:tc>
        <w:tc>
          <w:tcPr>
            <w:tcW w:w="0" w:type="dxa"/>
            <w:vAlign w:val="bottom"/>
          </w:tcPr>
          <w:p>
            <w:pPr>
              <w:spacing w:after="0"/>
              <w:rPr>
                <w:sz w:val="1"/>
                <w:szCs w:val="1"/>
                <w:color w:val="auto"/>
              </w:rPr>
            </w:pP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23,970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26,250</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Sales: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7,428</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122,087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12,664</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134,751</w:t>
            </w:r>
          </w:p>
        </w:tc>
        <w:tc>
          <w:tcPr>
            <w:tcW w:w="0" w:type="dxa"/>
            <w:vAlign w:val="bottom"/>
          </w:tcPr>
          <w:p>
            <w:pPr>
              <w:spacing w:after="0"/>
              <w:rPr>
                <w:sz w:val="1"/>
                <w:szCs w:val="1"/>
                <w:color w:val="auto"/>
              </w:rPr>
            </w:pPr>
          </w:p>
        </w:tc>
      </w:tr>
      <w:tr>
        <w:trPr>
          <w:trHeight w:val="116"/>
        </w:trPr>
        <w:tc>
          <w:tcPr>
            <w:tcW w:w="6460" w:type="dxa"/>
            <w:vAlign w:val="bottom"/>
            <w:shd w:val="clear" w:color="auto" w:fill="E7E7E8"/>
          </w:tcPr>
          <w:p>
            <w:pPr>
              <w:spacing w:after="0"/>
              <w:rPr>
                <w:sz w:val="10"/>
                <w:szCs w:val="10"/>
                <w:color w:val="auto"/>
              </w:rPr>
            </w:pPr>
          </w:p>
        </w:tc>
        <w:tc>
          <w:tcPr>
            <w:tcW w:w="180" w:type="dxa"/>
            <w:vAlign w:val="bottom"/>
            <w:shd w:val="clear" w:color="auto" w:fill="E7E7E8"/>
          </w:tcPr>
          <w:p>
            <w:pPr>
              <w:spacing w:after="0"/>
              <w:rPr>
                <w:sz w:val="10"/>
                <w:szCs w:val="10"/>
                <w:color w:val="auto"/>
              </w:rPr>
            </w:pPr>
          </w:p>
        </w:tc>
        <w:tc>
          <w:tcPr>
            <w:tcW w:w="140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140" w:type="dxa"/>
            <w:vAlign w:val="bottom"/>
            <w:shd w:val="clear" w:color="auto" w:fill="E7E7E8"/>
          </w:tcPr>
          <w:p>
            <w:pPr>
              <w:spacing w:after="0"/>
              <w:rPr>
                <w:sz w:val="10"/>
                <w:szCs w:val="10"/>
                <w:color w:val="auto"/>
              </w:rPr>
            </w:pPr>
          </w:p>
        </w:tc>
        <w:tc>
          <w:tcPr>
            <w:tcW w:w="144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360" w:type="dxa"/>
            <w:vAlign w:val="bottom"/>
            <w:shd w:val="clear" w:color="auto" w:fill="E7E7E8"/>
          </w:tcPr>
          <w:p>
            <w:pPr>
              <w:spacing w:after="0"/>
              <w:rPr>
                <w:sz w:val="10"/>
                <w:szCs w:val="10"/>
                <w:color w:val="auto"/>
              </w:rPr>
            </w:pPr>
          </w:p>
        </w:tc>
        <w:tc>
          <w:tcPr>
            <w:tcW w:w="122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Costs: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 of leasing and services: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Modular leasing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25,057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27,162</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Modular delivery and installation</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22,940</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2,581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25,521</w:t>
            </w:r>
          </w:p>
        </w:tc>
        <w:tc>
          <w:tcPr>
            <w:tcW w:w="0" w:type="dxa"/>
            <w:vAlign w:val="bottom"/>
          </w:tcPr>
          <w:p>
            <w:pPr>
              <w:spacing w:after="0"/>
              <w:rPr>
                <w:sz w:val="1"/>
                <w:szCs w:val="1"/>
                <w:color w:val="auto"/>
              </w:rPr>
            </w:pP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40"/>
              <w:spacing w:after="0"/>
              <w:rPr>
                <w:sz w:val="20"/>
                <w:szCs w:val="20"/>
                <w:color w:val="auto"/>
              </w:rPr>
            </w:pPr>
            <w:r>
              <w:rPr>
                <w:rFonts w:ascii="Arial" w:cs="Arial" w:eastAsia="Arial" w:hAnsi="Arial"/>
                <w:sz w:val="16"/>
                <w:szCs w:val="16"/>
                <w:color w:val="auto"/>
              </w:rPr>
              <w:t>New units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4,566</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4,987</w:t>
            </w:r>
          </w:p>
        </w:tc>
        <w:tc>
          <w:tcPr>
            <w:tcW w:w="0" w:type="dxa"/>
            <w:vAlign w:val="bottom"/>
          </w:tcPr>
          <w:p>
            <w:pPr>
              <w:spacing w:after="0"/>
              <w:rPr>
                <w:sz w:val="1"/>
                <w:szCs w:val="1"/>
                <w:color w:val="auto"/>
              </w:rPr>
            </w:pPr>
          </w:p>
        </w:tc>
      </w:tr>
      <w:tr>
        <w:trPr>
          <w:trHeight w:val="235"/>
        </w:trPr>
        <w:tc>
          <w:tcPr>
            <w:tcW w:w="6460" w:type="dxa"/>
            <w:vAlign w:val="bottom"/>
          </w:tcPr>
          <w:p>
            <w:pPr>
              <w:ind w:left="240"/>
              <w:spacing w:after="0"/>
              <w:rPr>
                <w:sz w:val="20"/>
                <w:szCs w:val="20"/>
                <w:color w:val="auto"/>
              </w:rPr>
            </w:pPr>
            <w:r>
              <w:rPr>
                <w:rFonts w:ascii="Arial" w:cs="Arial" w:eastAsia="Arial" w:hAnsi="Arial"/>
                <w:sz w:val="16"/>
                <w:szCs w:val="16"/>
                <w:color w:val="auto"/>
              </w:rPr>
              <w:t>Rental units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Depreciation of rental equipment</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3,158</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23,845</w:t>
            </w:r>
          </w:p>
        </w:tc>
        <w:tc>
          <w:tcPr>
            <w:tcW w:w="0" w:type="dxa"/>
            <w:vAlign w:val="bottom"/>
          </w:tcPr>
          <w:p>
            <w:pPr>
              <w:spacing w:after="0"/>
              <w:rPr>
                <w:sz w:val="1"/>
                <w:szCs w:val="1"/>
                <w:color w:val="auto"/>
              </w:rPr>
            </w:pPr>
          </w:p>
        </w:tc>
      </w:tr>
      <w:tr>
        <w:trPr>
          <w:trHeight w:val="229"/>
        </w:trPr>
        <w:tc>
          <w:tcPr>
            <w:tcW w:w="6460" w:type="dxa"/>
            <w:vAlign w:val="bottom"/>
          </w:tcPr>
          <w:p>
            <w:pPr>
              <w:ind w:left="46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46,808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4,113</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50,921</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Other selected data:</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32,612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35,492</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40,821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4,393</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45,214</w:t>
            </w:r>
          </w:p>
        </w:tc>
        <w:tc>
          <w:tcPr>
            <w:tcW w:w="0" w:type="dxa"/>
            <w:vAlign w:val="bottom"/>
          </w:tcPr>
          <w:p>
            <w:pPr>
              <w:spacing w:after="0"/>
              <w:rPr>
                <w:sz w:val="1"/>
                <w:szCs w:val="1"/>
                <w:color w:val="auto"/>
              </w:rPr>
            </w:pP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Other depreciation and amortization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Capital expenditures for rental fleet</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30,524</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1,560</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32,084</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tables present a reconciliation of the Company’s (loss) income from operations before income tax to Adjusted EBITDA by segment for the three months ended March 31, 2019 and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37730"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394335"/>
                    </a:xfrm>
                    <a:prstGeom prst="rect">
                      <a:avLst/>
                    </a:prstGeom>
                    <a:noFill/>
                  </pic:spPr>
                </pic:pic>
              </a:graphicData>
            </a:graphic>
          </wp:anchor>
        </w:drawing>
      </w:r>
    </w:p>
    <w:p>
      <w:pPr>
        <w:spacing w:after="0" w:line="18"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FFFFFF"/>
        </w:rPr>
        <w:t>Three Months Ended March 31,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8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10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40"/>
              <w:spacing w:after="0"/>
              <w:rPr>
                <w:sz w:val="20"/>
                <w:szCs w:val="20"/>
                <w:color w:val="auto"/>
              </w:rPr>
            </w:pPr>
            <w:r>
              <w:rPr>
                <w:rFonts w:ascii="Arial" w:cs="Arial" w:eastAsia="Arial" w:hAnsi="Arial"/>
                <w:sz w:val="16"/>
                <w:szCs w:val="16"/>
                <w:b w:val="1"/>
                <w:bCs w:val="1"/>
                <w:color w:val="FFFFFF"/>
              </w:rPr>
              <w:t>Modular - Other</w:t>
            </w:r>
          </w:p>
        </w:tc>
        <w:tc>
          <w:tcPr>
            <w:tcW w:w="360" w:type="dxa"/>
            <w:vAlign w:val="bottom"/>
            <w:shd w:val="clear" w:color="auto" w:fill="008A5F"/>
          </w:tcPr>
          <w:p>
            <w:pPr>
              <w:spacing w:after="0"/>
              <w:rPr>
                <w:sz w:val="16"/>
                <w:szCs w:val="16"/>
                <w:color w:val="auto"/>
              </w:rPr>
            </w:pPr>
          </w:p>
        </w:tc>
        <w:tc>
          <w:tcPr>
            <w:tcW w:w="122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60" w:type="dxa"/>
            <w:vAlign w:val="bottom"/>
            <w:vMerge w:val="continue"/>
          </w:tcPr>
          <w:p>
            <w:pPr>
              <w:spacing w:after="0"/>
              <w:rPr>
                <w:sz w:val="18"/>
                <w:szCs w:val="18"/>
                <w:color w:val="auto"/>
              </w:rPr>
            </w:pPr>
          </w:p>
        </w:tc>
        <w:tc>
          <w:tcPr>
            <w:tcW w:w="18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60" w:type="dxa"/>
            <w:vAlign w:val="bottom"/>
            <w:shd w:val="clear" w:color="auto" w:fill="008A5F"/>
          </w:tcPr>
          <w:p>
            <w:pPr>
              <w:spacing w:after="0"/>
              <w:rPr>
                <w:sz w:val="18"/>
                <w:szCs w:val="18"/>
                <w:color w:val="auto"/>
              </w:rPr>
            </w:pPr>
          </w:p>
        </w:tc>
        <w:tc>
          <w:tcPr>
            <w:tcW w:w="122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income from operations before income taxes</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(11,122)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(10,783)</w:t>
            </w:r>
          </w:p>
        </w:tc>
        <w:tc>
          <w:tcPr>
            <w:tcW w:w="0" w:type="dxa"/>
            <w:vAlign w:val="bottom"/>
          </w:tcPr>
          <w:p>
            <w:pPr>
              <w:spacing w:after="0"/>
              <w:rPr>
                <w:sz w:val="1"/>
                <w:szCs w:val="1"/>
                <w:color w:val="auto"/>
              </w:rPr>
            </w:pPr>
          </w:p>
        </w:tc>
      </w:tr>
      <w:tr>
        <w:trPr>
          <w:trHeight w:val="235"/>
        </w:trPr>
        <w:tc>
          <w:tcPr>
            <w:tcW w:w="64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31,236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31,972</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39,199</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44,107</w:t>
            </w:r>
          </w:p>
        </w:tc>
        <w:tc>
          <w:tcPr>
            <w:tcW w:w="0" w:type="dxa"/>
            <w:vAlign w:val="bottom"/>
          </w:tcPr>
          <w:p>
            <w:pPr>
              <w:spacing w:after="0"/>
              <w:rPr>
                <w:sz w:val="1"/>
                <w:szCs w:val="1"/>
                <w:color w:val="auto"/>
              </w:rPr>
            </w:pPr>
          </w:p>
        </w:tc>
      </w:tr>
      <w:tr>
        <w:trPr>
          <w:trHeight w:val="235"/>
        </w:trPr>
        <w:tc>
          <w:tcPr>
            <w:tcW w:w="6460" w:type="dxa"/>
            <w:vAlign w:val="bottom"/>
          </w:tcPr>
          <w:p>
            <w:pPr>
              <w:ind w:left="220"/>
              <w:spacing w:after="0"/>
              <w:rPr>
                <w:sz w:val="20"/>
                <w:szCs w:val="20"/>
                <w:color w:val="auto"/>
              </w:rPr>
            </w:pPr>
            <w:r>
              <w:rPr>
                <w:rFonts w:ascii="Arial" w:cs="Arial" w:eastAsia="Arial" w:hAnsi="Arial"/>
                <w:sz w:val="16"/>
                <w:szCs w:val="16"/>
                <w:color w:val="auto"/>
              </w:rPr>
              <w:t>Currency gains, net</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Goodwill and other impairments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1,801</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35"/>
        </w:trPr>
        <w:tc>
          <w:tcPr>
            <w:tcW w:w="646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5,953</w:t>
            </w:r>
          </w:p>
        </w:tc>
        <w:tc>
          <w:tcPr>
            <w:tcW w:w="0" w:type="dxa"/>
            <w:vAlign w:val="bottom"/>
          </w:tcPr>
          <w:p>
            <w:pPr>
              <w:spacing w:after="0"/>
              <w:rPr>
                <w:sz w:val="1"/>
                <w:szCs w:val="1"/>
                <w:color w:val="auto"/>
              </w:rPr>
            </w:pPr>
          </w:p>
        </w:tc>
      </w:tr>
      <w:tr>
        <w:trPr>
          <w:trHeight w:val="251"/>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Integration costs</w:t>
            </w:r>
          </w:p>
        </w:tc>
        <w:tc>
          <w:tcPr>
            <w:tcW w:w="18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9,352</w:t>
            </w:r>
          </w:p>
        </w:tc>
        <w:tc>
          <w:tcPr>
            <w:tcW w:w="10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10,138</w:t>
            </w:r>
          </w:p>
        </w:tc>
        <w:tc>
          <w:tcPr>
            <w:tcW w:w="0" w:type="dxa"/>
            <w:vAlign w:val="bottom"/>
          </w:tcPr>
          <w:p>
            <w:pPr>
              <w:spacing w:after="0"/>
              <w:rPr>
                <w:sz w:val="1"/>
                <w:szCs w:val="1"/>
                <w:color w:val="auto"/>
              </w:rPr>
            </w:pPr>
          </w:p>
        </w:tc>
      </w:tr>
      <w:tr>
        <w:trPr>
          <w:trHeight w:val="235"/>
        </w:trPr>
        <w:tc>
          <w:tcPr>
            <w:tcW w:w="646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44"/>
        </w:trPr>
        <w:tc>
          <w:tcPr>
            <w:tcW w:w="646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shd w:val="clear" w:color="auto" w:fill="E7E7E8"/>
          </w:tcPr>
          <w:p>
            <w:pPr>
              <w:spacing w:after="0"/>
              <w:rPr>
                <w:sz w:val="21"/>
                <w:szCs w:val="21"/>
                <w:color w:val="auto"/>
              </w:rPr>
            </w:pPr>
          </w:p>
        </w:tc>
        <w:tc>
          <w:tcPr>
            <w:tcW w:w="1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E7E7E8"/>
          </w:tcPr>
          <w:p>
            <w:pPr>
              <w:spacing w:after="0"/>
              <w:rPr>
                <w:sz w:val="21"/>
                <w:szCs w:val="21"/>
                <w:color w:val="auto"/>
              </w:rPr>
            </w:pPr>
          </w:p>
        </w:tc>
        <w:tc>
          <w:tcPr>
            <w:tcW w:w="360" w:type="dxa"/>
            <w:vAlign w:val="bottom"/>
            <w:tcBorders>
              <w:bottom w:val="single" w:sz="8" w:color="auto"/>
            </w:tcBorders>
            <w:shd w:val="clear" w:color="auto" w:fill="E7E7E8"/>
          </w:tcPr>
          <w:p>
            <w:pPr>
              <w:spacing w:after="0"/>
              <w:rPr>
                <w:sz w:val="21"/>
                <w:szCs w:val="21"/>
                <w:color w:val="auto"/>
              </w:rPr>
            </w:pPr>
          </w:p>
        </w:tc>
        <w:tc>
          <w:tcPr>
            <w:tcW w:w="12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76,768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7,740</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46" w:right="259" w:bottom="1440" w:gutter="0" w:footer="0" w:header="0"/>
        </w:sectPr>
      </w:pPr>
    </w:p>
    <w:bookmarkStart w:id="25" w:name="page26"/>
    <w:bookmarkEnd w:id="25"/>
    <w:p>
      <w:pPr>
        <w:ind w:left="7520"/>
        <w:spacing w:after="0"/>
        <w:rPr>
          <w:sz w:val="20"/>
          <w:szCs w:val="20"/>
          <w:color w:val="auto"/>
        </w:rPr>
      </w:pPr>
      <w:r>
        <w:rPr>
          <w:rFonts w:ascii="Arial" w:cs="Arial" w:eastAsia="Arial" w:hAnsi="Arial"/>
          <w:sz w:val="16"/>
          <w:szCs w:val="16"/>
          <w:b w:val="1"/>
          <w:bCs w:val="1"/>
          <w:color w:val="FFFFFF"/>
        </w:rPr>
        <w:drawing>
          <wp:anchor simplePos="0" relativeHeight="251657728" behindDoc="1" locked="0" layoutInCell="0" allowOverlap="1">
            <wp:simplePos x="0" y="0"/>
            <wp:positionH relativeFrom="page">
              <wp:posOffset>166370</wp:posOffset>
            </wp:positionH>
            <wp:positionV relativeFrom="page">
              <wp:posOffset>783590</wp:posOffset>
            </wp:positionV>
            <wp:extent cx="723773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411480"/>
                    </a:xfrm>
                    <a:prstGeom prst="rect">
                      <a:avLst/>
                    </a:prstGeom>
                    <a:noFill/>
                  </pic:spPr>
                </pic:pic>
              </a:graphicData>
            </a:graphic>
          </wp:anchor>
        </w:drawing>
        <w:t>Three Months Ended March 31, 2018</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00" w:type="dxa"/>
            <w:vAlign w:val="bottom"/>
            <w:shd w:val="clear" w:color="auto" w:fill="008A5F"/>
          </w:tcPr>
          <w:p>
            <w:pPr>
              <w:spacing w:after="0"/>
              <w:rPr>
                <w:sz w:val="16"/>
                <w:szCs w:val="16"/>
                <w:color w:val="auto"/>
              </w:rPr>
            </w:pPr>
          </w:p>
        </w:tc>
        <w:tc>
          <w:tcPr>
            <w:tcW w:w="1500" w:type="dxa"/>
            <w:vAlign w:val="bottom"/>
            <w:gridSpan w:val="2"/>
            <w:vMerge w:val="restart"/>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US</w:t>
            </w:r>
          </w:p>
        </w:tc>
        <w:tc>
          <w:tcPr>
            <w:tcW w:w="140" w:type="dxa"/>
            <w:vAlign w:val="bottom"/>
            <w:shd w:val="clear" w:color="auto" w:fill="008A5F"/>
          </w:tcPr>
          <w:p>
            <w:pPr>
              <w:spacing w:after="0"/>
              <w:rPr>
                <w:sz w:val="16"/>
                <w:szCs w:val="16"/>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Modular - Other</w:t>
            </w:r>
          </w:p>
        </w:tc>
        <w:tc>
          <w:tcPr>
            <w:tcW w:w="340" w:type="dxa"/>
            <w:vAlign w:val="bottom"/>
            <w:shd w:val="clear" w:color="auto" w:fill="008A5F"/>
          </w:tcPr>
          <w:p>
            <w:pPr>
              <w:spacing w:after="0"/>
              <w:rPr>
                <w:sz w:val="16"/>
                <w:szCs w:val="16"/>
                <w:color w:val="auto"/>
              </w:rPr>
            </w:pPr>
          </w:p>
        </w:tc>
        <w:tc>
          <w:tcPr>
            <w:tcW w:w="124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200" w:type="dxa"/>
            <w:vAlign w:val="bottom"/>
            <w:shd w:val="clear" w:color="auto" w:fill="008A5F"/>
          </w:tcPr>
          <w:p>
            <w:pPr>
              <w:spacing w:after="0"/>
              <w:rPr>
                <w:sz w:val="18"/>
                <w:szCs w:val="18"/>
                <w:color w:val="auto"/>
              </w:rPr>
            </w:pPr>
          </w:p>
        </w:tc>
        <w:tc>
          <w:tcPr>
            <w:tcW w:w="1500" w:type="dxa"/>
            <w:vAlign w:val="bottom"/>
            <w:gridSpan w:val="2"/>
            <w:vMerge w:val="continue"/>
            <w:shd w:val="clear" w:color="auto" w:fill="008A5F"/>
          </w:tcPr>
          <w:p>
            <w:pPr>
              <w:spacing w:after="0"/>
              <w:rPr>
                <w:sz w:val="18"/>
                <w:szCs w:val="18"/>
                <w:color w:val="auto"/>
              </w:rPr>
            </w:pPr>
          </w:p>
        </w:tc>
        <w:tc>
          <w:tcPr>
            <w:tcW w:w="140" w:type="dxa"/>
            <w:vAlign w:val="bottom"/>
            <w:shd w:val="clear" w:color="auto" w:fill="008A5F"/>
          </w:tcPr>
          <w:p>
            <w:pPr>
              <w:spacing w:after="0"/>
              <w:rPr>
                <w:sz w:val="18"/>
                <w:szCs w:val="18"/>
                <w:color w:val="auto"/>
              </w:rPr>
            </w:pPr>
          </w:p>
        </w:tc>
        <w:tc>
          <w:tcPr>
            <w:tcW w:w="1540" w:type="dxa"/>
            <w:vAlign w:val="bottom"/>
            <w:gridSpan w:val="2"/>
            <w:shd w:val="clear" w:color="auto" w:fill="008A5F"/>
          </w:tcPr>
          <w:p>
            <w:pPr>
              <w:jc w:val="center"/>
              <w:ind w:right="260"/>
              <w:spacing w:after="0"/>
              <w:rPr>
                <w:sz w:val="20"/>
                <w:szCs w:val="20"/>
                <w:color w:val="auto"/>
              </w:rPr>
            </w:pPr>
            <w:r>
              <w:rPr>
                <w:rFonts w:ascii="Arial" w:cs="Arial" w:eastAsia="Arial" w:hAnsi="Arial"/>
                <w:sz w:val="16"/>
                <w:szCs w:val="16"/>
                <w:b w:val="1"/>
                <w:bCs w:val="1"/>
                <w:color w:val="FFFFFF"/>
              </w:rPr>
              <w:t>North America</w:t>
            </w:r>
          </w:p>
        </w:tc>
        <w:tc>
          <w:tcPr>
            <w:tcW w:w="340" w:type="dxa"/>
            <w:vAlign w:val="bottom"/>
            <w:shd w:val="clear" w:color="auto" w:fill="008A5F"/>
          </w:tcPr>
          <w:p>
            <w:pPr>
              <w:spacing w:after="0"/>
              <w:rPr>
                <w:sz w:val="18"/>
                <w:szCs w:val="18"/>
                <w:color w:val="auto"/>
              </w:rPr>
            </w:pPr>
          </w:p>
        </w:tc>
        <w:tc>
          <w:tcPr>
            <w:tcW w:w="1240" w:type="dxa"/>
            <w:vAlign w:val="bottom"/>
            <w:vMerge w:val="continue"/>
            <w:shd w:val="clear" w:color="auto" w:fill="008A5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2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(5,308)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(1,947)</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0" w:type="dxa"/>
            <w:vAlign w:val="bottom"/>
          </w:tcPr>
          <w:p>
            <w:pPr>
              <w:spacing w:after="0"/>
              <w:rPr>
                <w:sz w:val="1"/>
                <w:szCs w:val="1"/>
                <w:color w:val="auto"/>
              </w:rPr>
            </w:pPr>
          </w:p>
        </w:tc>
      </w:tr>
      <w:tr>
        <w:trPr>
          <w:trHeight w:val="235"/>
        </w:trPr>
        <w:tc>
          <w:tcPr>
            <w:tcW w:w="6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11,719</w:t>
            </w:r>
          </w:p>
        </w:tc>
        <w:tc>
          <w:tcPr>
            <w:tcW w:w="0" w:type="dxa"/>
            <w:vAlign w:val="bottom"/>
          </w:tcPr>
          <w:p>
            <w:pPr>
              <w:spacing w:after="0"/>
              <w:rPr>
                <w:sz w:val="1"/>
                <w:szCs w:val="1"/>
                <w:color w:val="auto"/>
              </w:rPr>
            </w:pPr>
          </w:p>
        </w:tc>
      </w:tr>
      <w:tr>
        <w:trPr>
          <w:trHeight w:val="251"/>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22,892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3,389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26,281</w:t>
            </w:r>
          </w:p>
        </w:tc>
        <w:tc>
          <w:tcPr>
            <w:tcW w:w="0" w:type="dxa"/>
            <w:vAlign w:val="bottom"/>
          </w:tcPr>
          <w:p>
            <w:pPr>
              <w:spacing w:after="0"/>
              <w:rPr>
                <w:sz w:val="1"/>
                <w:szCs w:val="1"/>
                <w:color w:val="auto"/>
              </w:rPr>
            </w:pPr>
          </w:p>
        </w:tc>
      </w:tr>
      <w:tr>
        <w:trPr>
          <w:trHeight w:val="235"/>
        </w:trPr>
        <w:tc>
          <w:tcPr>
            <w:tcW w:w="6440" w:type="dxa"/>
            <w:vAlign w:val="bottom"/>
          </w:tcPr>
          <w:p>
            <w:pPr>
              <w:ind w:left="220"/>
              <w:spacing w:after="0"/>
              <w:rPr>
                <w:sz w:val="20"/>
                <w:szCs w:val="20"/>
                <w:color w:val="auto"/>
              </w:rPr>
            </w:pPr>
            <w:r>
              <w:rPr>
                <w:rFonts w:ascii="Arial" w:cs="Arial" w:eastAsia="Arial" w:hAnsi="Arial"/>
                <w:sz w:val="16"/>
                <w:szCs w:val="16"/>
                <w:color w:val="auto"/>
              </w:rPr>
              <w:t>Currency losses,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51"/>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5"/>
        </w:trPr>
        <w:tc>
          <w:tcPr>
            <w:tcW w:w="644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51"/>
        </w:trPr>
        <w:tc>
          <w:tcPr>
            <w:tcW w:w="644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54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37"/>
        </w:trPr>
        <w:tc>
          <w:tcPr>
            <w:tcW w:w="644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expense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68"/>
        </w:trPr>
        <w:tc>
          <w:tcPr>
            <w:tcW w:w="64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32,612</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2,880</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35,492</w:t>
            </w:r>
          </w:p>
        </w:tc>
        <w:tc>
          <w:tcPr>
            <w:tcW w:w="0" w:type="dxa"/>
            <w:vAlign w:val="bottom"/>
          </w:tcPr>
          <w:p>
            <w:pPr>
              <w:spacing w:after="0"/>
              <w:rPr>
                <w:sz w:val="1"/>
                <w:szCs w:val="1"/>
                <w:color w:val="auto"/>
              </w:rPr>
            </w:pPr>
          </w:p>
        </w:tc>
      </w:tr>
      <w:tr>
        <w:trPr>
          <w:trHeight w:val="20"/>
        </w:trPr>
        <w:tc>
          <w:tcPr>
            <w:tcW w:w="6440" w:type="dxa"/>
            <w:vAlign w:val="bottom"/>
            <w:tcBorders>
              <w:top w:val="single" w:sz="8" w:color="E7E7E8"/>
            </w:tcBorders>
          </w:tcPr>
          <w:p>
            <w:pPr>
              <w:spacing w:after="0" w:line="20" w:lineRule="exact"/>
              <w:rPr>
                <w:sz w:val="1"/>
                <w:szCs w:val="1"/>
                <w:color w:val="auto"/>
              </w:rPr>
            </w:pPr>
          </w:p>
        </w:tc>
        <w:tc>
          <w:tcPr>
            <w:tcW w:w="20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44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24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23"/>
          <w:szCs w:val="23"/>
          <w:color w:val="008A5F"/>
        </w:rPr>
        <w:t>NOTE 16 - Loss Per Share</w:t>
      </w:r>
    </w:p>
    <w:p>
      <w:pPr>
        <w:spacing w:after="0" w:line="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Basic loss per share (“LPS”) is calculated by dividing net loss attributable to WillScot by the weighted average number of Class A common shares outstanding during the period. The common shares issued a result of the vesting of RSUs and RSAs as of March 31, 2019, were included in LPS based on the weighted average number of days in which they were vested and outstanding during the period. Concurrently with the Business Combination, 12,425,000 of WillScot's Class A common shares were placed into escrow by shareholders and became ineligible to vote or participate in the economic rewards available to the other Class A shareholders. Escrowed shares were therefore excluded from the LPS calculation while deposited in the escrow account. 6,212,500 of the escrowed shares were released to shareholders on January 19, 2018, and the remaining escrowed shares were released to shareholders on August 21, 2018.</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Class B common shares have no rights to dividends or distributions made by the Company and, in turn, are excluded from the LPS calculation.</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Diluted LPS is computed similarly to basic LPS, except that it includes the potential dilution that could occur if dilutive securities were exercised. Effects of potentially dilutive securities are presented only in periods in which they are dilutive. Stock options, Time-Based RSUs, Market-Based RSUs, and RSAs, representing 441,944, 1,117,953, 302,182, and 44,378 shares of Class A common stock outstanding for the three months ended March 31, 2019, were excluded from the computation of diluted earnings per share because their effect would have been anti-dilutive. Warrants representing 22,183,513 shares of Class A shares for the three months ended March 31, 2019, were excluded from the computation of diluted earnings per share because their effect would have been anti-dilutive.</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Pursuant to the exchange agreement entered into by WS Holding's shareholders, Sapphire has the right, but not the obligation, to exchange all, but not less than all, of its shares of WS Holdings into newly issued shares of WillScot’s Class A common stock in a private placement transaction. The impact of this exchange has been excluded from the computation of diluted earnings per share because the effect would have been anti-dilutive.</w:t>
      </w:r>
    </w:p>
    <w:p>
      <w:pPr>
        <w:spacing w:after="0" w:line="238" w:lineRule="exact"/>
        <w:rPr>
          <w:sz w:val="20"/>
          <w:szCs w:val="20"/>
          <w:color w:val="auto"/>
        </w:rPr>
      </w:pPr>
    </w:p>
    <w:p>
      <w:pPr>
        <w:spacing w:after="0"/>
        <w:rPr>
          <w:sz w:val="20"/>
          <w:szCs w:val="20"/>
          <w:color w:val="auto"/>
        </w:rPr>
      </w:pPr>
      <w:r>
        <w:rPr>
          <w:rFonts w:ascii="Arial" w:cs="Arial" w:eastAsia="Arial" w:hAnsi="Arial"/>
          <w:sz w:val="23"/>
          <w:szCs w:val="23"/>
          <w:color w:val="008A5F"/>
        </w:rPr>
        <w:t>NOTE 17 - Related Parties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balances included in the Company’s consolidated balance sheet at March 31, 2019 and December 31, 2018, consisted of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40" w:type="dxa"/>
            <w:vAlign w:val="bottom"/>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5120" w:type="dxa"/>
            <w:vAlign w:val="bottom"/>
            <w:shd w:val="clear" w:color="auto" w:fill="008A5F"/>
          </w:tcPr>
          <w:p>
            <w:pPr>
              <w:ind w:left="1820"/>
              <w:spacing w:after="0"/>
              <w:rPr>
                <w:sz w:val="20"/>
                <w:szCs w:val="20"/>
                <w:color w:val="auto"/>
              </w:rPr>
            </w:pPr>
            <w:r>
              <w:rPr>
                <w:rFonts w:ascii="Arial" w:cs="Arial" w:eastAsia="Arial" w:hAnsi="Arial"/>
                <w:sz w:val="16"/>
                <w:szCs w:val="16"/>
                <w:b w:val="1"/>
                <w:bCs w:val="1"/>
                <w:color w:val="FFFFFF"/>
              </w:rPr>
              <w:t>Financial statement line Item</w:t>
            </w:r>
          </w:p>
        </w:tc>
        <w:tc>
          <w:tcPr>
            <w:tcW w:w="160" w:type="dxa"/>
            <w:vAlign w:val="bottom"/>
            <w:shd w:val="clear" w:color="auto" w:fill="008A5F"/>
          </w:tcPr>
          <w:p>
            <w:pPr>
              <w:spacing w:after="0"/>
              <w:rPr>
                <w:sz w:val="21"/>
                <w:szCs w:val="21"/>
                <w:color w:val="auto"/>
              </w:rPr>
            </w:pPr>
          </w:p>
        </w:tc>
        <w:tc>
          <w:tcPr>
            <w:tcW w:w="1500" w:type="dxa"/>
            <w:vAlign w:val="bottom"/>
            <w:gridSpan w:val="2"/>
            <w:shd w:val="clear" w:color="auto" w:fill="008A5F"/>
          </w:tcPr>
          <w:p>
            <w:pPr>
              <w:ind w:left="40"/>
              <w:spacing w:after="0"/>
              <w:rPr>
                <w:sz w:val="20"/>
                <w:szCs w:val="20"/>
                <w:color w:val="auto"/>
              </w:rPr>
            </w:pPr>
            <w:r>
              <w:rPr>
                <w:rFonts w:ascii="Arial" w:cs="Arial" w:eastAsia="Arial" w:hAnsi="Arial"/>
                <w:sz w:val="16"/>
                <w:szCs w:val="16"/>
                <w:b w:val="1"/>
                <w:bCs w:val="1"/>
                <w:color w:val="FFFFFF"/>
              </w:rPr>
              <w:t>March 31, 2019</w:t>
            </w:r>
          </w:p>
        </w:tc>
        <w:tc>
          <w:tcPr>
            <w:tcW w:w="1580" w:type="dxa"/>
            <w:vAlign w:val="bottom"/>
            <w:gridSpan w:val="2"/>
            <w:shd w:val="clear" w:color="auto" w:fill="008A5F"/>
          </w:tcPr>
          <w:p>
            <w:pPr>
              <w:jc w:val="right"/>
              <w:spacing w:after="0"/>
              <w:rPr>
                <w:sz w:val="20"/>
                <w:szCs w:val="20"/>
                <w:color w:val="auto"/>
              </w:rPr>
            </w:pPr>
            <w:r>
              <w:rPr>
                <w:rFonts w:ascii="Arial" w:cs="Arial" w:eastAsia="Arial" w:hAnsi="Arial"/>
                <w:sz w:val="16"/>
                <w:szCs w:val="16"/>
                <w:b w:val="1"/>
                <w:bCs w:val="1"/>
                <w:color w:val="FFFFFF"/>
              </w:rPr>
              <w:t>December 31, 2018</w:t>
            </w:r>
          </w:p>
        </w:tc>
      </w:tr>
      <w:tr>
        <w:trPr>
          <w:trHeight w:val="243"/>
        </w:trPr>
        <w:tc>
          <w:tcPr>
            <w:tcW w:w="3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Receivables due from affiliates</w:t>
            </w:r>
          </w:p>
        </w:tc>
        <w:tc>
          <w:tcPr>
            <w:tcW w:w="5120" w:type="dxa"/>
            <w:vAlign w:val="bottom"/>
            <w:shd w:val="clear" w:color="auto" w:fill="E7E7E8"/>
          </w:tcPr>
          <w:p>
            <w:pPr>
              <w:ind w:left="8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E7E7E8"/>
          </w:tcPr>
          <w:p>
            <w:pPr>
              <w:spacing w:after="0"/>
              <w:rPr>
                <w:sz w:val="21"/>
                <w:szCs w:val="21"/>
                <w:color w:val="auto"/>
              </w:rPr>
            </w:pPr>
          </w:p>
        </w:tc>
        <w:tc>
          <w:tcPr>
            <w:tcW w:w="58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122</w:t>
            </w:r>
          </w:p>
        </w:tc>
      </w:tr>
      <w:tr>
        <w:trPr>
          <w:trHeight w:val="237"/>
        </w:trPr>
        <w:tc>
          <w:tcPr>
            <w:tcW w:w="304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Amounts due to affiliates</w:t>
            </w:r>
          </w:p>
        </w:tc>
        <w:tc>
          <w:tcPr>
            <w:tcW w:w="5120" w:type="dxa"/>
            <w:vAlign w:val="bottom"/>
            <w:tcBorders>
              <w:bottom w:val="single" w:sz="8" w:color="E7E7E8"/>
            </w:tcBorders>
          </w:tcPr>
          <w:p>
            <w:pPr>
              <w:ind w:left="800"/>
              <w:spacing w:after="0"/>
              <w:rPr>
                <w:sz w:val="20"/>
                <w:szCs w:val="20"/>
                <w:color w:val="auto"/>
              </w:rPr>
            </w:pPr>
            <w:r>
              <w:rPr>
                <w:rFonts w:ascii="Arial" w:cs="Arial" w:eastAsia="Arial" w:hAnsi="Arial"/>
                <w:sz w:val="16"/>
                <w:szCs w:val="16"/>
                <w:color w:val="auto"/>
              </w:rPr>
              <w:t>Accrued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bottom w:val="single" w:sz="8" w:color="E7E7E8"/>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r>
      <w:tr>
        <w:trPr>
          <w:trHeight w:val="262"/>
        </w:trPr>
        <w:tc>
          <w:tcPr>
            <w:tcW w:w="3040" w:type="dxa"/>
            <w:vAlign w:val="bottom"/>
            <w:tcBorders>
              <w:bottom w:val="single" w:sz="8" w:color="E7E7E8"/>
            </w:tcBorders>
            <w:shd w:val="clear" w:color="auto" w:fill="E7E7E8"/>
          </w:tcPr>
          <w:p>
            <w:pPr>
              <w:spacing w:after="0"/>
              <w:rPr>
                <w:sz w:val="22"/>
                <w:szCs w:val="22"/>
                <w:color w:val="auto"/>
              </w:rPr>
            </w:pPr>
          </w:p>
        </w:tc>
        <w:tc>
          <w:tcPr>
            <w:tcW w:w="5120" w:type="dxa"/>
            <w:vAlign w:val="bottom"/>
            <w:tcBorders>
              <w:bottom w:val="single" w:sz="8" w:color="E7E7E8"/>
            </w:tcBorders>
            <w:shd w:val="clear" w:color="auto" w:fill="E7E7E8"/>
          </w:tcPr>
          <w:p>
            <w:pPr>
              <w:ind w:left="800"/>
              <w:spacing w:after="0"/>
              <w:rPr>
                <w:sz w:val="20"/>
                <w:szCs w:val="20"/>
                <w:color w:val="auto"/>
              </w:rPr>
            </w:pPr>
            <w:r>
              <w:rPr>
                <w:rFonts w:ascii="Arial" w:cs="Arial" w:eastAsia="Arial" w:hAnsi="Arial"/>
                <w:sz w:val="16"/>
                <w:szCs w:val="16"/>
                <w:color w:val="auto"/>
              </w:rPr>
              <w:t>Total related party liabilities, net</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(451)</w:t>
            </w:r>
          </w:p>
        </w:tc>
        <w:tc>
          <w:tcPr>
            <w:tcW w:w="80" w:type="dxa"/>
            <w:vAlign w:val="bottom"/>
            <w:tcBorders>
              <w:bottom w:val="single" w:sz="8" w:color="E7E7E8"/>
            </w:tcBorders>
            <w:shd w:val="clear" w:color="auto" w:fill="E7E7E8"/>
          </w:tcPr>
          <w:p>
            <w:pPr>
              <w:spacing w:after="0"/>
              <w:rPr>
                <w:sz w:val="22"/>
                <w:szCs w:val="22"/>
                <w:color w:val="auto"/>
              </w:rPr>
            </w:pPr>
          </w:p>
        </w:tc>
        <w:tc>
          <w:tcPr>
            <w:tcW w:w="580" w:type="dxa"/>
            <w:vAlign w:val="bottom"/>
            <w:tcBorders>
              <w:bottom w:val="single" w:sz="8" w:color="auto"/>
            </w:tcBorders>
            <w:shd w:val="clear" w:color="auto" w:fill="E7E7E8"/>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(1,257)</w:t>
            </w:r>
          </w:p>
        </w:tc>
      </w:tr>
      <w:tr>
        <w:trPr>
          <w:trHeight w:val="20"/>
        </w:trPr>
        <w:tc>
          <w:tcPr>
            <w:tcW w:w="3040" w:type="dxa"/>
            <w:vAlign w:val="bottom"/>
            <w:tcBorders>
              <w:top w:val="single" w:sz="8" w:color="E7E7E8"/>
            </w:tcBorders>
          </w:tcPr>
          <w:p>
            <w:pPr>
              <w:spacing w:after="0" w:line="20" w:lineRule="exact"/>
              <w:rPr>
                <w:sz w:val="1"/>
                <w:szCs w:val="1"/>
                <w:color w:val="auto"/>
              </w:rPr>
            </w:pPr>
          </w:p>
        </w:tc>
        <w:tc>
          <w:tcPr>
            <w:tcW w:w="5120" w:type="dxa"/>
            <w:vAlign w:val="bottom"/>
            <w:tcBorders>
              <w:top w:val="single" w:sz="8" w:color="E7E7E8"/>
            </w:tcBorders>
          </w:tcPr>
          <w:p>
            <w:pPr>
              <w:spacing w:after="0" w:line="20" w:lineRule="exact"/>
              <w:rPr>
                <w:sz w:val="1"/>
                <w:szCs w:val="1"/>
                <w:color w:val="auto"/>
              </w:rPr>
            </w:pPr>
          </w:p>
        </w:tc>
        <w:tc>
          <w:tcPr>
            <w:tcW w:w="160" w:type="dxa"/>
            <w:vAlign w:val="bottom"/>
            <w:tcBorders>
              <w:top w:val="single" w:sz="8" w:color="E7E7E8"/>
              <w:bottom w:val="single" w:sz="8" w:color="auto"/>
            </w:tcBorders>
          </w:tcPr>
          <w:p>
            <w:pPr>
              <w:spacing w:after="0" w:line="20" w:lineRule="exact"/>
              <w:rPr>
                <w:sz w:val="1"/>
                <w:szCs w:val="1"/>
                <w:color w:val="auto"/>
              </w:rPr>
            </w:pPr>
          </w:p>
        </w:tc>
        <w:tc>
          <w:tcPr>
            <w:tcW w:w="1420" w:type="dxa"/>
            <w:vAlign w:val="bottom"/>
            <w:tcBorders>
              <w:top w:val="single" w:sz="8" w:color="E7E7E8"/>
              <w:bottom w:val="single" w:sz="8" w:color="auto"/>
            </w:tcBorders>
          </w:tcPr>
          <w:p>
            <w:pPr>
              <w:spacing w:after="0" w:line="20" w:lineRule="exact"/>
              <w:rPr>
                <w:sz w:val="1"/>
                <w:szCs w:val="1"/>
                <w:color w:val="auto"/>
              </w:rPr>
            </w:pPr>
          </w:p>
        </w:tc>
        <w:tc>
          <w:tcPr>
            <w:tcW w:w="80" w:type="dxa"/>
            <w:vAlign w:val="bottom"/>
            <w:tcBorders>
              <w:top w:val="single" w:sz="8" w:color="E7E7E8"/>
            </w:tcBorders>
          </w:tcPr>
          <w:p>
            <w:pPr>
              <w:spacing w:after="0" w:line="20" w:lineRule="exact"/>
              <w:rPr>
                <w:sz w:val="1"/>
                <w:szCs w:val="1"/>
                <w:color w:val="auto"/>
              </w:rPr>
            </w:pPr>
          </w:p>
        </w:tc>
        <w:tc>
          <w:tcPr>
            <w:tcW w:w="580" w:type="dxa"/>
            <w:vAlign w:val="bottom"/>
            <w:tcBorders>
              <w:top w:val="single" w:sz="8" w:color="E7E7E8"/>
              <w:bottom w:val="single" w:sz="8" w:color="auto"/>
            </w:tcBorders>
          </w:tcPr>
          <w:p>
            <w:pPr>
              <w:spacing w:after="0" w:line="20" w:lineRule="exact"/>
              <w:rPr>
                <w:sz w:val="1"/>
                <w:szCs w:val="1"/>
                <w:color w:val="auto"/>
              </w:rPr>
            </w:pPr>
          </w:p>
        </w:tc>
        <w:tc>
          <w:tcPr>
            <w:tcW w:w="1000" w:type="dxa"/>
            <w:vAlign w:val="bottom"/>
            <w:tcBorders>
              <w:top w:val="single" w:sz="8" w:color="E7E7E8"/>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November 29, 2017, in connection with the closing of the Business Combination, the Company, WSII, WS Holdings and the Algeco Group entered into a transition services agreement (the “TSA”). The Company had $0.0 million and $0.1 million in receivables due from affiliates pertaining to the TSA at March 31, 2019 and December 31, 2018, respectively.</w:t>
      </w:r>
    </w:p>
    <w:p>
      <w:pPr>
        <w:spacing w:after="0" w:line="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The Company accrued expenses of $0.5 million and $1.2 million at March 31, 2019 and December 31, 2018, respectively, included in amounts due to affiliates, related to rental equipment purchases from an affiliate of the Algeco Group.</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7" w:right="239" w:bottom="1440" w:gutter="0" w:footer="0" w:header="0"/>
        </w:sectPr>
      </w:pPr>
    </w:p>
    <w:bookmarkStart w:id="26" w:name="page27"/>
    <w:bookmarkEnd w:id="26"/>
    <w:p>
      <w:pPr>
        <w:jc w:val="both"/>
        <w:ind w:firstLine="648"/>
        <w:spacing w:after="0" w:line="291" w:lineRule="auto"/>
        <w:rPr>
          <w:sz w:val="20"/>
          <w:szCs w:val="20"/>
          <w:color w:val="auto"/>
        </w:rPr>
      </w:pPr>
      <w:r>
        <w:rPr>
          <w:rFonts w:ascii="Arial" w:cs="Arial" w:eastAsia="Arial" w:hAnsi="Arial"/>
          <w:sz w:val="16"/>
          <w:szCs w:val="16"/>
          <w:color w:val="auto"/>
        </w:rPr>
        <w:t>Related party transactions included in the Company’s consolidated statement of operations for the three months ended March 31, 2019 and 2018, respectively,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3773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32"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180" w:type="dxa"/>
            <w:vAlign w:val="bottom"/>
            <w:shd w:val="clear" w:color="auto" w:fill="008A5F"/>
          </w:tcPr>
          <w:p>
            <w:pPr>
              <w:ind w:left="960"/>
              <w:spacing w:after="0"/>
              <w:rPr>
                <w:sz w:val="20"/>
                <w:szCs w:val="20"/>
                <w:color w:val="auto"/>
              </w:rPr>
            </w:pPr>
            <w:r>
              <w:rPr>
                <w:rFonts w:ascii="Arial" w:cs="Arial" w:eastAsia="Arial" w:hAnsi="Arial"/>
                <w:sz w:val="16"/>
                <w:szCs w:val="16"/>
                <w:b w:val="1"/>
                <w:bCs w:val="1"/>
                <w:color w:val="FFFFFF"/>
              </w:rPr>
              <w:t>Financial statement line item</w:t>
            </w:r>
          </w:p>
        </w:tc>
        <w:tc>
          <w:tcPr>
            <w:tcW w:w="1220" w:type="dxa"/>
            <w:vAlign w:val="bottom"/>
            <w:shd w:val="clear" w:color="auto" w:fill="008A5F"/>
          </w:tcPr>
          <w:p>
            <w:pPr>
              <w:jc w:val="right"/>
              <w:ind w:right="119"/>
              <w:spacing w:after="0"/>
              <w:rPr>
                <w:sz w:val="20"/>
                <w:szCs w:val="20"/>
                <w:color w:val="auto"/>
              </w:rPr>
            </w:pPr>
            <w:r>
              <w:rPr>
                <w:rFonts w:ascii="Arial" w:cs="Arial" w:eastAsia="Arial" w:hAnsi="Arial"/>
                <w:sz w:val="16"/>
                <w:szCs w:val="16"/>
                <w:b w:val="1"/>
                <w:bCs w:val="1"/>
                <w:color w:val="FFFFFF"/>
              </w:rPr>
              <w:t>2019</w:t>
            </w:r>
          </w:p>
        </w:tc>
        <w:tc>
          <w:tcPr>
            <w:tcW w:w="440" w:type="dxa"/>
            <w:vAlign w:val="bottom"/>
            <w:shd w:val="clear" w:color="auto" w:fill="008A5F"/>
          </w:tcPr>
          <w:p>
            <w:pPr>
              <w:spacing w:after="0"/>
              <w:rPr>
                <w:sz w:val="20"/>
                <w:szCs w:val="20"/>
                <w:color w:val="auto"/>
              </w:rPr>
            </w:pPr>
          </w:p>
        </w:tc>
        <w:tc>
          <w:tcPr>
            <w:tcW w:w="10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2018</w:t>
            </w:r>
          </w:p>
        </w:tc>
      </w:tr>
      <w:tr>
        <w:trPr>
          <w:trHeight w:val="243"/>
        </w:trPr>
        <w:tc>
          <w:tcPr>
            <w:tcW w:w="3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Leasing revenue from related parties</w:t>
            </w:r>
          </w:p>
        </w:tc>
        <w:tc>
          <w:tcPr>
            <w:tcW w:w="418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leasing revenue</w:t>
            </w:r>
          </w:p>
        </w:tc>
        <w:tc>
          <w:tcPr>
            <w:tcW w:w="1220" w:type="dxa"/>
            <w:vAlign w:val="bottom"/>
            <w:tcBorders>
              <w:bottom w:val="single" w:sz="8" w:color="auto"/>
            </w:tcBorders>
            <w:shd w:val="clear" w:color="auto" w:fill="E7E7E8"/>
          </w:tcPr>
          <w:p>
            <w:pPr>
              <w:jc w:val="right"/>
              <w:ind w:right="10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E7E7E8"/>
          </w:tcPr>
          <w:p>
            <w:pPr>
              <w:spacing w:after="0"/>
              <w:rPr>
                <w:sz w:val="21"/>
                <w:szCs w:val="21"/>
                <w:color w:val="auto"/>
              </w:rPr>
            </w:pPr>
          </w:p>
        </w:tc>
        <w:tc>
          <w:tcPr>
            <w:tcW w:w="38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292</w:t>
            </w:r>
          </w:p>
        </w:tc>
      </w:tr>
      <w:tr>
        <w:trPr>
          <w:trHeight w:val="230"/>
        </w:trPr>
        <w:tc>
          <w:tcPr>
            <w:tcW w:w="380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Total related party income, net</w:t>
            </w:r>
          </w:p>
        </w:tc>
        <w:tc>
          <w:tcPr>
            <w:tcW w:w="12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7"/>
        </w:trPr>
        <w:tc>
          <w:tcPr>
            <w:tcW w:w="38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The Company had capital expenditures of rental equipment purchased from related party affiliates of $1.5 million and $1.3 million for three months ended March 31, 2019 and 2018, respectively.</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paid $0.6 million and $0.6 million in professional fees to an entity, that two of the Company’s Directors also served in the same role for that entity, during the three months ended March 31, 2019 and 2018, respectively.</w:t>
      </w:r>
    </w:p>
    <w:p>
      <w:pPr>
        <w:spacing w:after="0" w:line="305" w:lineRule="exact"/>
        <w:rPr>
          <w:sz w:val="20"/>
          <w:szCs w:val="20"/>
          <w:color w:val="auto"/>
        </w:rPr>
      </w:pPr>
    </w:p>
    <w:p>
      <w:pPr>
        <w:ind w:left="1960" w:right="100" w:hanging="1944"/>
        <w:spacing w:after="0" w:line="270" w:lineRule="auto"/>
        <w:rPr>
          <w:sz w:val="20"/>
          <w:szCs w:val="20"/>
          <w:color w:val="auto"/>
        </w:rPr>
      </w:pPr>
      <w:r>
        <w:rPr>
          <w:rFonts w:ascii="Arial" w:cs="Arial" w:eastAsia="Arial" w:hAnsi="Arial"/>
          <w:sz w:val="40"/>
          <w:szCs w:val="40"/>
          <w:b w:val="1"/>
          <w:bCs w:val="1"/>
          <w:color w:val="auto"/>
        </w:rPr>
        <w:t>ITEM 2. Management’s Discussion and Analysis of Financial Condition and Results of Operations</w:t>
      </w:r>
    </w:p>
    <w:p>
      <w:pPr>
        <w:jc w:val="both"/>
        <w:ind w:firstLine="648"/>
        <w:spacing w:after="0" w:line="25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WillScot, our operations and our present business environment. MD&amp;A is provided as a supplement to, and should be read in conjunction with, our financial statements and the accompanying notes thereto, contained in Part I, Item 1 of this report.</w:t>
      </w:r>
    </w:p>
    <w:p>
      <w:pPr>
        <w:spacing w:after="0" w:line="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accounting principles generally accepted in the US (“GAAP”) for complete financial statements. 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 Reconciliations of non-GAAP measures are provided in this section where presented.</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color w:val="008A5F"/>
        </w:rPr>
        <w:t>Executive Summary and Outlook</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We are the leading provider of modular space and portable storage solutions in the United States (“US”), Canada and Mexico. In the third quarter of 2018, we completed the acquisition of Modular Space Holdings, Inc. (“ModSpace”) for a total purchase price of approximately $1.2 billion. With the addition of ModSpace, as of March 31, 2019, our branch network included over 120 locations and additional storage lots to service more than 50,000 customers across the US, Canada and Mexico. We offer our customers an extensive selection of “Ready to Work” modular space and portable storage solutions and now manage a fleet of approximately 130,000 modular space units and over 26,000 portable storage units. We remain focused on our core priorities of growing modular leasing revenues by increasing modular space units on rent, both organically and through our consolidation strategy, delivering “Ready to Work” solutions to our customers with VAPS, and on continually improving the overall customer experience.</w:t>
      </w:r>
    </w:p>
    <w:p>
      <w:pPr>
        <w:spacing w:after="0" w:line="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2018, we complemented our already strong organic growth by acquiring and integrating regional and national competitors. In April 2018, we integrated Acton (acquired in December 2017), into our organizational structure, branch footprint and information technology platform. We acquired ModSpace in August 2018, and by November 2018, the sales organizations for WillScot and ModSpace began entering into new contracts (including those associated with legacy ModSpace assets) from WillScot's operating and information technology platform. In March 2019, the remaining billing, accounts receivable and accounts payable functions were migrated onto the WillScot operating platform marking the completion of the information technology integration. As a result of the integration milestones reached to date, including the exit of approximately 50% of our planned real estate exits, we began realizing significant cost synergies in the first quarter of 2019 and will continue our integration efforts around real estate consolidation and fleet relocation for both the Acton acquisition and ModSpace acquisition during the remainder of 2019 and into 2020. These acquisitions, coupled with WillScot's innovative "Ready to Work" solutions and commitment to customer service, have solidified WillScot's market leading position.</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2019, key drivers of financial performance include:</w:t>
      </w:r>
    </w:p>
    <w:p>
      <w:pPr>
        <w:spacing w:after="0" w:line="59" w:lineRule="exact"/>
        <w:rPr>
          <w:sz w:val="20"/>
          <w:szCs w:val="20"/>
          <w:color w:val="auto"/>
        </w:rPr>
      </w:pPr>
    </w:p>
    <w:p>
      <w:pPr>
        <w:jc w:val="both"/>
        <w:ind w:left="1300" w:hanging="320"/>
        <w:spacing w:after="0" w:line="261" w:lineRule="auto"/>
        <w:tabs>
          <w:tab w:leader="none" w:pos="12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total revenues by $120.2 million, or 89.2% as compared to the same period in 2018, driven by a 84.9% increase in our core leasing and services revenues from both organic pricing growth, and due to the impact of the ModSpace acquisition discussed in Note 2 of our unaudited condensed consolidated financial statements. New and rental unit sales increased 101.4% and 205.3%, respectively also driven by acquisitions, and by several large rental unit sales in the Modular - Other North America segment.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94" w:right="239" w:bottom="1440" w:gutter="0" w:footer="0" w:header="0"/>
        </w:sectPr>
      </w:pPr>
    </w:p>
    <w:bookmarkStart w:id="27" w:name="page28"/>
    <w:bookmarkEnd w:id="27"/>
    <w:p>
      <w:pPr>
        <w:jc w:val="both"/>
        <w:ind w:left="1300" w:hanging="320"/>
        <w:spacing w:after="0" w:line="26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 pro forma basis, including results of WillScot and ModSpace for all periods presented, total revenues increased $10.9 million, or 4.5%, driven by increases in core leasing revenues as a result of continued rate improvements that drove pro forma modular leasing revenues to increase $14.5 million, or 8.9%. Increases in pro forma modular leasing revenues were partially offset by decreased new sales, which declined $3.1 million, or 17.2%.</w:t>
      </w:r>
    </w:p>
    <w:p>
      <w:pPr>
        <w:spacing w:after="0" w:line="9"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the Modular - US segment revenues which represents 90.8% of revenue for the three months ended March 31, 2019, by $109.4 million, or 89.6%, as compared to the same period in 2018, through:</w:t>
      </w:r>
    </w:p>
    <w:p>
      <w:pPr>
        <w:spacing w:after="0" w:line="1" w:lineRule="exact"/>
        <w:rPr>
          <w:rFonts w:ascii="Arial" w:cs="Arial" w:eastAsia="Arial" w:hAnsi="Arial"/>
          <w:sz w:val="16"/>
          <w:szCs w:val="16"/>
          <w:color w:val="auto"/>
        </w:rPr>
      </w:pPr>
    </w:p>
    <w:p>
      <w:pPr>
        <w:ind w:left="1960" w:hanging="324"/>
        <w:spacing w:after="0" w:line="269" w:lineRule="auto"/>
        <w:rPr>
          <w:rFonts w:ascii="Arial" w:cs="Arial" w:eastAsia="Arial" w:hAnsi="Arial"/>
          <w:sz w:val="16"/>
          <w:szCs w:val="16"/>
          <w:color w:val="auto"/>
        </w:rPr>
      </w:pPr>
      <w:r>
        <w:rPr>
          <w:rFonts w:ascii="Arial" w:cs="Arial" w:eastAsia="Arial" w:hAnsi="Arial"/>
          <w:sz w:val="16"/>
          <w:szCs w:val="16"/>
          <w:color w:val="auto"/>
        </w:rPr>
        <w:t>– Average modular space monthly rental rate growth of 8.3% to $577 including the impacts of acquisitions primarily through increases in the price of our units and from VAPS. Organic increases on unit pricing and VAPS pricing and penetration were partially offset by lower rates on units acquired from ModSpace, and by lower VAPS pricing and penetration; and</w:t>
      </w:r>
    </w:p>
    <w:p>
      <w:pPr>
        <w:spacing w:after="0" w:line="2"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Increased average modular space units on rent by 35,805 units, or 73.6%, due to the ModSpace acquisition; and</w:t>
      </w:r>
    </w:p>
    <w:p>
      <w:pPr>
        <w:spacing w:after="0" w:line="59" w:lineRule="exact"/>
        <w:rPr>
          <w:rFonts w:ascii="Arial" w:cs="Arial" w:eastAsia="Arial" w:hAnsi="Arial"/>
          <w:sz w:val="16"/>
          <w:szCs w:val="16"/>
          <w:color w:val="auto"/>
        </w:rPr>
      </w:pPr>
    </w:p>
    <w:p>
      <w:pPr>
        <w:ind w:left="1960" w:hanging="324"/>
        <w:spacing w:after="0" w:line="261" w:lineRule="auto"/>
        <w:rPr>
          <w:rFonts w:ascii="Arial" w:cs="Arial" w:eastAsia="Arial" w:hAnsi="Arial"/>
          <w:sz w:val="16"/>
          <w:szCs w:val="16"/>
          <w:color w:val="auto"/>
        </w:rPr>
      </w:pPr>
      <w:r>
        <w:rPr>
          <w:rFonts w:ascii="Arial" w:cs="Arial" w:eastAsia="Arial" w:hAnsi="Arial"/>
          <w:sz w:val="16"/>
          <w:szCs w:val="16"/>
          <w:color w:val="auto"/>
        </w:rPr>
        <w:t>– Average modular space monthly utilization increased 300 basis points (“bps”) to 74.8% for the three months ended March 31, 2019 as compared to the three months ended March 31, 2018. This increase was driven by higher utilization on the acquired ModSpace fleet as compared to the overall average utilization for the three months ended March 31, 2018, which included the fleet recently acquired from Acton and Onsite Space LLC (d/b/a Tyson Onsite (“Tyson”)).</w:t>
      </w:r>
    </w:p>
    <w:p>
      <w:pPr>
        <w:spacing w:after="0" w:line="9" w:lineRule="exact"/>
        <w:rPr>
          <w:rFonts w:ascii="Arial" w:cs="Arial" w:eastAsia="Arial" w:hAnsi="Arial"/>
          <w:sz w:val="16"/>
          <w:szCs w:val="16"/>
          <w:color w:val="auto"/>
        </w:rPr>
      </w:pPr>
    </w:p>
    <w:p>
      <w:pPr>
        <w:ind w:left="1960" w:hanging="324"/>
        <w:spacing w:after="0" w:line="257"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average modular space monthly rental rate increased 13.6%, which is the sixth consecutive quarter of double digit growth. Average modular space units on rent were down 2.0% driven by disruption experienced in the fourth quarter of 2018 and the first quarter of 2019 due to the integration of ModSpace, and also driven by more severe weather in the first quarter of 2019. Pro forma average modular space monthly utilization increased 240 bps to 74.8% for the three months ended March 31, 2019.</w:t>
      </w:r>
    </w:p>
    <w:p>
      <w:pPr>
        <w:spacing w:after="0" w:line="14" w:lineRule="exact"/>
        <w:rPr>
          <w:rFonts w:ascii="Arial" w:cs="Arial" w:eastAsia="Arial" w:hAnsi="Arial"/>
          <w:sz w:val="16"/>
          <w:szCs w:val="16"/>
          <w:color w:val="auto"/>
        </w:rPr>
      </w:pPr>
    </w:p>
    <w:p>
      <w:pPr>
        <w:ind w:left="1300" w:hanging="320"/>
        <w:spacing w:after="0" w:line="28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the Modular - Other North America segment revenues which represented 9.2% of revenues for the three months ended March 31, 2019, by $10.8 million, or 85.0% as compared to the same period in 2018. Increases were driven primarily by:</w:t>
      </w:r>
    </w:p>
    <w:p>
      <w:pPr>
        <w:spacing w:after="0" w:line="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rental rate increased 2.0% to $552; and</w:t>
      </w:r>
    </w:p>
    <w:p>
      <w:pPr>
        <w:spacing w:after="0" w:line="59" w:lineRule="exact"/>
        <w:rPr>
          <w:rFonts w:ascii="Arial" w:cs="Arial" w:eastAsia="Arial" w:hAnsi="Arial"/>
          <w:sz w:val="16"/>
          <w:szCs w:val="16"/>
          <w:color w:val="auto"/>
        </w:rPr>
      </w:pPr>
    </w:p>
    <w:p>
      <w:pPr>
        <w:ind w:left="1960" w:hanging="324"/>
        <w:spacing w:after="0" w:line="281" w:lineRule="auto"/>
        <w:rPr>
          <w:rFonts w:ascii="Arial" w:cs="Arial" w:eastAsia="Arial" w:hAnsi="Arial"/>
          <w:sz w:val="16"/>
          <w:szCs w:val="16"/>
          <w:color w:val="auto"/>
        </w:rPr>
      </w:pPr>
      <w:r>
        <w:rPr>
          <w:rFonts w:ascii="Arial" w:cs="Arial" w:eastAsia="Arial" w:hAnsi="Arial"/>
          <w:sz w:val="16"/>
          <w:szCs w:val="16"/>
          <w:color w:val="auto"/>
        </w:rPr>
        <w:t>– Average modular space units on rent increased by 3,392 units, or 62.2% as compared to the same period in 2018 driven primarily by acquired units from the ModSpace transaction; and</w:t>
      </w:r>
    </w:p>
    <w:p>
      <w:pPr>
        <w:spacing w:after="0" w:line="1"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6"/>
          <w:szCs w:val="16"/>
          <w:color w:val="auto"/>
        </w:rPr>
        <w:t>–   Average modular space monthly utilization decreased by 150 bps as compared to the same period in 2018 to 55.1%.</w:t>
      </w:r>
    </w:p>
    <w:p>
      <w:pPr>
        <w:spacing w:after="0" w:line="59" w:lineRule="exact"/>
        <w:rPr>
          <w:rFonts w:ascii="Arial" w:cs="Arial" w:eastAsia="Arial" w:hAnsi="Arial"/>
          <w:sz w:val="16"/>
          <w:szCs w:val="16"/>
          <w:color w:val="auto"/>
        </w:rPr>
      </w:pPr>
    </w:p>
    <w:p>
      <w:pPr>
        <w:ind w:left="1960" w:hanging="324"/>
        <w:spacing w:after="0" w:line="281" w:lineRule="auto"/>
        <w:rPr>
          <w:rFonts w:ascii="Arial" w:cs="Arial" w:eastAsia="Arial" w:hAnsi="Arial"/>
          <w:sz w:val="16"/>
          <w:szCs w:val="16"/>
          <w:color w:val="auto"/>
        </w:rPr>
      </w:pPr>
      <w:r>
        <w:rPr>
          <w:rFonts w:ascii="Arial" w:cs="Arial" w:eastAsia="Arial" w:hAnsi="Arial"/>
          <w:sz w:val="16"/>
          <w:szCs w:val="16"/>
          <w:color w:val="auto"/>
        </w:rPr>
        <w:t>– On a pro forma basis, including results of WillScot and ModSpace for all periods presented, average modular space monthly rental rate decreased 0.9% and average modular space units on rent decreased 3.5%.</w:t>
      </w:r>
    </w:p>
    <w:p>
      <w:pPr>
        <w:spacing w:after="0" w:line="1" w:lineRule="exact"/>
        <w:rPr>
          <w:rFonts w:ascii="Arial" w:cs="Arial" w:eastAsia="Arial" w:hAnsi="Arial"/>
          <w:sz w:val="16"/>
          <w:szCs w:val="16"/>
          <w:color w:val="auto"/>
        </w:rPr>
      </w:pPr>
    </w:p>
    <w:p>
      <w:pPr>
        <w:jc w:val="both"/>
        <w:ind w:left="1300" w:hanging="320"/>
        <w:spacing w:after="0" w:line="261"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Generated a consolidated net loss of $11.2 million, which included $6.0 million of restructuring cost, $10.1 million of integration cost, and $2.3 million of impairment losses on property, plant and equipment associated with real estate consolidations, compares to a consolidated net loss of $6.8 million for same period in 2018, which included $0.6 million of restructuring cost and $2.6 million of integration cost related to the Acton and Tyson acquisitions.</w:t>
      </w:r>
    </w:p>
    <w:p>
      <w:pPr>
        <w:spacing w:after="0" w:line="9" w:lineRule="exact"/>
        <w:rPr>
          <w:rFonts w:ascii="Arial" w:cs="Arial" w:eastAsia="Arial" w:hAnsi="Arial"/>
          <w:sz w:val="16"/>
          <w:szCs w:val="16"/>
          <w:color w:val="auto"/>
        </w:rPr>
      </w:pPr>
    </w:p>
    <w:p>
      <w:pPr>
        <w:jc w:val="both"/>
        <w:ind w:left="1300" w:hanging="320"/>
        <w:spacing w:after="0" w:line="259" w:lineRule="auto"/>
        <w:tabs>
          <w:tab w:leader="none" w:pos="1289"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Generated Adjusted EBITDA of $76.8 million and $7.7 million for the Modular - US segment and the Modular - Other North America segment, respectively, for consolidated Adjusted EBITDA of $84.5 million, representing an increase of $49.0 million or 138.0% as compared to the same period in 2018, which includes the impact of the ModSpace acquisition discussed in Note 2 of the unaudited condensed consolidated financial statements, as well as partial realization of commercial and cost synergies associated with the Acton, Tyson, and ModSpace acquisitions.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customers operate in a diversified set of end markets, including commercial and industrial, construction, education, energy and natural resources, government and other end-markets. We track several market leading indicators including those related to our two largest end markets, the commercial and industrial segment and the construction segment, which collectively accounted for approximately 83% of our revenues in the three months ended March 31, 2019. Market fundamentals underlying these markets remain favorable, and we expect continued modest market growth in the next several years. Potential increased capital spending as a result of tax reform, discussions of increased infrastructure spending, and rebuilding in areas impacted by natural disasters in 2017 and 2018 across the US also provide us confidence in continued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094" w:right="239" w:bottom="1440" w:gutter="0" w:footer="0" w:header="0"/>
        </w:sectPr>
      </w:pPr>
    </w:p>
    <w:bookmarkStart w:id="28" w:name="page29"/>
    <w:bookmarkEnd w:id="28"/>
    <w:p>
      <w:pPr>
        <w:spacing w:after="0"/>
        <w:rPr>
          <w:sz w:val="20"/>
          <w:szCs w:val="20"/>
          <w:color w:val="auto"/>
        </w:rPr>
      </w:pPr>
      <w:r>
        <w:rPr>
          <w:rFonts w:ascii="Arial" w:cs="Arial" w:eastAsia="Arial" w:hAnsi="Arial"/>
          <w:sz w:val="23"/>
          <w:szCs w:val="23"/>
          <w:color w:val="008A5F"/>
        </w:rPr>
        <w:t>Consolidated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the Three Months Ended March 31, 2018</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860" w:type="dxa"/>
            <w:vAlign w:val="bottom"/>
            <w:gridSpan w:val="7"/>
          </w:tcPr>
          <w:p>
            <w:pPr>
              <w:ind w:left="660"/>
              <w:spacing w:after="0"/>
              <w:rPr>
                <w:sz w:val="20"/>
                <w:szCs w:val="20"/>
                <w:color w:val="auto"/>
              </w:rPr>
            </w:pPr>
            <w:r>
              <w:rPr>
                <w:rFonts w:ascii="Arial" w:cs="Arial" w:eastAsia="Arial" w:hAnsi="Arial"/>
                <w:sz w:val="16"/>
                <w:szCs w:val="16"/>
                <w:color w:val="auto"/>
              </w:rPr>
              <w:t>Our consolidated statements of operations for the three months ended March 31, 2019 and 2018 are presented below:</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6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620" w:type="dxa"/>
            <w:vAlign w:val="bottom"/>
            <w:gridSpan w:val="3"/>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658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260" w:type="dxa"/>
            <w:vAlign w:val="bottom"/>
            <w:shd w:val="clear" w:color="auto" w:fill="008A5F"/>
          </w:tcPr>
          <w:p>
            <w:pPr>
              <w:spacing w:after="0"/>
              <w:rPr>
                <w:sz w:val="22"/>
                <w:szCs w:val="22"/>
                <w:color w:val="auto"/>
              </w:rPr>
            </w:pPr>
          </w:p>
        </w:tc>
        <w:tc>
          <w:tcPr>
            <w:tcW w:w="3020" w:type="dxa"/>
            <w:vAlign w:val="bottom"/>
            <w:gridSpan w:val="5"/>
            <w:shd w:val="clear" w:color="auto" w:fill="008A5F"/>
          </w:tcPr>
          <w:p>
            <w:pPr>
              <w:ind w:left="160"/>
              <w:spacing w:after="0"/>
              <w:rPr>
                <w:sz w:val="20"/>
                <w:szCs w:val="20"/>
                <w:color w:val="auto"/>
              </w:rPr>
            </w:pPr>
            <w:r>
              <w:rPr>
                <w:rFonts w:ascii="Arial" w:cs="Arial" w:eastAsia="Arial" w:hAnsi="Arial"/>
                <w:sz w:val="16"/>
                <w:szCs w:val="16"/>
                <w:b w:val="1"/>
                <w:bCs w:val="1"/>
                <w:color w:val="FFFFFF"/>
              </w:rPr>
              <w:t>Three Months Ended March 31,</w:t>
            </w:r>
          </w:p>
        </w:tc>
        <w:tc>
          <w:tcPr>
            <w:tcW w:w="140" w:type="dxa"/>
            <w:vAlign w:val="bottom"/>
            <w:shd w:val="clear" w:color="auto" w:fill="008A5F"/>
          </w:tcPr>
          <w:p>
            <w:pPr>
              <w:spacing w:after="0"/>
              <w:rPr>
                <w:sz w:val="22"/>
                <w:szCs w:val="22"/>
                <w:color w:val="auto"/>
              </w:rPr>
            </w:pPr>
          </w:p>
        </w:tc>
        <w:tc>
          <w:tcPr>
            <w:tcW w:w="1380" w:type="dxa"/>
            <w:vAlign w:val="bottom"/>
            <w:shd w:val="clear" w:color="auto" w:fill="008A5F"/>
          </w:tcPr>
          <w:p>
            <w:pPr>
              <w:jc w:val="right"/>
              <w:ind w:right="99"/>
              <w:spacing w:after="0"/>
              <w:rPr>
                <w:sz w:val="20"/>
                <w:szCs w:val="20"/>
                <w:color w:val="auto"/>
              </w:rPr>
            </w:pPr>
            <w:r>
              <w:rPr>
                <w:rFonts w:ascii="Arial" w:cs="Arial" w:eastAsia="Arial" w:hAnsi="Arial"/>
                <w:sz w:val="16"/>
                <w:szCs w:val="16"/>
                <w:b w:val="1"/>
                <w:bCs w:val="1"/>
                <w:color w:val="FFFFFF"/>
              </w:rPr>
              <w:t>2019 vs. 2018 $</w:t>
            </w:r>
          </w:p>
        </w:tc>
        <w:tc>
          <w:tcPr>
            <w:tcW w:w="0" w:type="dxa"/>
            <w:vAlign w:val="bottom"/>
          </w:tcPr>
          <w:p>
            <w:pPr>
              <w:spacing w:after="0"/>
              <w:rPr>
                <w:sz w:val="1"/>
                <w:szCs w:val="1"/>
                <w:color w:val="auto"/>
              </w:rPr>
            </w:pPr>
          </w:p>
        </w:tc>
      </w:tr>
      <w:tr>
        <w:trPr>
          <w:trHeight w:val="229"/>
        </w:trPr>
        <w:tc>
          <w:tcPr>
            <w:tcW w:w="6580" w:type="dxa"/>
            <w:vAlign w:val="bottom"/>
            <w:vMerge w:val="continue"/>
            <w:shd w:val="clear" w:color="auto" w:fill="008A5F"/>
          </w:tcPr>
          <w:p>
            <w:pPr>
              <w:spacing w:after="0"/>
              <w:rPr>
                <w:sz w:val="19"/>
                <w:szCs w:val="19"/>
                <w:color w:val="auto"/>
              </w:rPr>
            </w:pPr>
          </w:p>
        </w:tc>
        <w:tc>
          <w:tcPr>
            <w:tcW w:w="260" w:type="dxa"/>
            <w:vAlign w:val="bottom"/>
            <w:shd w:val="clear" w:color="auto" w:fill="008A5F"/>
          </w:tcPr>
          <w:p>
            <w:pPr>
              <w:spacing w:after="0"/>
              <w:rPr>
                <w:sz w:val="19"/>
                <w:szCs w:val="19"/>
                <w:color w:val="auto"/>
              </w:rPr>
            </w:pPr>
          </w:p>
        </w:tc>
        <w:tc>
          <w:tcPr>
            <w:tcW w:w="1280" w:type="dxa"/>
            <w:vAlign w:val="bottom"/>
            <w:vMerge w:val="restart"/>
            <w:shd w:val="clear" w:color="auto" w:fill="008A5F"/>
          </w:tcPr>
          <w:p>
            <w:pPr>
              <w:jc w:val="right"/>
              <w:ind w:right="519"/>
              <w:spacing w:after="0"/>
              <w:rPr>
                <w:sz w:val="20"/>
                <w:szCs w:val="20"/>
                <w:color w:val="auto"/>
              </w:rPr>
            </w:pPr>
            <w:r>
              <w:rPr>
                <w:rFonts w:ascii="Arial" w:cs="Arial" w:eastAsia="Arial" w:hAnsi="Arial"/>
                <w:sz w:val="16"/>
                <w:szCs w:val="16"/>
                <w:b w:val="1"/>
                <w:bCs w:val="1"/>
                <w:color w:val="FFFFFF"/>
              </w:rPr>
              <w:t>2019</w:t>
            </w:r>
          </w:p>
        </w:tc>
        <w:tc>
          <w:tcPr>
            <w:tcW w:w="100" w:type="dxa"/>
            <w:vAlign w:val="bottom"/>
            <w:shd w:val="clear" w:color="auto" w:fill="008A5F"/>
          </w:tcPr>
          <w:p>
            <w:pPr>
              <w:spacing w:after="0"/>
              <w:rPr>
                <w:sz w:val="19"/>
                <w:szCs w:val="19"/>
                <w:color w:val="auto"/>
              </w:rPr>
            </w:pPr>
          </w:p>
        </w:tc>
        <w:tc>
          <w:tcPr>
            <w:tcW w:w="340" w:type="dxa"/>
            <w:vAlign w:val="bottom"/>
            <w:shd w:val="clear" w:color="auto" w:fill="008A5F"/>
          </w:tcPr>
          <w:p>
            <w:pPr>
              <w:spacing w:after="0"/>
              <w:rPr>
                <w:sz w:val="19"/>
                <w:szCs w:val="19"/>
                <w:color w:val="auto"/>
              </w:rPr>
            </w:pPr>
          </w:p>
        </w:tc>
        <w:tc>
          <w:tcPr>
            <w:tcW w:w="1180" w:type="dxa"/>
            <w:vAlign w:val="bottom"/>
            <w:vMerge w:val="restart"/>
            <w:shd w:val="clear" w:color="auto" w:fill="008A5F"/>
          </w:tcPr>
          <w:p>
            <w:pPr>
              <w:jc w:val="right"/>
              <w:ind w:right="499"/>
              <w:spacing w:after="0"/>
              <w:rPr>
                <w:sz w:val="20"/>
                <w:szCs w:val="20"/>
                <w:color w:val="auto"/>
              </w:rPr>
            </w:pPr>
            <w:r>
              <w:rPr>
                <w:rFonts w:ascii="Arial" w:cs="Arial" w:eastAsia="Arial" w:hAnsi="Arial"/>
                <w:sz w:val="16"/>
                <w:szCs w:val="16"/>
                <w:b w:val="1"/>
                <w:bCs w:val="1"/>
                <w:color w:val="FFFFFF"/>
              </w:rPr>
              <w:t>2018</w:t>
            </w:r>
          </w:p>
        </w:tc>
        <w:tc>
          <w:tcPr>
            <w:tcW w:w="120" w:type="dxa"/>
            <w:vAlign w:val="bottom"/>
            <w:shd w:val="clear" w:color="auto" w:fill="008A5F"/>
          </w:tcPr>
          <w:p>
            <w:pPr>
              <w:spacing w:after="0"/>
              <w:rPr>
                <w:sz w:val="19"/>
                <w:szCs w:val="19"/>
                <w:color w:val="auto"/>
              </w:rPr>
            </w:pPr>
          </w:p>
        </w:tc>
        <w:tc>
          <w:tcPr>
            <w:tcW w:w="140" w:type="dxa"/>
            <w:vAlign w:val="bottom"/>
            <w:shd w:val="clear" w:color="auto" w:fill="008A5F"/>
          </w:tcPr>
          <w:p>
            <w:pPr>
              <w:spacing w:after="0"/>
              <w:rPr>
                <w:sz w:val="19"/>
                <w:szCs w:val="19"/>
                <w:color w:val="auto"/>
              </w:rPr>
            </w:pPr>
          </w:p>
        </w:tc>
        <w:tc>
          <w:tcPr>
            <w:tcW w:w="138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Change</w:t>
            </w:r>
          </w:p>
        </w:tc>
        <w:tc>
          <w:tcPr>
            <w:tcW w:w="0" w:type="dxa"/>
            <w:vAlign w:val="bottom"/>
          </w:tcPr>
          <w:p>
            <w:pPr>
              <w:spacing w:after="0"/>
              <w:rPr>
                <w:sz w:val="1"/>
                <w:szCs w:val="1"/>
                <w:color w:val="auto"/>
              </w:rPr>
            </w:pPr>
          </w:p>
        </w:tc>
      </w:tr>
      <w:tr>
        <w:trPr>
          <w:trHeight w:val="82"/>
        </w:trPr>
        <w:tc>
          <w:tcPr>
            <w:tcW w:w="6580" w:type="dxa"/>
            <w:vAlign w:val="bottom"/>
            <w:shd w:val="clear" w:color="auto" w:fill="008A5F"/>
          </w:tcPr>
          <w:p>
            <w:pPr>
              <w:spacing w:after="0"/>
              <w:rPr>
                <w:sz w:val="7"/>
                <w:szCs w:val="7"/>
                <w:color w:val="auto"/>
              </w:rPr>
            </w:pPr>
          </w:p>
        </w:tc>
        <w:tc>
          <w:tcPr>
            <w:tcW w:w="260" w:type="dxa"/>
            <w:vAlign w:val="bottom"/>
            <w:shd w:val="clear" w:color="auto" w:fill="008A5F"/>
          </w:tcPr>
          <w:p>
            <w:pPr>
              <w:spacing w:after="0"/>
              <w:rPr>
                <w:sz w:val="7"/>
                <w:szCs w:val="7"/>
                <w:color w:val="auto"/>
              </w:rPr>
            </w:pPr>
          </w:p>
        </w:tc>
        <w:tc>
          <w:tcPr>
            <w:tcW w:w="1280" w:type="dxa"/>
            <w:vAlign w:val="bottom"/>
            <w:vMerge w:val="continue"/>
            <w:shd w:val="clear" w:color="auto" w:fill="008A5F"/>
          </w:tcPr>
          <w:p>
            <w:pPr>
              <w:spacing w:after="0"/>
              <w:rPr>
                <w:sz w:val="7"/>
                <w:szCs w:val="7"/>
                <w:color w:val="auto"/>
              </w:rPr>
            </w:pPr>
          </w:p>
        </w:tc>
        <w:tc>
          <w:tcPr>
            <w:tcW w:w="100" w:type="dxa"/>
            <w:vAlign w:val="bottom"/>
            <w:shd w:val="clear" w:color="auto" w:fill="008A5F"/>
          </w:tcPr>
          <w:p>
            <w:pPr>
              <w:spacing w:after="0"/>
              <w:rPr>
                <w:sz w:val="7"/>
                <w:szCs w:val="7"/>
                <w:color w:val="auto"/>
              </w:rPr>
            </w:pPr>
          </w:p>
        </w:tc>
        <w:tc>
          <w:tcPr>
            <w:tcW w:w="340" w:type="dxa"/>
            <w:vAlign w:val="bottom"/>
            <w:shd w:val="clear" w:color="auto" w:fill="008A5F"/>
          </w:tcPr>
          <w:p>
            <w:pPr>
              <w:spacing w:after="0"/>
              <w:rPr>
                <w:sz w:val="7"/>
                <w:szCs w:val="7"/>
                <w:color w:val="auto"/>
              </w:rPr>
            </w:pPr>
          </w:p>
        </w:tc>
        <w:tc>
          <w:tcPr>
            <w:tcW w:w="1180" w:type="dxa"/>
            <w:vAlign w:val="bottom"/>
            <w:vMerge w:val="continue"/>
            <w:shd w:val="clear" w:color="auto" w:fill="008A5F"/>
          </w:tcPr>
          <w:p>
            <w:pPr>
              <w:spacing w:after="0"/>
              <w:rPr>
                <w:sz w:val="7"/>
                <w:szCs w:val="7"/>
                <w:color w:val="auto"/>
              </w:rPr>
            </w:pPr>
          </w:p>
        </w:tc>
        <w:tc>
          <w:tcPr>
            <w:tcW w:w="120" w:type="dxa"/>
            <w:vAlign w:val="bottom"/>
            <w:shd w:val="clear" w:color="auto" w:fill="008A5F"/>
          </w:tcPr>
          <w:p>
            <w:pPr>
              <w:spacing w:after="0"/>
              <w:rPr>
                <w:sz w:val="7"/>
                <w:szCs w:val="7"/>
                <w:color w:val="auto"/>
              </w:rPr>
            </w:pPr>
          </w:p>
        </w:tc>
        <w:tc>
          <w:tcPr>
            <w:tcW w:w="140" w:type="dxa"/>
            <w:vAlign w:val="bottom"/>
            <w:shd w:val="clear" w:color="auto" w:fill="008A5F"/>
          </w:tcPr>
          <w:p>
            <w:pPr>
              <w:spacing w:after="0"/>
              <w:rPr>
                <w:sz w:val="7"/>
                <w:szCs w:val="7"/>
                <w:color w:val="auto"/>
              </w:rPr>
            </w:pPr>
          </w:p>
        </w:tc>
        <w:tc>
          <w:tcPr>
            <w:tcW w:w="138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80" w:type="dxa"/>
            <w:vAlign w:val="bottom"/>
          </w:tcPr>
          <w:p>
            <w:pPr>
              <w:ind w:left="220"/>
              <w:spacing w:after="0"/>
              <w:rPr>
                <w:sz w:val="20"/>
                <w:szCs w:val="20"/>
                <w:color w:val="auto"/>
              </w:rPr>
            </w:pPr>
            <w:r>
              <w:rPr>
                <w:rFonts w:ascii="Arial" w:cs="Arial" w:eastAsia="Arial" w:hAnsi="Arial"/>
                <w:sz w:val="16"/>
                <w:szCs w:val="16"/>
                <w:color w:val="auto"/>
              </w:rPr>
              <w:t>Leasing and services revenue:</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6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178,222</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97,262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80,960</w:t>
            </w:r>
          </w:p>
        </w:tc>
        <w:tc>
          <w:tcPr>
            <w:tcW w:w="0" w:type="dxa"/>
            <w:vAlign w:val="bottom"/>
          </w:tcPr>
          <w:p>
            <w:pPr>
              <w:spacing w:after="0"/>
              <w:rPr>
                <w:sz w:val="1"/>
                <w:szCs w:val="1"/>
                <w:color w:val="auto"/>
              </w:rPr>
            </w:pPr>
          </w:p>
        </w:tc>
      </w:tr>
      <w:tr>
        <w:trPr>
          <w:trHeight w:val="235"/>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24,031</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Sales: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14,904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7,476</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60" w:type="dxa"/>
            <w:vAlign w:val="bottom"/>
            <w:tcBorders>
              <w:bottom w:val="single" w:sz="8" w:color="auto"/>
            </w:tcBorders>
            <w:shd w:val="clear" w:color="auto" w:fill="E7E7E8"/>
          </w:tcPr>
          <w:p>
            <w:pPr>
              <w:spacing w:after="0"/>
              <w:rPr>
                <w:sz w:val="21"/>
                <w:szCs w:val="21"/>
                <w:color w:val="auto"/>
              </w:rPr>
            </w:pP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11,601</w:t>
            </w:r>
          </w:p>
        </w:tc>
        <w:tc>
          <w:tcPr>
            <w:tcW w:w="100" w:type="dxa"/>
            <w:vAlign w:val="bottom"/>
            <w:shd w:val="clear" w:color="auto" w:fill="E7E7E8"/>
          </w:tcPr>
          <w:p>
            <w:pPr>
              <w:spacing w:after="0"/>
              <w:rPr>
                <w:sz w:val="21"/>
                <w:szCs w:val="21"/>
                <w:color w:val="auto"/>
              </w:rPr>
            </w:pPr>
          </w:p>
        </w:tc>
        <w:tc>
          <w:tcPr>
            <w:tcW w:w="340" w:type="dxa"/>
            <w:vAlign w:val="bottom"/>
            <w:tcBorders>
              <w:bottom w:val="single" w:sz="8" w:color="auto"/>
            </w:tcBorders>
            <w:shd w:val="clear" w:color="auto" w:fill="E7E7E8"/>
          </w:tcPr>
          <w:p>
            <w:pPr>
              <w:spacing w:after="0"/>
              <w:rPr>
                <w:sz w:val="21"/>
                <w:szCs w:val="21"/>
                <w:color w:val="auto"/>
              </w:rPr>
            </w:pP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3,811</w:t>
            </w:r>
          </w:p>
        </w:tc>
        <w:tc>
          <w:tcPr>
            <w:tcW w:w="120" w:type="dxa"/>
            <w:vAlign w:val="bottom"/>
            <w:shd w:val="clear" w:color="auto" w:fill="E7E7E8"/>
          </w:tcPr>
          <w:p>
            <w:pPr>
              <w:spacing w:after="0"/>
              <w:rPr>
                <w:sz w:val="21"/>
                <w:szCs w:val="21"/>
                <w:color w:val="auto"/>
              </w:rPr>
            </w:pPr>
          </w:p>
        </w:tc>
        <w:tc>
          <w:tcPr>
            <w:tcW w:w="140" w:type="dxa"/>
            <w:vAlign w:val="bottom"/>
            <w:tcBorders>
              <w:bottom w:val="single" w:sz="8" w:color="auto"/>
            </w:tcBorders>
            <w:shd w:val="clear" w:color="auto" w:fill="E7E7E8"/>
          </w:tcPr>
          <w:p>
            <w:pPr>
              <w:spacing w:after="0"/>
              <w:rPr>
                <w:sz w:val="21"/>
                <w:szCs w:val="21"/>
                <w:color w:val="auto"/>
              </w:rPr>
            </w:pP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7,790</w:t>
            </w:r>
          </w:p>
        </w:tc>
        <w:tc>
          <w:tcPr>
            <w:tcW w:w="0" w:type="dxa"/>
            <w:vAlign w:val="bottom"/>
          </w:tcPr>
          <w:p>
            <w:pPr>
              <w:spacing w:after="0"/>
              <w:rPr>
                <w:sz w:val="1"/>
                <w:szCs w:val="1"/>
                <w:color w:val="auto"/>
              </w:rPr>
            </w:pPr>
          </w:p>
        </w:tc>
      </w:tr>
      <w:tr>
        <w:trPr>
          <w:trHeight w:val="229"/>
        </w:trPr>
        <w:tc>
          <w:tcPr>
            <w:tcW w:w="6580" w:type="dxa"/>
            <w:vAlign w:val="bottom"/>
          </w:tcPr>
          <w:p>
            <w:pPr>
              <w:ind w:left="66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134,751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120,257</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Costs: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80" w:type="dxa"/>
            <w:vAlign w:val="bottom"/>
          </w:tcPr>
          <w:p>
            <w:pPr>
              <w:ind w:left="220"/>
              <w:spacing w:after="0"/>
              <w:rPr>
                <w:sz w:val="20"/>
                <w:szCs w:val="20"/>
                <w:color w:val="auto"/>
              </w:rPr>
            </w:pPr>
            <w:r>
              <w:rPr>
                <w:rFonts w:ascii="Arial" w:cs="Arial" w:eastAsia="Arial" w:hAnsi="Arial"/>
                <w:sz w:val="16"/>
                <w:szCs w:val="16"/>
                <w:color w:val="auto"/>
              </w:rPr>
              <w:t>Costs of leasing and services: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Modular leasing</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47,235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27,162</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20,073</w:t>
            </w:r>
          </w:p>
        </w:tc>
        <w:tc>
          <w:tcPr>
            <w:tcW w:w="0" w:type="dxa"/>
            <w:vAlign w:val="bottom"/>
          </w:tcPr>
          <w:p>
            <w:pPr>
              <w:spacing w:after="0"/>
              <w:rPr>
                <w:sz w:val="1"/>
                <w:szCs w:val="1"/>
                <w:color w:val="auto"/>
              </w:rPr>
            </w:pPr>
          </w:p>
        </w:tc>
      </w:tr>
      <w:tr>
        <w:trPr>
          <w:trHeight w:val="235"/>
        </w:trPr>
        <w:tc>
          <w:tcPr>
            <w:tcW w:w="6580" w:type="dxa"/>
            <w:vAlign w:val="bottom"/>
          </w:tcPr>
          <w:p>
            <w:pPr>
              <w:ind w:left="440"/>
              <w:spacing w:after="0"/>
              <w:rPr>
                <w:sz w:val="20"/>
                <w:szCs w:val="20"/>
                <w:color w:val="auto"/>
              </w:rPr>
            </w:pPr>
            <w:r>
              <w:rPr>
                <w:rFonts w:ascii="Arial" w:cs="Arial" w:eastAsia="Arial" w:hAnsi="Arial"/>
                <w:sz w:val="16"/>
                <w:szCs w:val="16"/>
                <w:color w:val="auto"/>
              </w:rPr>
              <w:t>Modular delivery and installation</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25,521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17,822</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Costs of sales: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spacing w:after="0"/>
              <w:rPr>
                <w:sz w:val="21"/>
                <w:szCs w:val="21"/>
                <w:color w:val="auto"/>
              </w:rPr>
            </w:pP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spacing w:after="0"/>
              <w:rPr>
                <w:sz w:val="21"/>
                <w:szCs w:val="21"/>
                <w:color w:val="auto"/>
              </w:rPr>
            </w:pP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580" w:type="dxa"/>
            <w:vAlign w:val="bottom"/>
          </w:tcPr>
          <w:p>
            <w:pPr>
              <w:ind w:left="440"/>
              <w:spacing w:after="0"/>
              <w:rPr>
                <w:sz w:val="20"/>
                <w:szCs w:val="20"/>
                <w:color w:val="auto"/>
              </w:rPr>
            </w:pPr>
            <w:r>
              <w:rPr>
                <w:rFonts w:ascii="Arial" w:cs="Arial" w:eastAsia="Arial" w:hAnsi="Arial"/>
                <w:sz w:val="16"/>
                <w:szCs w:val="16"/>
                <w:color w:val="auto"/>
              </w:rPr>
              <w:t>New units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10,878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Rental units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2,315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5,480</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Depreciation of rental equipment</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41,103</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23,845</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17,258</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104,654</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50,921</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53,733</w:t>
            </w:r>
          </w:p>
        </w:tc>
        <w:tc>
          <w:tcPr>
            <w:tcW w:w="0" w:type="dxa"/>
            <w:vAlign w:val="bottom"/>
          </w:tcPr>
          <w:p>
            <w:pPr>
              <w:spacing w:after="0"/>
              <w:rPr>
                <w:sz w:val="1"/>
                <w:szCs w:val="1"/>
                <w:color w:val="auto"/>
              </w:rPr>
            </w:pPr>
          </w:p>
        </w:tc>
      </w:tr>
      <w:tr>
        <w:trPr>
          <w:trHeight w:val="235"/>
        </w:trPr>
        <w:tc>
          <w:tcPr>
            <w:tcW w:w="6580" w:type="dxa"/>
            <w:vAlign w:val="bottom"/>
          </w:tcPr>
          <w:p>
            <w:pPr>
              <w:ind w:left="2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73,485</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45,214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28,271</w:t>
            </w:r>
          </w:p>
        </w:tc>
        <w:tc>
          <w:tcPr>
            <w:tcW w:w="0" w:type="dxa"/>
            <w:vAlign w:val="bottom"/>
          </w:tcPr>
          <w:p>
            <w:pPr>
              <w:spacing w:after="0"/>
              <w:rPr>
                <w:sz w:val="1"/>
                <w:szCs w:val="1"/>
                <w:color w:val="auto"/>
              </w:rPr>
            </w:pPr>
          </w:p>
        </w:tc>
      </w:tr>
      <w:tr>
        <w:trPr>
          <w:trHeight w:val="235"/>
        </w:trPr>
        <w:tc>
          <w:tcPr>
            <w:tcW w:w="6580" w:type="dxa"/>
            <w:vAlign w:val="bottom"/>
          </w:tcPr>
          <w:p>
            <w:pPr>
              <w:ind w:left="220"/>
              <w:spacing w:after="0"/>
              <w:rPr>
                <w:sz w:val="20"/>
                <w:szCs w:val="20"/>
                <w:color w:val="auto"/>
              </w:rPr>
            </w:pPr>
            <w:r>
              <w:rPr>
                <w:rFonts w:ascii="Arial" w:cs="Arial" w:eastAsia="Arial" w:hAnsi="Arial"/>
                <w:sz w:val="16"/>
                <w:szCs w:val="16"/>
                <w:color w:val="auto"/>
              </w:rPr>
              <w:t>Other depreciation and amortization</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Impairment losses on property, plant and equipment</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300" w:type="dxa"/>
            <w:vAlign w:val="bottom"/>
            <w:gridSpan w:val="2"/>
            <w:shd w:val="clear" w:color="auto" w:fill="E7E7E8"/>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2,290</w:t>
            </w:r>
          </w:p>
        </w:tc>
        <w:tc>
          <w:tcPr>
            <w:tcW w:w="0" w:type="dxa"/>
            <w:vAlign w:val="bottom"/>
          </w:tcPr>
          <w:p>
            <w:pPr>
              <w:spacing w:after="0"/>
              <w:rPr>
                <w:sz w:val="1"/>
                <w:szCs w:val="1"/>
                <w:color w:val="auto"/>
              </w:rPr>
            </w:pPr>
          </w:p>
        </w:tc>
      </w:tr>
      <w:tr>
        <w:trPr>
          <w:trHeight w:val="235"/>
        </w:trPr>
        <w:tc>
          <w:tcPr>
            <w:tcW w:w="6580" w:type="dxa"/>
            <w:vAlign w:val="bottom"/>
          </w:tcPr>
          <w:p>
            <w:pPr>
              <w:ind w:left="22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5,325</w:t>
            </w:r>
          </w:p>
        </w:tc>
        <w:tc>
          <w:tcPr>
            <w:tcW w:w="0" w:type="dxa"/>
            <w:vAlign w:val="bottom"/>
          </w:tcPr>
          <w:p>
            <w:pPr>
              <w:spacing w:after="0"/>
              <w:rPr>
                <w:sz w:val="1"/>
                <w:szCs w:val="1"/>
                <w:color w:val="auto"/>
              </w:rPr>
            </w:pPr>
          </w:p>
        </w:tc>
      </w:tr>
      <w:tr>
        <w:trPr>
          <w:trHeight w:val="251"/>
        </w:trPr>
        <w:tc>
          <w:tcPr>
            <w:tcW w:w="65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(2,845)</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4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21,189</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4,464</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16,725</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31,972</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11,719</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20,253</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Loss from operations before income tax</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(10,783)</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(7,255)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(3,528)</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43"/>
        </w:trPr>
        <w:tc>
          <w:tcPr>
            <w:tcW w:w="658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(11,161)</w:t>
            </w:r>
          </w:p>
        </w:tc>
        <w:tc>
          <w:tcPr>
            <w:tcW w:w="100" w:type="dxa"/>
            <w:vAlign w:val="bottom"/>
            <w:shd w:val="clear" w:color="auto" w:fill="E7E7E8"/>
          </w:tcPr>
          <w:p>
            <w:pPr>
              <w:spacing w:after="0"/>
              <w:rPr>
                <w:sz w:val="21"/>
                <w:szCs w:val="21"/>
                <w:color w:val="auto"/>
              </w:rPr>
            </w:pPr>
          </w:p>
        </w:tc>
        <w:tc>
          <w:tcPr>
            <w:tcW w:w="340" w:type="dxa"/>
            <w:vAlign w:val="bottom"/>
            <w:shd w:val="clear" w:color="auto" w:fill="E7E7E8"/>
          </w:tcPr>
          <w:p>
            <w:pPr>
              <w:spacing w:after="0"/>
              <w:rPr>
                <w:sz w:val="21"/>
                <w:szCs w:val="21"/>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c>
          <w:tcPr>
            <w:tcW w:w="120" w:type="dxa"/>
            <w:vAlign w:val="bottom"/>
            <w:shd w:val="clear" w:color="auto" w:fill="E7E7E8"/>
          </w:tcPr>
          <w:p>
            <w:pPr>
              <w:spacing w:after="0"/>
              <w:rPr>
                <w:sz w:val="21"/>
                <w:szCs w:val="21"/>
                <w:color w:val="auto"/>
              </w:rPr>
            </w:pPr>
          </w:p>
        </w:tc>
        <w:tc>
          <w:tcPr>
            <w:tcW w:w="140" w:type="dxa"/>
            <w:vAlign w:val="bottom"/>
            <w:shd w:val="clear" w:color="auto" w:fill="E7E7E8"/>
          </w:tcPr>
          <w:p>
            <w:pPr>
              <w:spacing w:after="0"/>
              <w:rPr>
                <w:sz w:val="21"/>
                <w:szCs w:val="21"/>
                <w:color w:val="auto"/>
              </w:rPr>
            </w:pP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(4,326)</w:t>
            </w:r>
          </w:p>
        </w:tc>
        <w:tc>
          <w:tcPr>
            <w:tcW w:w="0" w:type="dxa"/>
            <w:vAlign w:val="bottom"/>
          </w:tcPr>
          <w:p>
            <w:pPr>
              <w:spacing w:after="0"/>
              <w:rPr>
                <w:sz w:val="1"/>
                <w:szCs w:val="1"/>
                <w:color w:val="auto"/>
              </w:rPr>
            </w:pPr>
          </w:p>
        </w:tc>
      </w:tr>
      <w:tr>
        <w:trPr>
          <w:trHeight w:val="237"/>
        </w:trPr>
        <w:tc>
          <w:tcPr>
            <w:tcW w:w="65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Net loss attributable to non-controlling interest, net of tax</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Borders>
              <w:bottom w:val="single" w:sz="8" w:color="E7E7E8"/>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Borders>
              <w:bottom w:val="single" w:sz="8" w:color="E7E7E8"/>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62"/>
        </w:trPr>
        <w:tc>
          <w:tcPr>
            <w:tcW w:w="658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Total loss attributable to WillScot</w:t>
            </w:r>
          </w:p>
        </w:tc>
        <w:tc>
          <w:tcPr>
            <w:tcW w:w="260" w:type="dxa"/>
            <w:vAlign w:val="bottom"/>
            <w:tcBorders>
              <w:bottom w:val="single" w:sz="8" w:color="auto"/>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(10,301)</w:t>
            </w:r>
          </w:p>
        </w:tc>
        <w:tc>
          <w:tcPr>
            <w:tcW w:w="100" w:type="dxa"/>
            <w:vAlign w:val="bottom"/>
            <w:tcBorders>
              <w:bottom w:val="single" w:sz="8" w:color="E7E7E8"/>
            </w:tcBorders>
            <w:shd w:val="clear" w:color="auto" w:fill="E7E7E8"/>
          </w:tcPr>
          <w:p>
            <w:pPr>
              <w:spacing w:after="0"/>
              <w:rPr>
                <w:sz w:val="22"/>
                <w:szCs w:val="22"/>
                <w:color w:val="auto"/>
              </w:rPr>
            </w:pPr>
          </w:p>
        </w:tc>
        <w:tc>
          <w:tcPr>
            <w:tcW w:w="340" w:type="dxa"/>
            <w:vAlign w:val="bottom"/>
            <w:tcBorders>
              <w:bottom w:val="single" w:sz="8" w:color="auto"/>
            </w:tcBorders>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(6,187)</w:t>
            </w:r>
          </w:p>
        </w:tc>
        <w:tc>
          <w:tcPr>
            <w:tcW w:w="120" w:type="dxa"/>
            <w:vAlign w:val="bottom"/>
            <w:tcBorders>
              <w:bottom w:val="single" w:sz="8" w:color="E7E7E8"/>
            </w:tcBorders>
            <w:shd w:val="clear" w:color="auto" w:fill="E7E7E8"/>
          </w:tcPr>
          <w:p>
            <w:pPr>
              <w:spacing w:after="0"/>
              <w:rPr>
                <w:sz w:val="22"/>
                <w:szCs w:val="22"/>
                <w:color w:val="auto"/>
              </w:rPr>
            </w:pPr>
          </w:p>
        </w:tc>
        <w:tc>
          <w:tcPr>
            <w:tcW w:w="1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(4,114)</w:t>
            </w:r>
          </w:p>
        </w:tc>
        <w:tc>
          <w:tcPr>
            <w:tcW w:w="0" w:type="dxa"/>
            <w:vAlign w:val="bottom"/>
          </w:tcPr>
          <w:p>
            <w:pPr>
              <w:spacing w:after="0"/>
              <w:rPr>
                <w:sz w:val="1"/>
                <w:szCs w:val="1"/>
                <w:color w:val="auto"/>
              </w:rPr>
            </w:pPr>
          </w:p>
        </w:tc>
      </w:tr>
      <w:tr>
        <w:trPr>
          <w:trHeight w:val="20"/>
        </w:trPr>
        <w:tc>
          <w:tcPr>
            <w:tcW w:w="6580" w:type="dxa"/>
            <w:vAlign w:val="bottom"/>
            <w:tcBorders>
              <w:top w:val="single" w:sz="8" w:color="E7E7E8"/>
            </w:tcBorders>
          </w:tcPr>
          <w:p>
            <w:pPr>
              <w:spacing w:after="0" w:line="20" w:lineRule="exact"/>
              <w:rPr>
                <w:sz w:val="1"/>
                <w:szCs w:val="1"/>
                <w:color w:val="auto"/>
              </w:rPr>
            </w:pPr>
          </w:p>
        </w:tc>
        <w:tc>
          <w:tcPr>
            <w:tcW w:w="2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00" w:type="dxa"/>
            <w:vAlign w:val="bottom"/>
            <w:tcBorders>
              <w:top w:val="single" w:sz="8" w:color="E7E7E8"/>
            </w:tcBorders>
          </w:tcPr>
          <w:p>
            <w:pPr>
              <w:spacing w:after="0" w:line="20" w:lineRule="exact"/>
              <w:rPr>
                <w:sz w:val="1"/>
                <w:szCs w:val="1"/>
                <w:color w:val="auto"/>
              </w:rPr>
            </w:pPr>
          </w:p>
        </w:tc>
        <w:tc>
          <w:tcPr>
            <w:tcW w:w="340" w:type="dxa"/>
            <w:vAlign w:val="bottom"/>
            <w:tcBorders>
              <w:top w:val="single" w:sz="8" w:color="E7E7E8"/>
              <w:bottom w:val="single" w:sz="8" w:color="auto"/>
            </w:tcBorders>
          </w:tcPr>
          <w:p>
            <w:pPr>
              <w:spacing w:after="0" w:line="20" w:lineRule="exact"/>
              <w:rPr>
                <w:sz w:val="1"/>
                <w:szCs w:val="1"/>
                <w:color w:val="auto"/>
              </w:rPr>
            </w:pPr>
          </w:p>
        </w:tc>
        <w:tc>
          <w:tcPr>
            <w:tcW w:w="11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140" w:type="dxa"/>
            <w:vAlign w:val="bottom"/>
            <w:tcBorders>
              <w:top w:val="single" w:sz="8" w:color="E7E7E8"/>
              <w:bottom w:val="single" w:sz="8" w:color="auto"/>
            </w:tcBorders>
          </w:tcPr>
          <w:p>
            <w:pPr>
              <w:spacing w:after="0" w:line="20" w:lineRule="exact"/>
              <w:rPr>
                <w:sz w:val="1"/>
                <w:szCs w:val="1"/>
                <w:color w:val="auto"/>
              </w:rPr>
            </w:pPr>
          </w:p>
        </w:tc>
        <w:tc>
          <w:tcPr>
            <w:tcW w:w="1380" w:type="dxa"/>
            <w:vAlign w:val="bottom"/>
            <w:tcBorders>
              <w:top w:val="single" w:sz="8" w:color="E7E7E8"/>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2019 and 2018</w:t>
      </w:r>
    </w:p>
    <w:p>
      <w:pPr>
        <w:spacing w:after="0" w:line="1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$120.2 million, or 89.2%, to $255.0 million for the three months ended March 31, 2019 from $134.8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The increase was primarily the result of a 84.9% increase in leasing and services revenue driven by increased volumes from acquisitions and improved pricing. Increased volumes were driven by units acquired as part of the ModSpace acquisition, as well as increased modular delivery and installation revenues on the combined rental fleet of 91.3% due to increased transaction volumes and higher revenues per transaction. Average modular space monthly rental rates increased 7.7% to $575 for the three months ended March 31, 2019, and average modular space units on rent increased 39,197 units, or 72.4%.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for ModSpace. The increase in leasing and services revenue was further complemented by increases of $7.5 million, or 101.4%, and $7.8 million, or 205.3% on new unit and rental unit sales, respectively, as compared to the same period in 2018. Increases in both new and rental unit sales were primarily a result of our increased scale as a result of the ModSpace acquisition and our larger post-acquisition fleet size and sales teams. The large increase in rental unit sales was driven by the Other North America segment.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86" w:right="239" w:bottom="1440" w:gutter="0" w:footer="0" w:header="0"/>
        </w:sectPr>
      </w:pPr>
    </w:p>
    <w:bookmarkStart w:id="29" w:name="page30"/>
    <w:bookmarkEnd w:id="29"/>
    <w:p>
      <w:pPr>
        <w:ind w:left="660"/>
        <w:spacing w:after="0"/>
        <w:rPr>
          <w:sz w:val="20"/>
          <w:szCs w:val="20"/>
          <w:color w:val="auto"/>
        </w:rPr>
      </w:pPr>
      <w:r>
        <w:rPr>
          <w:rFonts w:ascii="Arial" w:cs="Arial" w:eastAsia="Arial" w:hAnsi="Arial"/>
          <w:sz w:val="16"/>
          <w:szCs w:val="16"/>
          <w:color w:val="auto"/>
        </w:rPr>
        <w:t>On a pro forma basis, including results of WillScot and ModSpace for all periods presented, total revenues increased $10.9 million, or 4.5%, year-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over-year for the three months ended March 31, 2019. Increases were driven by core leasing revenues, which increased $14.5 million, or 8.9%, as a result of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12.1% increase in average modular space monthly rental rates. These increases were partially offset by decreased new sales, which declined $3.1 million, 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17.2% on a pro forma basis.</w:t>
      </w:r>
    </w:p>
    <w:p>
      <w:pPr>
        <w:spacing w:after="0" w:line="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Total average units on rent for the three months ended March 31, 2019 and 2018 were 110,728 and 68,098, respectively. The increase was due to units acquired as part of the ModSpace acquisition, with modular space average units on rent increasing 39,197 units, or 72.4% for the three months ended March 31, 2019. Modular space average monthly rental rates increased 7.7% for the three months ended March 31, 2019. Portable storage average units on rent increased by 3,433 units, or 24.5% for the three months ended March 31, 2019. Average portable storage monthly rental rates increased 0.8% for the three months ended March 31, 2019. The average modular space unit utilization rate during the three months ended March 31, 2019 was 72.4%, as compared to 69.9% during the same period in 2018. This increase was driven by higher utilization on the acquired ModSpace fleet as compared to the overall average utilization for the three months ended March 31, 2018, which included the fleet acquired from Acton and Tyson. The average portable storage unit utilization rate during the three months ended March 31, 2019 was 66.1%, as compared to 70.3% during the same period in 2018. The decrease in average portable storage utilization rate was driven by organic declines in the number of portable storage average units on rent in the Modular - US segment.</w:t>
      </w:r>
    </w:p>
    <w:p>
      <w:pPr>
        <w:spacing w:after="0" w:line="1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gross profit percentage was 41.0% and 37.8% for the three months ended March 31, 2019 and 2018, respectively. Our gross profit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excluding the effects of depreciation, was 57.2% and 55.5% for the three months ended March 31, 2019 and 2018, respectively.</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Gross profit increased $53.8 million, or 105.7%, to $104.7 million for the three months ended March 31, 2019 from $50.9 million for the three months ended March 31, 2018. The increase in gross profit is a result of a $67.1 million increase in modular leasing and services gross profit and increased new unit and rental unit gross profit of $3.9 million. Increases in modular leasing and services gross profit were primarily as a result of increased revenues due to additional units on rent as a result of recent acquisitions as well as increased margins due to favorable average monthly rental rates on modular space units and increased delivery and installation margins driven primarily by higher pricing per transaction. These increases were partially offset by increased depreciation of $17.3 million as a result of additional rental equipment acquired as part of the ModSpace acquisition, as well as continued capital investment in our existing rental equipment.</w:t>
      </w:r>
    </w:p>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b w:val="1"/>
          <w:bCs w:val="1"/>
          <w:i w:val="1"/>
          <w:iCs w:val="1"/>
          <w:color w:val="auto"/>
        </w:rPr>
        <w:t xml:space="preserve">SG&amp;A: </w:t>
      </w:r>
      <w:r>
        <w:rPr>
          <w:rFonts w:ascii="Arial" w:cs="Arial" w:eastAsia="Arial" w:hAnsi="Arial"/>
          <w:sz w:val="16"/>
          <w:szCs w:val="16"/>
          <w:color w:val="auto"/>
        </w:rPr>
        <w:t>SG&amp;A increased $28.3 million, or 62.6%, to $73.5 million for the three months ended March 31, 2019, compared to $45.2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2018. $8.7 million of the SG&amp;A increase was driven by discrete items including increased integration costs of $7.5 million related to the Acton and ModSpace integrations. Additionally, stock compensation expense increased $1.2 million due to grants of stock options, restricted stock awards (“RSAs”) and restricted stock units (“RSUs”) to certain employees in March of 2018. The remaining increases of $19.9 million are primarily related to increased employee costs of $9.9 million driven by the increased size of the workforce, net of realized employee cost synergies savings to date achieved as a result of the restructuring activities; and increased occupancy costs of $4.4 million largely due to the expansion of our branch network and storage lots, including a portion of the expected cost savings as we have now exited approximately 50% of redundant real estate locations. The remaining increases of $5.6 million are primarily related to increased professional fees, insurance, computer, travel, office, taxes, bad debt, and other expenses related to operating a larger business as a result of our recent acquisitions and our expanded employee base and branch network. We estimate cost synergies of approximately $7.3 million related to the Acton and ModSpace acquisitions were realized in the first quarter, bringing cumulative synergies related to the Acton, Tyson, and ModSpace acquisitions to approximately $13.7 million, which is slightly ahead of our integration plans. These activities are expected to continue through 2019 and we expect over $70.0 million of annual reoccurring cost savings once our integration plans are fully executed and in our results.</w:t>
      </w:r>
    </w:p>
    <w:p>
      <w:pPr>
        <w:spacing w:after="0" w:line="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Other Depreciation and Amortization: </w:t>
      </w:r>
      <w:r>
        <w:rPr>
          <w:rFonts w:ascii="Arial" w:cs="Arial" w:eastAsia="Arial" w:hAnsi="Arial"/>
          <w:sz w:val="16"/>
          <w:szCs w:val="16"/>
          <w:color w:val="auto"/>
        </w:rPr>
        <w:t>Other depreciation and amortization increased $0.6 million, or 25.0%, to $3.0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2019, compared to $2.4 million for the three months ended March 31, 2018. The increase was driven primarily by depreciation on property, plant and equipment acquired as part of the ModSpace acquisition in the third quarter of 2018.</w:t>
      </w:r>
    </w:p>
    <w:p>
      <w:pPr>
        <w:spacing w:after="0" w:line="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Impairment losses on Property, Plant and Equipment: </w:t>
      </w:r>
      <w:r>
        <w:rPr>
          <w:rFonts w:ascii="Arial" w:cs="Arial" w:eastAsia="Arial" w:hAnsi="Arial"/>
          <w:sz w:val="16"/>
          <w:szCs w:val="16"/>
          <w:color w:val="auto"/>
        </w:rPr>
        <w:t>Impairment losses on property, plant and equipment were $2.3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2019 as compared to $0.0 million for the three months ended March 31, 2018. In the first quarter of 2019, we reclassified certain branch facilities that we intend to exit from property, plant and equipment to held for sale and recognized an impairment on these assets as the estimated fair value less cost to sell was exceed by the carrying value of the facilities</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Restructuring Costs: </w:t>
      </w:r>
      <w:r>
        <w:rPr>
          <w:rFonts w:ascii="Arial" w:cs="Arial" w:eastAsia="Arial" w:hAnsi="Arial"/>
          <w:sz w:val="16"/>
          <w:szCs w:val="16"/>
          <w:color w:val="auto"/>
        </w:rPr>
        <w:t>Restructuring costs were $6.0 million for the three months ended March 31, 2019 as compared to $0.6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2018. The 2019 restructuring charges relate primarily to employee termination and lease breakage costs related to the ModSpace acquisition and integration. The 2018 restructuring charges relate primarily to employee termination and lease breakage costs related to the Acton and Tyson acquisitions and integrations.</w:t>
      </w:r>
    </w:p>
    <w:p>
      <w:pPr>
        <w:spacing w:after="0" w:line="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Currency Losses (Gains), net: </w:t>
      </w:r>
      <w:r>
        <w:rPr>
          <w:rFonts w:ascii="Arial" w:cs="Arial" w:eastAsia="Arial" w:hAnsi="Arial"/>
          <w:sz w:val="16"/>
          <w:szCs w:val="16"/>
          <w:color w:val="auto"/>
        </w:rPr>
        <w:t>Currency losses (gains), net decreased by $1.3 million to a $0.3 million gain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compared to a $1.0 million loss for the three months ended March 31, 2018. The decrease in currency losses (gains) in 2019 was primarily attributable to the impact of foreign currency exchange rate changes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094"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on loans and borrowings and intercompany receivables and payables denominated in a currency other than the subsidiaries’ functional currency.</w:t>
      </w:r>
    </w:p>
    <w:p>
      <w:pPr>
        <w:spacing w:after="0" w:line="5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$1.0 million and $2.8 million for the three months ended March 31, 2019 and 2018, respectively.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of $1.0 million for the three months ended March 31, 2019 was related to the receipt of a $0.9 million settlement in the period. Other income of $2.8 million for the three months ended March 31, 2018 was driven by the receipt of $3.0 million of insurance proceeds related to assets damaged during Hurricane Harvey in the period.</w:t>
      </w:r>
    </w:p>
    <w:p>
      <w:pPr>
        <w:spacing w:after="0" w:line="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$20.3 million, or 173.5%, to $32.0 million for the three months ended March 31, 2019 from $11.7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2018. The interest costs incurred during the three months ended March 31, 2018 relate to the debt structure of the Company prior to the ModSpace acquisition. The increase in interest expense is driven by our recent debt issuances. In the third quarter of 2018, as part of financing the ModSpace acquisition, we upsized our ABL credit agreement (the “ABL Facility”) to $1.425 billion, issued $300.0 million of senior secured notes (the "2023 Secured Notes"), and issued $200.0 million of unsecured notes (the "Unsecured Notes"). See Note 7 to the condensed consolidated financial statements for further discussion of our debt, and the additional debt incurred during the third quarter of 2018 as part of financing the ModSpace acquisition.</w:t>
      </w:r>
    </w:p>
    <w:p>
      <w:pPr>
        <w:spacing w:after="0" w:line="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(benefit) increased $0.8 million to $0.4 million expense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compared to $0.4 million benefit for the three months ended March 31, 2018. The increase in income tax expense was driven by a discrete recordation of uncertain tax positions and unrealized foreign currency gains in March 31, 2019 as compared to unrealized foreign currency losses and a SAB 118 tax benefit in March 31, 2018.</w:t>
      </w:r>
    </w:p>
    <w:p>
      <w:pPr>
        <w:spacing w:after="0" w:line="2" w:lineRule="exact"/>
        <w:rPr>
          <w:sz w:val="20"/>
          <w:szCs w:val="20"/>
          <w:color w:val="auto"/>
        </w:rPr>
      </w:pPr>
    </w:p>
    <w:p>
      <w:pPr>
        <w:spacing w:after="0"/>
        <w:rPr>
          <w:sz w:val="20"/>
          <w:szCs w:val="20"/>
          <w:color w:val="auto"/>
        </w:rPr>
      </w:pPr>
      <w:r>
        <w:rPr>
          <w:rFonts w:ascii="Arial" w:cs="Arial" w:eastAsia="Arial" w:hAnsi="Arial"/>
          <w:sz w:val="23"/>
          <w:szCs w:val="23"/>
          <w:color w:val="008A5F"/>
        </w:rPr>
        <w:t>Business Segment Results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line of business is modular leasing and sales. Modular leasing and sales comprises two reportable segments: Modular - US and Modular</w:t>
      </w:r>
    </w:p>
    <w:p>
      <w:pPr>
        <w:spacing w:after="0" w:line="25" w:lineRule="exact"/>
        <w:rPr>
          <w:sz w:val="20"/>
          <w:szCs w:val="20"/>
          <w:color w:val="auto"/>
        </w:rPr>
      </w:pPr>
    </w:p>
    <w:p>
      <w:pPr>
        <w:ind w:firstLine="8"/>
        <w:spacing w:after="0" w:line="265" w:lineRule="auto"/>
        <w:tabs>
          <w:tab w:leader="none" w:pos="1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North America. The Modular - US reportable segment includes the contiguous 48 states and Hawaii, and the Modular - Other North America reportable segment includes Alaska, Canada and Mexico.</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and discussion summarize our reportable segment financial information for the three months ended March 31, 2019 and 2018.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Future changes to our organizational structure may result in changes to the segments disclosed.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March 31, 2019 and 2018</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008A5F"/>
          </w:tcPr>
          <w:p>
            <w:pPr>
              <w:spacing w:after="0"/>
              <w:rPr>
                <w:sz w:val="21"/>
                <w:szCs w:val="21"/>
                <w:color w:val="auto"/>
              </w:rPr>
            </w:pPr>
          </w:p>
        </w:tc>
        <w:tc>
          <w:tcPr>
            <w:tcW w:w="240" w:type="dxa"/>
            <w:vAlign w:val="bottom"/>
            <w:shd w:val="clear" w:color="auto" w:fill="008A5F"/>
          </w:tcPr>
          <w:p>
            <w:pPr>
              <w:spacing w:after="0"/>
              <w:rPr>
                <w:sz w:val="21"/>
                <w:szCs w:val="21"/>
                <w:color w:val="auto"/>
              </w:rPr>
            </w:pPr>
          </w:p>
        </w:tc>
        <w:tc>
          <w:tcPr>
            <w:tcW w:w="3520" w:type="dxa"/>
            <w:vAlign w:val="bottom"/>
            <w:gridSpan w:val="3"/>
            <w:shd w:val="clear" w:color="auto" w:fill="008A5F"/>
          </w:tcPr>
          <w:p>
            <w:pPr>
              <w:jc w:val="right"/>
              <w:spacing w:after="0"/>
              <w:rPr>
                <w:sz w:val="20"/>
                <w:szCs w:val="20"/>
                <w:color w:val="auto"/>
              </w:rPr>
            </w:pPr>
            <w:r>
              <w:rPr>
                <w:rFonts w:ascii="Arial" w:cs="Arial" w:eastAsia="Arial" w:hAnsi="Arial"/>
                <w:sz w:val="16"/>
                <w:szCs w:val="16"/>
                <w:b w:val="1"/>
                <w:bCs w:val="1"/>
                <w:color w:val="FFFFFF"/>
              </w:rPr>
              <w:t>Three Months Ended March 31,</w:t>
            </w:r>
          </w:p>
        </w:tc>
        <w:tc>
          <w:tcPr>
            <w:tcW w:w="540" w:type="dxa"/>
            <w:vAlign w:val="bottom"/>
            <w:shd w:val="clear" w:color="auto" w:fill="008A5F"/>
          </w:tcPr>
          <w:p>
            <w:pPr>
              <w:ind w:left="20"/>
              <w:spacing w:after="0"/>
              <w:rPr>
                <w:sz w:val="20"/>
                <w:szCs w:val="20"/>
                <w:color w:val="auto"/>
              </w:rPr>
            </w:pPr>
            <w:r>
              <w:rPr>
                <w:rFonts w:ascii="Arial" w:cs="Arial" w:eastAsia="Arial" w:hAnsi="Arial"/>
                <w:sz w:val="16"/>
                <w:szCs w:val="16"/>
                <w:b w:val="1"/>
                <w:bCs w:val="1"/>
                <w:color w:val="FFFFFF"/>
              </w:rPr>
              <w:t>2019</w:t>
            </w:r>
          </w:p>
        </w:tc>
        <w:tc>
          <w:tcPr>
            <w:tcW w:w="1240" w:type="dxa"/>
            <w:vAlign w:val="bottom"/>
            <w:shd w:val="clear" w:color="auto" w:fill="008A5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840" w:type="dxa"/>
            <w:vAlign w:val="bottom"/>
            <w:vMerge w:val="restart"/>
            <w:shd w:val="clear" w:color="auto" w:fill="008A5F"/>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40" w:type="dxa"/>
            <w:vAlign w:val="bottom"/>
            <w:shd w:val="clear" w:color="auto" w:fill="008A5F"/>
          </w:tcPr>
          <w:p>
            <w:pPr>
              <w:spacing w:after="0"/>
              <w:rPr>
                <w:sz w:val="14"/>
                <w:szCs w:val="14"/>
                <w:color w:val="auto"/>
              </w:rPr>
            </w:pPr>
          </w:p>
        </w:tc>
        <w:tc>
          <w:tcPr>
            <w:tcW w:w="1600" w:type="dxa"/>
            <w:vAlign w:val="bottom"/>
            <w:vMerge w:val="restart"/>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Modular - US</w:t>
            </w:r>
          </w:p>
        </w:tc>
        <w:tc>
          <w:tcPr>
            <w:tcW w:w="1920" w:type="dxa"/>
            <w:vAlign w:val="bottom"/>
            <w:gridSpan w:val="2"/>
            <w:shd w:val="clear" w:color="auto" w:fill="008A5F"/>
          </w:tcPr>
          <w:p>
            <w:pPr>
              <w:jc w:val="right"/>
              <w:ind w:right="59"/>
              <w:spacing w:after="0" w:line="162" w:lineRule="exact"/>
              <w:rPr>
                <w:sz w:val="20"/>
                <w:szCs w:val="20"/>
                <w:color w:val="auto"/>
              </w:rPr>
            </w:pPr>
            <w:r>
              <w:rPr>
                <w:rFonts w:ascii="Arial" w:cs="Arial" w:eastAsia="Arial" w:hAnsi="Arial"/>
                <w:sz w:val="16"/>
                <w:szCs w:val="16"/>
                <w:b w:val="1"/>
                <w:bCs w:val="1"/>
                <w:color w:val="FFFFFF"/>
              </w:rPr>
              <w:t>Modular - Other North</w:t>
            </w:r>
          </w:p>
        </w:tc>
        <w:tc>
          <w:tcPr>
            <w:tcW w:w="540" w:type="dxa"/>
            <w:vAlign w:val="bottom"/>
            <w:shd w:val="clear" w:color="auto" w:fill="008A5F"/>
          </w:tcPr>
          <w:p>
            <w:pPr>
              <w:spacing w:after="0"/>
              <w:rPr>
                <w:sz w:val="14"/>
                <w:szCs w:val="14"/>
                <w:color w:val="auto"/>
              </w:rPr>
            </w:pPr>
          </w:p>
        </w:tc>
        <w:tc>
          <w:tcPr>
            <w:tcW w:w="1240" w:type="dxa"/>
            <w:vAlign w:val="bottom"/>
            <w:vMerge w:val="restart"/>
            <w:shd w:val="clear" w:color="auto" w:fill="008A5F"/>
          </w:tcPr>
          <w:p>
            <w:pPr>
              <w:jc w:val="right"/>
              <w:ind w:right="619"/>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229"/>
        </w:trPr>
        <w:tc>
          <w:tcPr>
            <w:tcW w:w="5840" w:type="dxa"/>
            <w:vAlign w:val="bottom"/>
            <w:vMerge w:val="continue"/>
            <w:shd w:val="clear" w:color="auto" w:fill="008A5F"/>
          </w:tcPr>
          <w:p>
            <w:pPr>
              <w:spacing w:after="0"/>
              <w:rPr>
                <w:sz w:val="19"/>
                <w:szCs w:val="19"/>
                <w:color w:val="auto"/>
              </w:rPr>
            </w:pPr>
          </w:p>
        </w:tc>
        <w:tc>
          <w:tcPr>
            <w:tcW w:w="240" w:type="dxa"/>
            <w:vAlign w:val="bottom"/>
            <w:shd w:val="clear" w:color="auto" w:fill="008A5F"/>
          </w:tcPr>
          <w:p>
            <w:pPr>
              <w:spacing w:after="0"/>
              <w:rPr>
                <w:sz w:val="19"/>
                <w:szCs w:val="19"/>
                <w:color w:val="auto"/>
              </w:rPr>
            </w:pPr>
          </w:p>
        </w:tc>
        <w:tc>
          <w:tcPr>
            <w:tcW w:w="1600" w:type="dxa"/>
            <w:vAlign w:val="bottom"/>
            <w:vMerge w:val="continue"/>
            <w:shd w:val="clear" w:color="auto" w:fill="008A5F"/>
          </w:tcPr>
          <w:p>
            <w:pPr>
              <w:spacing w:after="0"/>
              <w:rPr>
                <w:sz w:val="19"/>
                <w:szCs w:val="19"/>
                <w:color w:val="auto"/>
              </w:rPr>
            </w:pPr>
          </w:p>
        </w:tc>
        <w:tc>
          <w:tcPr>
            <w:tcW w:w="380" w:type="dxa"/>
            <w:vAlign w:val="bottom"/>
            <w:shd w:val="clear" w:color="auto" w:fill="008A5F"/>
          </w:tcPr>
          <w:p>
            <w:pPr>
              <w:spacing w:after="0"/>
              <w:rPr>
                <w:sz w:val="19"/>
                <w:szCs w:val="19"/>
                <w:color w:val="auto"/>
              </w:rPr>
            </w:pPr>
          </w:p>
        </w:tc>
        <w:tc>
          <w:tcPr>
            <w:tcW w:w="154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America</w:t>
            </w:r>
          </w:p>
        </w:tc>
        <w:tc>
          <w:tcPr>
            <w:tcW w:w="540" w:type="dxa"/>
            <w:vAlign w:val="bottom"/>
            <w:shd w:val="clear" w:color="auto" w:fill="008A5F"/>
          </w:tcPr>
          <w:p>
            <w:pPr>
              <w:spacing w:after="0"/>
              <w:rPr>
                <w:sz w:val="19"/>
                <w:szCs w:val="19"/>
                <w:color w:val="auto"/>
              </w:rPr>
            </w:pPr>
          </w:p>
        </w:tc>
        <w:tc>
          <w:tcPr>
            <w:tcW w:w="1240" w:type="dxa"/>
            <w:vAlign w:val="bottom"/>
            <w:vMerge w:val="continue"/>
            <w:shd w:val="clear" w:color="auto" w:fill="008A5F"/>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5840" w:type="dxa"/>
            <w:vAlign w:val="bottom"/>
            <w:shd w:val="clear" w:color="auto" w:fill="008A5F"/>
          </w:tcPr>
          <w:p>
            <w:pPr>
              <w:spacing w:after="0"/>
              <w:rPr>
                <w:sz w:val="7"/>
                <w:szCs w:val="7"/>
                <w:color w:val="auto"/>
              </w:rPr>
            </w:pPr>
          </w:p>
        </w:tc>
        <w:tc>
          <w:tcPr>
            <w:tcW w:w="240" w:type="dxa"/>
            <w:vAlign w:val="bottom"/>
            <w:shd w:val="clear" w:color="auto" w:fill="008A5F"/>
          </w:tcPr>
          <w:p>
            <w:pPr>
              <w:spacing w:after="0"/>
              <w:rPr>
                <w:sz w:val="7"/>
                <w:szCs w:val="7"/>
                <w:color w:val="auto"/>
              </w:rPr>
            </w:pPr>
          </w:p>
        </w:tc>
        <w:tc>
          <w:tcPr>
            <w:tcW w:w="1600" w:type="dxa"/>
            <w:vAlign w:val="bottom"/>
            <w:shd w:val="clear" w:color="auto" w:fill="008A5F"/>
          </w:tcPr>
          <w:p>
            <w:pPr>
              <w:spacing w:after="0"/>
              <w:rPr>
                <w:sz w:val="7"/>
                <w:szCs w:val="7"/>
                <w:color w:val="auto"/>
              </w:rPr>
            </w:pPr>
          </w:p>
        </w:tc>
        <w:tc>
          <w:tcPr>
            <w:tcW w:w="380" w:type="dxa"/>
            <w:vAlign w:val="bottom"/>
            <w:shd w:val="clear" w:color="auto" w:fill="008A5F"/>
          </w:tcPr>
          <w:p>
            <w:pPr>
              <w:spacing w:after="0"/>
              <w:rPr>
                <w:sz w:val="7"/>
                <w:szCs w:val="7"/>
                <w:color w:val="auto"/>
              </w:rPr>
            </w:pPr>
          </w:p>
        </w:tc>
        <w:tc>
          <w:tcPr>
            <w:tcW w:w="1540" w:type="dxa"/>
            <w:vAlign w:val="bottom"/>
            <w:shd w:val="clear" w:color="auto" w:fill="008A5F"/>
          </w:tcPr>
          <w:p>
            <w:pPr>
              <w:spacing w:after="0"/>
              <w:rPr>
                <w:sz w:val="7"/>
                <w:szCs w:val="7"/>
                <w:color w:val="auto"/>
              </w:rPr>
            </w:pPr>
          </w:p>
        </w:tc>
        <w:tc>
          <w:tcPr>
            <w:tcW w:w="540" w:type="dxa"/>
            <w:vAlign w:val="bottom"/>
            <w:shd w:val="clear" w:color="auto" w:fill="008A5F"/>
          </w:tcPr>
          <w:p>
            <w:pPr>
              <w:spacing w:after="0"/>
              <w:rPr>
                <w:sz w:val="7"/>
                <w:szCs w:val="7"/>
                <w:color w:val="auto"/>
              </w:rPr>
            </w:pPr>
          </w:p>
        </w:tc>
        <w:tc>
          <w:tcPr>
            <w:tcW w:w="1240" w:type="dxa"/>
            <w:vAlign w:val="bottom"/>
            <w:shd w:val="clear" w:color="auto" w:fill="008A5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231,476</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23,532</w:t>
            </w:r>
          </w:p>
        </w:tc>
        <w:tc>
          <w:tcPr>
            <w:tcW w:w="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255,008</w:t>
            </w:r>
          </w:p>
        </w:tc>
        <w:tc>
          <w:tcPr>
            <w:tcW w:w="0" w:type="dxa"/>
            <w:vAlign w:val="bottom"/>
          </w:tcPr>
          <w:p>
            <w:pPr>
              <w:spacing w:after="0"/>
              <w:rPr>
                <w:sz w:val="1"/>
                <w:szCs w:val="1"/>
                <w:color w:val="auto"/>
              </w:rPr>
            </w:pPr>
          </w:p>
        </w:tc>
      </w:tr>
      <w:tr>
        <w:trPr>
          <w:trHeight w:val="235"/>
        </w:trPr>
        <w:tc>
          <w:tcPr>
            <w:tcW w:w="58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95,250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9,404</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104,654</w:t>
            </w:r>
          </w:p>
        </w:tc>
        <w:tc>
          <w:tcPr>
            <w:tcW w:w="0" w:type="dxa"/>
            <w:vAlign w:val="bottom"/>
          </w:tcPr>
          <w:p>
            <w:pPr>
              <w:spacing w:after="0"/>
              <w:rPr>
                <w:sz w:val="1"/>
                <w:szCs w:val="1"/>
                <w:color w:val="auto"/>
              </w:rPr>
            </w:pPr>
          </w:p>
        </w:tc>
      </w:tr>
      <w:tr>
        <w:trPr>
          <w:trHeight w:val="251"/>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76,768</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7,740</w:t>
            </w:r>
          </w:p>
        </w:tc>
        <w:tc>
          <w:tcPr>
            <w:tcW w:w="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84,508</w:t>
            </w:r>
          </w:p>
        </w:tc>
        <w:tc>
          <w:tcPr>
            <w:tcW w:w="0" w:type="dxa"/>
            <w:vAlign w:val="bottom"/>
          </w:tcPr>
          <w:p>
            <w:pPr>
              <w:spacing w:after="0"/>
              <w:rPr>
                <w:sz w:val="1"/>
                <w:szCs w:val="1"/>
                <w:color w:val="auto"/>
              </w:rPr>
            </w:pPr>
          </w:p>
        </w:tc>
      </w:tr>
      <w:tr>
        <w:trPr>
          <w:trHeight w:val="235"/>
        </w:trPr>
        <w:tc>
          <w:tcPr>
            <w:tcW w:w="584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49,921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1,952</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51,873</w:t>
            </w:r>
          </w:p>
        </w:tc>
        <w:tc>
          <w:tcPr>
            <w:tcW w:w="0" w:type="dxa"/>
            <w:vAlign w:val="bottom"/>
          </w:tcPr>
          <w:p>
            <w:pPr>
              <w:spacing w:after="0"/>
              <w:rPr>
                <w:sz w:val="1"/>
                <w:szCs w:val="1"/>
                <w:color w:val="auto"/>
              </w:rPr>
            </w:pPr>
          </w:p>
        </w:tc>
      </w:tr>
      <w:tr>
        <w:trPr>
          <w:trHeight w:val="251"/>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84,462</w:t>
            </w:r>
          </w:p>
        </w:tc>
        <w:tc>
          <w:tcPr>
            <w:tcW w:w="3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8,847</w:t>
            </w:r>
          </w:p>
        </w:tc>
        <w:tc>
          <w:tcPr>
            <w:tcW w:w="5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93,309</w:t>
            </w:r>
          </w:p>
        </w:tc>
        <w:tc>
          <w:tcPr>
            <w:tcW w:w="0" w:type="dxa"/>
            <w:vAlign w:val="bottom"/>
          </w:tcPr>
          <w:p>
            <w:pPr>
              <w:spacing w:after="0"/>
              <w:rPr>
                <w:sz w:val="1"/>
                <w:szCs w:val="1"/>
                <w:color w:val="auto"/>
              </w:rPr>
            </w:pPr>
          </w:p>
        </w:tc>
      </w:tr>
      <w:tr>
        <w:trPr>
          <w:trHeight w:val="235"/>
        </w:trPr>
        <w:tc>
          <w:tcPr>
            <w:tcW w:w="584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74.8 %</w:t>
            </w:r>
          </w:p>
        </w:tc>
        <w:tc>
          <w:tcPr>
            <w:tcW w:w="3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55.1 %</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72.4 %</w:t>
            </w:r>
          </w:p>
        </w:tc>
        <w:tc>
          <w:tcPr>
            <w:tcW w:w="0" w:type="dxa"/>
            <w:vAlign w:val="bottom"/>
          </w:tcPr>
          <w:p>
            <w:pPr>
              <w:spacing w:after="0"/>
              <w:rPr>
                <w:sz w:val="1"/>
                <w:szCs w:val="1"/>
                <w:color w:val="auto"/>
              </w:rPr>
            </w:pPr>
          </w:p>
        </w:tc>
      </w:tr>
      <w:tr>
        <w:trPr>
          <w:trHeight w:val="251"/>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577</w:t>
            </w:r>
          </w:p>
        </w:tc>
        <w:tc>
          <w:tcPr>
            <w:tcW w:w="38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552</w:t>
            </w:r>
          </w:p>
        </w:tc>
        <w:tc>
          <w:tcPr>
            <w:tcW w:w="540" w:type="dxa"/>
            <w:vAlign w:val="bottom"/>
            <w:shd w:val="clear" w:color="auto" w:fill="E7E7E8"/>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35"/>
        </w:trPr>
        <w:tc>
          <w:tcPr>
            <w:tcW w:w="584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4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17,010</w:t>
            </w:r>
          </w:p>
        </w:tc>
        <w:tc>
          <w:tcPr>
            <w:tcW w:w="38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409</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17,419</w:t>
            </w:r>
          </w:p>
        </w:tc>
        <w:tc>
          <w:tcPr>
            <w:tcW w:w="0" w:type="dxa"/>
            <w:vAlign w:val="bottom"/>
          </w:tcPr>
          <w:p>
            <w:pPr>
              <w:spacing w:after="0"/>
              <w:rPr>
                <w:sz w:val="1"/>
                <w:szCs w:val="1"/>
                <w:color w:val="auto"/>
              </w:rPr>
            </w:pPr>
          </w:p>
        </w:tc>
      </w:tr>
      <w:tr>
        <w:trPr>
          <w:trHeight w:val="251"/>
        </w:trPr>
        <w:tc>
          <w:tcPr>
            <w:tcW w:w="584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4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66.6 %</w:t>
            </w:r>
          </w:p>
        </w:tc>
        <w:tc>
          <w:tcPr>
            <w:tcW w:w="380" w:type="dxa"/>
            <w:vAlign w:val="bottom"/>
            <w:shd w:val="clear" w:color="auto" w:fill="E7E7E8"/>
          </w:tcPr>
          <w:p>
            <w:pPr>
              <w:spacing w:after="0"/>
              <w:rPr>
                <w:sz w:val="21"/>
                <w:szCs w:val="21"/>
                <w:color w:val="auto"/>
              </w:rPr>
            </w:pPr>
          </w:p>
        </w:tc>
        <w:tc>
          <w:tcPr>
            <w:tcW w:w="15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52.0 %</w:t>
            </w:r>
          </w:p>
        </w:tc>
        <w:tc>
          <w:tcPr>
            <w:tcW w:w="5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66.1 %</w:t>
            </w:r>
          </w:p>
        </w:tc>
        <w:tc>
          <w:tcPr>
            <w:tcW w:w="0" w:type="dxa"/>
            <w:vAlign w:val="bottom"/>
          </w:tcPr>
          <w:p>
            <w:pPr>
              <w:spacing w:after="0"/>
              <w:rPr>
                <w:sz w:val="1"/>
                <w:szCs w:val="1"/>
                <w:color w:val="auto"/>
              </w:rPr>
            </w:pPr>
          </w:p>
        </w:tc>
      </w:tr>
      <w:tr>
        <w:trPr>
          <w:trHeight w:val="228"/>
        </w:trPr>
        <w:tc>
          <w:tcPr>
            <w:tcW w:w="584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540" w:type="dxa"/>
            <w:vAlign w:val="bottom"/>
          </w:tcPr>
          <w:p>
            <w:pPr>
              <w:ind w:left="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37730" cy="428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42862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FFFFFF"/>
        </w:rPr>
        <w:t>Three Months Ended March 31, 2018</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shd w:val="clear" w:color="auto" w:fill="008A5F"/>
          </w:tcPr>
          <w:p>
            <w:pPr>
              <w:spacing w:after="0"/>
              <w:rPr>
                <w:sz w:val="16"/>
                <w:szCs w:val="16"/>
                <w:color w:val="auto"/>
              </w:rPr>
            </w:pPr>
          </w:p>
        </w:tc>
        <w:tc>
          <w:tcPr>
            <w:tcW w:w="1600" w:type="dxa"/>
            <w:vAlign w:val="bottom"/>
            <w:shd w:val="clear" w:color="auto" w:fill="008A5F"/>
          </w:tcPr>
          <w:p>
            <w:pPr>
              <w:spacing w:after="0"/>
              <w:rPr>
                <w:sz w:val="16"/>
                <w:szCs w:val="16"/>
                <w:color w:val="auto"/>
              </w:rPr>
            </w:pPr>
          </w:p>
        </w:tc>
        <w:tc>
          <w:tcPr>
            <w:tcW w:w="1860" w:type="dxa"/>
            <w:vAlign w:val="bottom"/>
            <w:gridSpan w:val="2"/>
            <w:shd w:val="clear" w:color="auto" w:fill="008A5F"/>
          </w:tcPr>
          <w:p>
            <w:pPr>
              <w:ind w:left="80"/>
              <w:spacing w:after="0"/>
              <w:rPr>
                <w:sz w:val="20"/>
                <w:szCs w:val="20"/>
                <w:color w:val="auto"/>
              </w:rPr>
            </w:pPr>
            <w:r>
              <w:rPr>
                <w:rFonts w:ascii="Arial" w:cs="Arial" w:eastAsia="Arial" w:hAnsi="Arial"/>
                <w:sz w:val="16"/>
                <w:szCs w:val="16"/>
                <w:b w:val="1"/>
                <w:bCs w:val="1"/>
                <w:color w:val="FFFFFF"/>
              </w:rPr>
              <w:t>Modular - Other North</w:t>
            </w:r>
          </w:p>
        </w:tc>
        <w:tc>
          <w:tcPr>
            <w:tcW w:w="460" w:type="dxa"/>
            <w:vAlign w:val="bottom"/>
            <w:shd w:val="clear" w:color="auto" w:fill="008A5F"/>
          </w:tcPr>
          <w:p>
            <w:pPr>
              <w:spacing w:after="0"/>
              <w:rPr>
                <w:sz w:val="16"/>
                <w:szCs w:val="16"/>
                <w:color w:val="auto"/>
              </w:rPr>
            </w:pPr>
          </w:p>
        </w:tc>
        <w:tc>
          <w:tcPr>
            <w:tcW w:w="1400" w:type="dxa"/>
            <w:vAlign w:val="bottom"/>
            <w:shd w:val="clear" w:color="auto" w:fill="008A5F"/>
          </w:tcPr>
          <w:p>
            <w:pPr>
              <w:spacing w:after="0"/>
              <w:rPr>
                <w:sz w:val="16"/>
                <w:szCs w:val="16"/>
                <w:color w:val="auto"/>
              </w:rPr>
            </w:pPr>
          </w:p>
        </w:tc>
      </w:tr>
      <w:tr>
        <w:trPr>
          <w:trHeight w:val="236"/>
        </w:trPr>
        <w:tc>
          <w:tcPr>
            <w:tcW w:w="58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 except for units on rent and rates)</w:t>
            </w:r>
          </w:p>
        </w:tc>
        <w:tc>
          <w:tcPr>
            <w:tcW w:w="220" w:type="dxa"/>
            <w:vAlign w:val="bottom"/>
            <w:shd w:val="clear" w:color="auto" w:fill="008A5F"/>
          </w:tcPr>
          <w:p>
            <w:pPr>
              <w:spacing w:after="0"/>
              <w:rPr>
                <w:sz w:val="20"/>
                <w:szCs w:val="20"/>
                <w:color w:val="auto"/>
              </w:rPr>
            </w:pPr>
          </w:p>
        </w:tc>
        <w:tc>
          <w:tcPr>
            <w:tcW w:w="1600" w:type="dxa"/>
            <w:vAlign w:val="bottom"/>
            <w:shd w:val="clear" w:color="auto" w:fill="008A5F"/>
          </w:tcPr>
          <w:p>
            <w:pPr>
              <w:jc w:val="right"/>
              <w:ind w:right="379"/>
              <w:spacing w:after="0"/>
              <w:rPr>
                <w:sz w:val="20"/>
                <w:szCs w:val="20"/>
                <w:color w:val="auto"/>
              </w:rPr>
            </w:pPr>
            <w:r>
              <w:rPr>
                <w:rFonts w:ascii="Arial" w:cs="Arial" w:eastAsia="Arial" w:hAnsi="Arial"/>
                <w:sz w:val="16"/>
                <w:szCs w:val="16"/>
                <w:b w:val="1"/>
                <w:bCs w:val="1"/>
                <w:color w:val="FFFFFF"/>
              </w:rPr>
              <w:t>Modular - US</w:t>
            </w:r>
          </w:p>
        </w:tc>
        <w:tc>
          <w:tcPr>
            <w:tcW w:w="380" w:type="dxa"/>
            <w:vAlign w:val="bottom"/>
            <w:shd w:val="clear" w:color="auto" w:fill="008A5F"/>
          </w:tcPr>
          <w:p>
            <w:pPr>
              <w:spacing w:after="0"/>
              <w:rPr>
                <w:sz w:val="20"/>
                <w:szCs w:val="20"/>
                <w:color w:val="auto"/>
              </w:rPr>
            </w:pPr>
          </w:p>
        </w:tc>
        <w:tc>
          <w:tcPr>
            <w:tcW w:w="14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America</w:t>
            </w:r>
          </w:p>
        </w:tc>
        <w:tc>
          <w:tcPr>
            <w:tcW w:w="460" w:type="dxa"/>
            <w:vAlign w:val="bottom"/>
            <w:shd w:val="clear" w:color="auto" w:fill="008A5F"/>
          </w:tcPr>
          <w:p>
            <w:pPr>
              <w:spacing w:after="0"/>
              <w:rPr>
                <w:sz w:val="20"/>
                <w:szCs w:val="20"/>
                <w:color w:val="auto"/>
              </w:rPr>
            </w:pPr>
          </w:p>
        </w:tc>
        <w:tc>
          <w:tcPr>
            <w:tcW w:w="1400" w:type="dxa"/>
            <w:vAlign w:val="bottom"/>
            <w:shd w:val="clear" w:color="auto" w:fill="008A5F"/>
          </w:tcPr>
          <w:p>
            <w:pPr>
              <w:jc w:val="right"/>
              <w:ind w:right="659"/>
              <w:spacing w:after="0"/>
              <w:rPr>
                <w:sz w:val="20"/>
                <w:szCs w:val="20"/>
                <w:color w:val="auto"/>
              </w:rPr>
            </w:pPr>
            <w:r>
              <w:rPr>
                <w:rFonts w:ascii="Arial" w:cs="Arial" w:eastAsia="Arial" w:hAnsi="Arial"/>
                <w:sz w:val="16"/>
                <w:szCs w:val="16"/>
                <w:b w:val="1"/>
                <w:bCs w:val="1"/>
                <w:color w:val="FFFFFF"/>
              </w:rPr>
              <w:t>Total</w:t>
            </w:r>
          </w:p>
        </w:tc>
      </w:tr>
      <w:tr>
        <w:trPr>
          <w:trHeight w:val="243"/>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122,087</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12,664</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134,751</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46,808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4,113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50,921</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32,612</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2,880</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35,492</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Capital expenditures for rental equipment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30,524</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1,560</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32,084</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Modular space units on rent (average during the period)</w:t>
            </w:r>
          </w:p>
        </w:tc>
        <w:tc>
          <w:tcPr>
            <w:tcW w:w="220" w:type="dxa"/>
            <w:vAlign w:val="bottom"/>
            <w:shd w:val="clear" w:color="auto" w:fill="E7E7E8"/>
          </w:tcPr>
          <w:p>
            <w:pPr>
              <w:spacing w:after="0"/>
              <w:rPr>
                <w:sz w:val="21"/>
                <w:szCs w:val="21"/>
                <w:color w:val="auto"/>
              </w:rPr>
            </w:pP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48,657</w:t>
            </w:r>
          </w:p>
        </w:tc>
        <w:tc>
          <w:tcPr>
            <w:tcW w:w="380" w:type="dxa"/>
            <w:vAlign w:val="bottom"/>
            <w:shd w:val="clear" w:color="auto" w:fill="E7E7E8"/>
          </w:tcPr>
          <w:p>
            <w:pPr>
              <w:spacing w:after="0"/>
              <w:rPr>
                <w:sz w:val="21"/>
                <w:szCs w:val="21"/>
                <w:color w:val="auto"/>
              </w:rPr>
            </w:pP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5,455</w:t>
            </w:r>
          </w:p>
        </w:tc>
        <w:tc>
          <w:tcPr>
            <w:tcW w:w="4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54,112</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Average modular space utilization rate</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71.8 %</w:t>
            </w: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56.6 %</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69.9 %</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modular space monthly rental rate</w:t>
            </w:r>
          </w:p>
        </w:tc>
        <w:tc>
          <w:tcPr>
            <w:tcW w:w="2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533</w:t>
            </w:r>
          </w:p>
        </w:tc>
        <w:tc>
          <w:tcPr>
            <w:tcW w:w="380" w:type="dxa"/>
            <w:vAlign w:val="bottom"/>
            <w:shd w:val="clear" w:color="auto" w:fill="E7E7E8"/>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541</w:t>
            </w:r>
          </w:p>
        </w:tc>
        <w:tc>
          <w:tcPr>
            <w:tcW w:w="46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534</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Portable storage units on rent (average during the period)</w:t>
            </w:r>
          </w:p>
        </w:tc>
        <w:tc>
          <w:tcPr>
            <w:tcW w:w="220" w:type="dxa"/>
            <w:vAlign w:val="bottom"/>
          </w:tcPr>
          <w:p>
            <w:pPr>
              <w:spacing w:after="0"/>
              <w:rPr>
                <w:sz w:val="20"/>
                <w:szCs w:val="20"/>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13,625</w:t>
            </w:r>
          </w:p>
        </w:tc>
        <w:tc>
          <w:tcPr>
            <w:tcW w:w="38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13,986</w:t>
            </w:r>
          </w:p>
        </w:tc>
      </w:tr>
      <w:tr>
        <w:trPr>
          <w:trHeight w:val="251"/>
        </w:trPr>
        <w:tc>
          <w:tcPr>
            <w:tcW w:w="5860" w:type="dxa"/>
            <w:vAlign w:val="bottom"/>
            <w:shd w:val="clear" w:color="auto" w:fill="E7E7E8"/>
          </w:tcPr>
          <w:p>
            <w:pPr>
              <w:ind w:left="20"/>
              <w:spacing w:after="0"/>
              <w:rPr>
                <w:sz w:val="20"/>
                <w:szCs w:val="20"/>
                <w:color w:val="auto"/>
              </w:rPr>
            </w:pPr>
            <w:r>
              <w:rPr>
                <w:rFonts w:ascii="Arial" w:cs="Arial" w:eastAsia="Arial" w:hAnsi="Arial"/>
                <w:sz w:val="16"/>
                <w:szCs w:val="16"/>
                <w:color w:val="auto"/>
              </w:rPr>
              <w:t>Average portable storage utilization rate</w:t>
            </w:r>
          </w:p>
        </w:tc>
        <w:tc>
          <w:tcPr>
            <w:tcW w:w="220" w:type="dxa"/>
            <w:vAlign w:val="bottom"/>
            <w:shd w:val="clear" w:color="auto" w:fill="E7E7E8"/>
          </w:tcPr>
          <w:p>
            <w:pPr>
              <w:spacing w:after="0"/>
              <w:rPr>
                <w:sz w:val="21"/>
                <w:szCs w:val="21"/>
                <w:color w:val="auto"/>
              </w:rPr>
            </w:pPr>
          </w:p>
        </w:tc>
        <w:tc>
          <w:tcPr>
            <w:tcW w:w="1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70.8 %</w:t>
            </w:r>
          </w:p>
        </w:tc>
        <w:tc>
          <w:tcPr>
            <w:tcW w:w="380" w:type="dxa"/>
            <w:vAlign w:val="bottom"/>
            <w:shd w:val="clear" w:color="auto" w:fill="E7E7E8"/>
          </w:tcPr>
          <w:p>
            <w:pPr>
              <w:spacing w:after="0"/>
              <w:rPr>
                <w:sz w:val="21"/>
                <w:szCs w:val="21"/>
                <w:color w:val="auto"/>
              </w:rPr>
            </w:pP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55.8 %</w:t>
            </w:r>
          </w:p>
        </w:tc>
        <w:tc>
          <w:tcPr>
            <w:tcW w:w="460" w:type="dxa"/>
            <w:vAlign w:val="bottom"/>
            <w:shd w:val="clear" w:color="auto" w:fill="E7E7E8"/>
          </w:tcPr>
          <w:p>
            <w:pPr>
              <w:spacing w:after="0"/>
              <w:rPr>
                <w:sz w:val="21"/>
                <w:szCs w:val="21"/>
                <w:color w:val="auto"/>
              </w:rPr>
            </w:pPr>
          </w:p>
        </w:tc>
        <w:tc>
          <w:tcPr>
            <w:tcW w:w="1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70.3 %</w:t>
            </w:r>
          </w:p>
        </w:tc>
      </w:tr>
      <w:tr>
        <w:trPr>
          <w:trHeight w:val="228"/>
        </w:trPr>
        <w:tc>
          <w:tcPr>
            <w:tcW w:w="5860" w:type="dxa"/>
            <w:vAlign w:val="bottom"/>
          </w:tcPr>
          <w:p>
            <w:pPr>
              <w:ind w:left="20"/>
              <w:spacing w:after="0"/>
              <w:rPr>
                <w:sz w:val="20"/>
                <w:szCs w:val="20"/>
                <w:color w:val="auto"/>
              </w:rPr>
            </w:pPr>
            <w:r>
              <w:rPr>
                <w:rFonts w:ascii="Arial" w:cs="Arial" w:eastAsia="Arial" w:hAnsi="Arial"/>
                <w:sz w:val="16"/>
                <w:szCs w:val="16"/>
                <w:color w:val="auto"/>
              </w:rPr>
              <w:t>Average portable storage monthly rental rate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118</w:t>
            </w:r>
          </w:p>
        </w:tc>
        <w:tc>
          <w:tcPr>
            <w:tcW w:w="380" w:type="dxa"/>
            <w:vAlign w:val="bottom"/>
          </w:tcPr>
          <w:p>
            <w:pPr>
              <w:ind w:left="8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118</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09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008A5F"/>
        </w:rPr>
        <w:t>Modular - US Segment</w:t>
      </w:r>
    </w:p>
    <w:p>
      <w:pPr>
        <w:spacing w:after="0" w:line="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$109.4 million, or 89.6%, to $231.5 million for the three months ended March 31, 2019 from $122.1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Modular leasing revenue increased $74.9 million, or 85.2%, driven by improved volumes and pricing. Average modular space units on rent increased 35,805 units, or 73.6%. Average modular space monthly rental rates increased 8.3% for the three months ended March 31, 2019. Improved volumes were driven by units acquired as part of the ModSpace acquisition, as well as increased modular delivery and installation revenues on the combined rental fleet of 92.9%. Improved pricing was driven by a combination of our price optimization tools and processes, as well as by continued growth in our “Ready to Work” solutions and increased VAPS penetration across our customer base, offset partially by the average modular space monthly rental rates on acquired units. The increases in leasing and services revenue were complemented by increases in sales revenues. New unit sales revenue increased $7.2 million, or 105.9% and rental unit sales revenue increased $5.0 million, or 147.1%. The increase year-over-year in new sales was primarily driven by a single large sale project. Increases in rental unit sales was primarily a result of the ModSpace acquisition and our larger post-acquisition sales team and fleet size.</w:t>
      </w:r>
    </w:p>
    <w:p>
      <w:pPr>
        <w:spacing w:after="0" w:line="1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On a pro forma basis, including results of the WillScot and ModSpace for all periods presented, pricing improvement continued in the first quarter, with increases in pro forma average modular space monthly rental rates of $69, or 13.6% year over year for the three months ended March 31, 2019. Modular space units on rent decreased 2.0% on a pro forma basis to 84,462 and pro forma utilization for our modular space units increased to 74.8%, up 240 bps from 72.4% for the three months ended March 31, 2018.</w:t>
      </w:r>
    </w:p>
    <w:p>
      <w:pPr>
        <w:spacing w:after="0" w:line="1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$48.5 million, or 103.6%, to $95.3 million for the three months ended March 31, 2019 from $46.8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The increase in gross profit was driven by higher modular leasing and service revenues driven both by organic growth and through the ModSpace acquisition, as well as due to increased modular space leasing and modular space delivery and installation margins. The increase in gross profit from modular leasing and service revenues was partially offset by an $15.8 million increase in depreciation of rental equipment primarily related to acquired units in the ModSpace acquisition for the three months ended March 31, 2019.</w:t>
      </w:r>
    </w:p>
    <w:p>
      <w:pPr>
        <w:spacing w:after="0" w:line="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$44.2 million, or 135.6%, to $76.8 million for the three months ended March 31, 2019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$32.6 million for the three months ended March 31, 2018. The increase was driven by higher modular leasing and services gross profits discussed above, partially offset by increases in SG&amp;A, excluding discrete items, of $17.9 million, primarily related to increased employee costs of $8.9 million driven by the increased size of the workforce, net of realized employee cost synergies savings to date achieved as a result of the restructuring activities; and increased occupancy costs of $3.5 million largely due to the expansion of our branch network and storage lots, including a portion of the expected cost savings as we have now exited approximately 50% of redundant real estate locations. The remaining increases of $5.5 million are primarily related to increased professional fees, insurance, computer, travel, office, tax bad debt and other expenses related to operating a larger business as a result of our recent acquisitions and our expanded employee base and branch network.</w:t>
      </w:r>
    </w:p>
    <w:p>
      <w:pPr>
        <w:spacing w:after="0" w:line="1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$19.4 million, or 63.6%, to $49.9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2019 from $30.5 million for the three months ended March 31, 2018. Net capital expenditures for rental equipment also increased $18.6 million, or 81.2%, to $41.5 million. The increases for both were driven by increased spend for refurbishments and VAPS to drive revenue growth and for maintenance of a larger fleet following our recent acquisitions.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Modular - Other North America Segment</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increased $10.8 million, or 85.0%, to $23.5 million for the three months ended March 31, 2019 from $12.7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Modular leasing revenue increased $6.1 million, or 65.6%, driven by improved volumes and pricing in the quarter. Average modular space units on rent increased by 3,392 units, or 62.2% for the period, and average modular space monthly rental rates increased 2.0%. Improved volumes were driven by units acquired as part of the ModSpace acquisition and improved pricing was driven primarily through continued growth in our “Ready to Work” solutions and increased VAPS penetration across the combined post-acquisition customer base. Modular delivery and installation revenues increased $1.7 million, or 73.9%, new unit sales revenue increased $0.3 million, or 50.0%, and rental unit sales revenue increased $2.7 million, or 540.0%, all of which were primarily driven by the ModSpace acquisition and our larger post-acquisition sales team and fleet size.</w:t>
      </w:r>
    </w:p>
    <w:p>
      <w:pPr>
        <w:spacing w:after="0" w:line="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On a pro forma basis, including results of the WillScot and ModSpace for all periods presented, pro forma average modular space monthly rental rates decreased $5, or 0.9% for the three months ended March 31, 2019. Modular space units on rent decreased 3.5% on a pro forma basis to 8,847 and pro forma utilization for our modular space units decreased to 55.1%, down 80 bps from 55.9% for the three months ended March 31, 2018.</w:t>
      </w:r>
    </w:p>
    <w:p>
      <w:pPr>
        <w:spacing w:after="0" w:line="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$5.3 million, or 129.3%, to $9.4 million for the three months ended March 31, 2019 from $4.1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2018. The effects of favorable foreign currency movements increased gross profit by $0.1 million related to changes in the Canadian dollar and Mexican peso in relation to the US dollar. The increase in gross profit, excluding the effects of foreign currency, was driven primarily by increased leasing and services revenues and margins, as higher modular volumes and pricing were complemented by higher modular delivery and installation margins. Additionally, rental unit sales gross profit increased due to higher volume. These increases were slightly offset by increased depreciation of rental equipment of $1.4 million for three months ended March 31, 2019.</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94" w:right="239" w:bottom="1440" w:gutter="0" w:footer="0" w:header="0"/>
        </w:sectPr>
      </w:pPr>
    </w:p>
    <w:bookmarkStart w:id="32" w:name="page33"/>
    <w:bookmarkEnd w:id="32"/>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Adjusted EBITDA increased $4.8 million, or 165.5%, to $7.7 million for the three months ended March 31, 2019 from $2.9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March 31, 2018. This increase was driven by increased leasing and services gross profit as a result of increased modular space volumes and average monthly rental rates, increased rental unit sales gross profit, partially offset by increased SG&amp;A, excluding discrete items, of $1.9 million, also driven by the ModSpace acquisition, consisting primarily of increased employee costs of $1.0 million and increased occupancy costs of $0.8 million.</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b w:val="1"/>
          <w:bCs w:val="1"/>
          <w:i w:val="1"/>
          <w:iCs w:val="1"/>
          <w:color w:val="auto"/>
        </w:rPr>
        <w:t xml:space="preserve">Capital Expenditures for Rental Equipment: </w:t>
      </w:r>
      <w:r>
        <w:rPr>
          <w:rFonts w:ascii="Arial" w:cs="Arial" w:eastAsia="Arial" w:hAnsi="Arial"/>
          <w:sz w:val="16"/>
          <w:szCs w:val="16"/>
          <w:color w:val="auto"/>
        </w:rPr>
        <w:t>Capital expenditures for rental equipment increased $0.4 million, or 25.0%, to $2.0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2019 from $1.6 million for the three months ended March 31, 2018. The increase was driven by increased spend for new fleet and VAPS to drive revenue growth and for maintenance of a larger fleet following the ModSpace acquisition. Net capital expenditures decreased $2.3 million, or 209.1%, as a result of increased rental unit sales in the period that exceeded capital expenditures for rental equipment by $1.2 million.</w:t>
      </w:r>
    </w:p>
    <w:p>
      <w:pPr>
        <w:spacing w:after="0" w:line="245" w:lineRule="exact"/>
        <w:rPr>
          <w:sz w:val="20"/>
          <w:szCs w:val="20"/>
          <w:color w:val="auto"/>
        </w:rPr>
      </w:pPr>
    </w:p>
    <w:p>
      <w:pPr>
        <w:spacing w:after="0"/>
        <w:rPr>
          <w:sz w:val="20"/>
          <w:szCs w:val="20"/>
          <w:color w:val="auto"/>
        </w:rPr>
      </w:pPr>
      <w:r>
        <w:rPr>
          <w:rFonts w:ascii="Arial" w:cs="Arial" w:eastAsia="Arial" w:hAnsi="Arial"/>
          <w:sz w:val="23"/>
          <w:szCs w:val="23"/>
          <w:color w:val="008A5F"/>
        </w:rPr>
        <w:t>Other Non-GAAP Financial Data and Reconciliations</w:t>
      </w:r>
    </w:p>
    <w:p>
      <w:pPr>
        <w:spacing w:after="0" w:line="6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6"/>
          <w:szCs w:val="16"/>
          <w:color w:val="auto"/>
        </w:rPr>
        <w:t>We use certain non-GAAP financial information that we believe is important for purposes of comparison to prior periods and development of future projections and earnings growth prospects. This information is also used by management to measure the profitability of our ongoing operations and analyze our business performance and trends.</w:t>
      </w:r>
    </w:p>
    <w:p>
      <w:pPr>
        <w:spacing w:after="0" w:line="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evaluate business segment performance on Adjusted EBITDA, a non-GAAP measure that excludes certain items as described in the reconciliation of our consolidated net loss to Adjusted EBITDA reconciliation below. We believe that evaluating segment performance excluding such items is meaningful because it provides insight with respect to intrinsic operating results of the Company.</w:t>
      </w:r>
    </w:p>
    <w:p>
      <w:pPr>
        <w:spacing w:after="0" w:line="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We also regularly evaluate gross profit by segment to assist in the assessment of the operational performance of each operating segment. We consider Adjusted EBITDA to be the more important metric because it more fully captures the business performance of the segments, inclusive of indirect costs.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 xml:space="preserve">Management also evaluates Free Cash Flow as defined in </w:t>
      </w:r>
      <w:r>
        <w:rPr>
          <w:rFonts w:ascii="Arial" w:cs="Arial" w:eastAsia="Arial" w:hAnsi="Arial"/>
          <w:sz w:val="16"/>
          <w:szCs w:val="16"/>
          <w:i w:val="1"/>
          <w:iCs w:val="1"/>
          <w:color w:val="auto"/>
        </w:rPr>
        <w:t>Item 2, Liquidity and Capital Resources</w:t>
      </w:r>
      <w:r>
        <w:rPr>
          <w:rFonts w:ascii="Arial" w:cs="Arial" w:eastAsia="Arial" w:hAnsi="Arial"/>
          <w:sz w:val="16"/>
          <w:szCs w:val="16"/>
          <w:color w:val="auto"/>
        </w:rPr>
        <w:t>, as it provides useful additional information concerning cash flow available to meet future debt service obligations and working capital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define EBITDA as net income (loss) plus interest (income) expense, income tax expense (benefit), depreciation and amortization. Our Adjusted EBITDA reflects the following further adjustments to EBITDA to exclude certain non-cash items and the effect of what we consider transactions or events not related to our core business operations:</w:t>
      </w:r>
    </w:p>
    <w:p>
      <w:pPr>
        <w:spacing w:after="0" w:line="3" w:lineRule="exact"/>
        <w:rPr>
          <w:sz w:val="20"/>
          <w:szCs w:val="20"/>
          <w:color w:val="auto"/>
        </w:rPr>
      </w:pPr>
    </w:p>
    <w:p>
      <w:pPr>
        <w:ind w:left="1300" w:hanging="320"/>
        <w:spacing w:after="0" w:line="259"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1"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1300" w:hanging="320"/>
        <w:spacing w:after="0" w:line="246"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Restructuring costs associated with restructuring plans designed to streamline operations and reduce costs including employee and lease termination costs.</w:t>
      </w: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fleet relocation expenses, employee training costs and other costs.</w:t>
      </w:r>
    </w:p>
    <w:p>
      <w:pPr>
        <w:spacing w:after="0" w:line="189" w:lineRule="exact"/>
        <w:rPr>
          <w:rFonts w:ascii="Arial" w:cs="Arial" w:eastAsia="Arial" w:hAnsi="Arial"/>
          <w:sz w:val="16"/>
          <w:szCs w:val="16"/>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expense includes consulting expenses related to certain one-time projects, financing costs not classified as interest expense and gains and losses on disposals of property, plant and equipment.</w:t>
      </w:r>
    </w:p>
    <w:p>
      <w:pPr>
        <w:spacing w:after="0" w:line="1" w:lineRule="exact"/>
        <w:rPr>
          <w:sz w:val="20"/>
          <w:szCs w:val="20"/>
          <w:color w:val="auto"/>
        </w:rPr>
      </w:pPr>
    </w:p>
    <w:p>
      <w:pPr>
        <w:ind w:firstLine="648"/>
        <w:spacing w:after="0" w:line="265" w:lineRule="auto"/>
        <w:rPr>
          <w:sz w:val="20"/>
          <w:szCs w:val="20"/>
          <w:color w:val="auto"/>
        </w:rPr>
      </w:pPr>
      <w:r>
        <w:rPr>
          <w:rFonts w:ascii="Arial" w:cs="Arial" w:eastAsia="Arial" w:hAnsi="Arial"/>
          <w:sz w:val="16"/>
          <w:szCs w:val="16"/>
          <w:color w:val="auto"/>
        </w:rPr>
        <w:t>Adjusted EBITDA has limitations as an analytical tool, and you should not consider the measure in isolation or as a substitute for net income (loss), cash flow from operations or other methods of analyzing WillScot’s results as reported under GAAP. Some of these limitations are:</w:t>
      </w:r>
    </w:p>
    <w:p>
      <w:pPr>
        <w:spacing w:after="0" w:line="6"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2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interest expense, or the cash requirements necessary to service interest or principal payments, on our indebtedness;</w:t>
      </w: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our tax expense or the cash requirements to pay our taxes;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historical cash expenditures or future requirements for capital expenditures or contractual commitments;</w:t>
      </w:r>
    </w:p>
    <w:p>
      <w:pPr>
        <w:spacing w:after="0" w:line="5" w:lineRule="exact"/>
        <w:rPr>
          <w:rFonts w:ascii="Arial" w:cs="Arial" w:eastAsia="Arial" w:hAnsi="Arial"/>
          <w:sz w:val="16"/>
          <w:szCs w:val="16"/>
          <w:color w:val="auto"/>
        </w:rPr>
      </w:pPr>
    </w:p>
    <w:p>
      <w:pPr>
        <w:ind w:left="1300" w:hanging="320"/>
        <w:spacing w:after="0" w:line="246"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EBITDA does not reflect the impact on earnings or changes resulting from matters that we consider not to be indicative of our future operations;</w:t>
      </w:r>
    </w:p>
    <w:p>
      <w:pPr>
        <w:ind w:left="1300" w:hanging="320"/>
        <w:spacing w:after="0" w:line="246" w:lineRule="auto"/>
        <w:tabs>
          <w:tab w:leader="none" w:pos="12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does not reflect any cash requirements for such replacements; and</w:t>
      </w: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limiting its usefulness as a comparative measure.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094" w:right="239" w:bottom="1440" w:gutter="0" w:footer="0" w:header="0"/>
        </w:sectPr>
      </w:pPr>
    </w:p>
    <w:bookmarkStart w:id="33" w:name="page34"/>
    <w:bookmarkEnd w:id="33"/>
    <w:p>
      <w:pPr>
        <w:jc w:val="both"/>
        <w:ind w:right="20" w:firstLine="648"/>
        <w:spacing w:after="0" w:line="291" w:lineRule="auto"/>
        <w:rPr>
          <w:sz w:val="20"/>
          <w:szCs w:val="20"/>
          <w:color w:val="auto"/>
        </w:rPr>
      </w:pPr>
      <w:r>
        <w:rPr>
          <w:rFonts w:ascii="Arial" w:cs="Arial" w:eastAsia="Arial" w:hAnsi="Arial"/>
          <w:sz w:val="16"/>
          <w:szCs w:val="16"/>
          <w:color w:val="auto"/>
        </w:rPr>
        <w:t>Because of these limitations, Adjusted EBITDA should not be considered as discretionary cash available to reinvest in the growth of our business or as measures of cash that will be available to meet our obligations. The following table provides an unaudited reconciliation of Net loss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19685</wp:posOffset>
            </wp:positionV>
            <wp:extent cx="723773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32"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(11,161)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(6,835)</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Income tax expense (benefit)</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31,972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11,719</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26,281</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Currency (gains) losses, net</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1,024</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Goodwill and other impairments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Restructuring costs</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5,953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628</w:t>
            </w:r>
          </w:p>
        </w:tc>
      </w:tr>
      <w:tr>
        <w:trPr>
          <w:trHeight w:val="235"/>
        </w:trPr>
        <w:tc>
          <w:tcPr>
            <w:tcW w:w="8000" w:type="dxa"/>
            <w:vAlign w:val="bottom"/>
          </w:tcPr>
          <w:p>
            <w:pPr>
              <w:ind w:left="220"/>
              <w:spacing w:after="0"/>
              <w:rPr>
                <w:sz w:val="20"/>
                <w:szCs w:val="20"/>
                <w:color w:val="auto"/>
              </w:rPr>
            </w:pPr>
            <w:r>
              <w:rPr>
                <w:rFonts w:ascii="Arial" w:cs="Arial" w:eastAsia="Arial" w:hAnsi="Arial"/>
                <w:sz w:val="16"/>
                <w:szCs w:val="16"/>
                <w:color w:val="auto"/>
              </w:rPr>
              <w:t>Integration costs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2,630</w:t>
            </w:r>
          </w:p>
        </w:tc>
      </w:tr>
      <w:tr>
        <w:trPr>
          <w:trHeight w:val="251"/>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Stock compensation expense</w:t>
            </w: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1,290</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spacing w:after="0"/>
              <w:rPr>
                <w:sz w:val="21"/>
                <w:szCs w:val="21"/>
                <w:color w:val="auto"/>
              </w:rPr>
            </w:pP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121</w:t>
            </w:r>
          </w:p>
        </w:tc>
      </w:tr>
      <w:tr>
        <w:trPr>
          <w:trHeight w:val="237"/>
        </w:trPr>
        <w:tc>
          <w:tcPr>
            <w:tcW w:w="8000" w:type="dxa"/>
            <w:vAlign w:val="bottom"/>
            <w:tcBorders>
              <w:bottom w:val="single" w:sz="8" w:color="E7E7E8"/>
            </w:tcBorders>
          </w:tcPr>
          <w:p>
            <w:pPr>
              <w:ind w:left="22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62"/>
        </w:trPr>
        <w:tc>
          <w:tcPr>
            <w:tcW w:w="8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84,508</w:t>
            </w:r>
          </w:p>
        </w:tc>
        <w:tc>
          <w:tcPr>
            <w:tcW w:w="120" w:type="dxa"/>
            <w:vAlign w:val="bottom"/>
            <w:tcBorders>
              <w:bottom w:val="single" w:sz="8" w:color="E7E7E8"/>
            </w:tcBorders>
            <w:shd w:val="clear" w:color="auto" w:fill="E7E7E8"/>
          </w:tcPr>
          <w:p>
            <w:pPr>
              <w:spacing w:after="0"/>
              <w:rPr>
                <w:sz w:val="22"/>
                <w:szCs w:val="22"/>
                <w:color w:val="auto"/>
              </w:rPr>
            </w:pPr>
          </w:p>
        </w:tc>
        <w:tc>
          <w:tcPr>
            <w:tcW w:w="360" w:type="dxa"/>
            <w:vAlign w:val="bottom"/>
            <w:tcBorders>
              <w:bottom w:val="single" w:sz="8" w:color="auto"/>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35,492</w:t>
            </w:r>
          </w:p>
        </w:tc>
      </w:tr>
      <w:tr>
        <w:trPr>
          <w:trHeight w:val="20"/>
        </w:trPr>
        <w:tc>
          <w:tcPr>
            <w:tcW w:w="800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E7E7E8"/>
              <w:bottom w:val="single" w:sz="8" w:color="auto"/>
            </w:tcBorders>
          </w:tcPr>
          <w:p>
            <w:pPr>
              <w:spacing w:after="0" w:line="20" w:lineRule="exact"/>
              <w:rPr>
                <w:sz w:val="1"/>
                <w:szCs w:val="1"/>
                <w:color w:val="auto"/>
              </w:rPr>
            </w:pPr>
          </w:p>
        </w:tc>
        <w:tc>
          <w:tcPr>
            <w:tcW w:w="1280" w:type="dxa"/>
            <w:vAlign w:val="bottom"/>
            <w:tcBorders>
              <w:top w:val="single" w:sz="8" w:color="E7E7E8"/>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Gross Profit and Adjusted Gross Profit Percentage</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define Adjusted Gross Profit as gross profit plus depreciation on rental equipment. Adjusted Gross Profit Percentage is defined as Adjusted Gross Profit divided by revenue. Adjusted Gross Profit and Percentage are not measurements of our financial performance under GAAP and should not be considered as an alternative to gross profit, gross profit percentage, or other performance measure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because it assists in analyzing the performance of our business.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an unaudited reconciliation of gross profit to Adjusted Gross Profit and Adjusted Gross Profit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3773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105" w:lineRule="exact"/>
        <w:rPr>
          <w:sz w:val="20"/>
          <w:szCs w:val="20"/>
          <w:color w:val="auto"/>
        </w:rPr>
      </w:pPr>
    </w:p>
    <w:p>
      <w:pPr>
        <w:ind w:left="844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788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380" w:type="dxa"/>
            <w:vAlign w:val="bottom"/>
            <w:shd w:val="clear" w:color="auto" w:fill="008A5F"/>
          </w:tcPr>
          <w:p>
            <w:pPr>
              <w:spacing w:after="0"/>
              <w:rPr>
                <w:sz w:val="20"/>
                <w:szCs w:val="20"/>
                <w:color w:val="auto"/>
              </w:rPr>
            </w:pPr>
          </w:p>
        </w:tc>
        <w:tc>
          <w:tcPr>
            <w:tcW w:w="1320" w:type="dxa"/>
            <w:vAlign w:val="bottom"/>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Revenue (A)</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255,008</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134,751</w:t>
            </w:r>
          </w:p>
        </w:tc>
      </w:tr>
      <w:tr>
        <w:trPr>
          <w:trHeight w:val="230"/>
        </w:trPr>
        <w:tc>
          <w:tcPr>
            <w:tcW w:w="7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880" w:type="dxa"/>
            <w:vAlign w:val="bottom"/>
            <w:shd w:val="clear" w:color="auto" w:fill="E7E7E8"/>
          </w:tcPr>
          <w:p>
            <w:pPr>
              <w:ind w:left="20"/>
              <w:spacing w:after="0"/>
              <w:rPr>
                <w:sz w:val="20"/>
                <w:szCs w:val="20"/>
                <w:color w:val="auto"/>
              </w:rPr>
            </w:pPr>
            <w:r>
              <w:rPr>
                <w:rFonts w:ascii="Arial" w:cs="Arial" w:eastAsia="Arial" w:hAnsi="Arial"/>
                <w:sz w:val="16"/>
                <w:szCs w:val="16"/>
                <w:color w:val="auto"/>
              </w:rPr>
              <w:t>Gross profit (B)</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104,654</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50,921</w:t>
            </w:r>
          </w:p>
        </w:tc>
      </w:tr>
      <w:tr>
        <w:trPr>
          <w:trHeight w:val="237"/>
        </w:trPr>
        <w:tc>
          <w:tcPr>
            <w:tcW w:w="788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Depreciation of rental equipment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41,103</w:t>
            </w:r>
          </w:p>
        </w:tc>
        <w:tc>
          <w:tcPr>
            <w:tcW w:w="120" w:type="dxa"/>
            <w:vAlign w:val="bottom"/>
            <w:tcBorders>
              <w:bottom w:val="single" w:sz="8" w:color="E7E7E8"/>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23,845</w:t>
            </w:r>
          </w:p>
        </w:tc>
      </w:tr>
      <w:tr>
        <w:trPr>
          <w:trHeight w:val="243"/>
        </w:trPr>
        <w:tc>
          <w:tcPr>
            <w:tcW w:w="7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Adjusted Gross Profit (C)</w:t>
            </w: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145,757</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74,766</w:t>
            </w:r>
          </w:p>
        </w:tc>
      </w:tr>
      <w:tr>
        <w:trPr>
          <w:trHeight w:val="230"/>
        </w:trPr>
        <w:tc>
          <w:tcPr>
            <w:tcW w:w="7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880" w:type="dxa"/>
            <w:vAlign w:val="bottom"/>
            <w:shd w:val="clear" w:color="auto" w:fill="E7E7E8"/>
          </w:tcPr>
          <w:p>
            <w:pPr>
              <w:ind w:left="220"/>
              <w:spacing w:after="0"/>
              <w:rPr>
                <w:sz w:val="20"/>
                <w:szCs w:val="20"/>
                <w:color w:val="auto"/>
              </w:rPr>
            </w:pPr>
            <w:r>
              <w:rPr>
                <w:rFonts w:ascii="Arial" w:cs="Arial" w:eastAsia="Arial" w:hAnsi="Arial"/>
                <w:sz w:val="16"/>
                <w:szCs w:val="16"/>
                <w:color w:val="auto"/>
              </w:rPr>
              <w:t>Gross Profit Percentage (B/A)</w:t>
            </w: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41.0 %</w:t>
            </w:r>
          </w:p>
        </w:tc>
        <w:tc>
          <w:tcPr>
            <w:tcW w:w="120" w:type="dxa"/>
            <w:vAlign w:val="bottom"/>
            <w:shd w:val="clear" w:color="auto" w:fill="E7E7E8"/>
          </w:tcPr>
          <w:p>
            <w:pPr>
              <w:spacing w:after="0"/>
              <w:rPr>
                <w:sz w:val="21"/>
                <w:szCs w:val="21"/>
                <w:color w:val="auto"/>
              </w:rPr>
            </w:pPr>
          </w:p>
        </w:tc>
        <w:tc>
          <w:tcPr>
            <w:tcW w:w="380" w:type="dxa"/>
            <w:vAlign w:val="bottom"/>
            <w:shd w:val="clear" w:color="auto" w:fill="E7E7E8"/>
          </w:tcPr>
          <w:p>
            <w:pPr>
              <w:spacing w:after="0"/>
              <w:rPr>
                <w:sz w:val="21"/>
                <w:szCs w:val="21"/>
                <w:color w:val="auto"/>
              </w:rPr>
            </w:pPr>
          </w:p>
        </w:tc>
        <w:tc>
          <w:tcPr>
            <w:tcW w:w="1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37.8 %</w:t>
            </w:r>
          </w:p>
        </w:tc>
      </w:tr>
      <w:tr>
        <w:trPr>
          <w:trHeight w:val="228"/>
        </w:trPr>
        <w:tc>
          <w:tcPr>
            <w:tcW w:w="7880" w:type="dxa"/>
            <w:vAlign w:val="bottom"/>
          </w:tcPr>
          <w:p>
            <w:pPr>
              <w:ind w:left="220"/>
              <w:spacing w:after="0"/>
              <w:rPr>
                <w:sz w:val="20"/>
                <w:szCs w:val="20"/>
                <w:color w:val="auto"/>
              </w:rPr>
            </w:pPr>
            <w:r>
              <w:rPr>
                <w:rFonts w:ascii="Arial" w:cs="Arial" w:eastAsia="Arial" w:hAnsi="Arial"/>
                <w:sz w:val="16"/>
                <w:szCs w:val="16"/>
                <w:color w:val="auto"/>
              </w:rPr>
              <w:t>Adjusted Gross Profit Percentage (C/A)</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57.2 %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55.5 %</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CAPEX and Net CAPEX for Rental Equipment</w:t>
      </w:r>
    </w:p>
    <w:p>
      <w:pPr>
        <w:spacing w:after="0" w:line="7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We define Net Capital Expenditures ("Net CAPEX") and Net CAPEX for Rental Equipment as capital expenditures for purchases and capitalized refurbishments of rental equipment and purchases of property, plant and equipment (collectively "Total Capital Expenditures"), reduced by proceeds from the sale of rental equipment. Net CAPEX for Rental Equipment is defined as capital expenditures for purchases and capitalized refurbishments of rental equipment, reduced by proceeds from the sale of rental equipment. Our management believes that the presentation of Net CAPEX and Net CAPEX for Rental Equipment provides useful information to investors regarding the net capital invested into our rental fleet each year to assist in analyzing the performance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09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6"/>
          <w:szCs w:val="16"/>
          <w:color w:val="auto"/>
        </w:rPr>
        <w:t>The following table provides an unaudited reconciliation of purchase of rental equipment to Net CAPEX and to Net CAPEX for Rental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66040</wp:posOffset>
            </wp:positionV>
            <wp:extent cx="7237730" cy="31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317500"/>
                    </a:xfrm>
                    <a:prstGeom prst="rect">
                      <a:avLst/>
                    </a:prstGeom>
                    <a:noFill/>
                  </pic:spPr>
                </pic:pic>
              </a:graphicData>
            </a:graphic>
          </wp:anchor>
        </w:drawing>
      </w:r>
    </w:p>
    <w:p>
      <w:pPr>
        <w:spacing w:after="0" w:line="105"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800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6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59"/>
              <w:spacing w:after="0"/>
              <w:rPr>
                <w:sz w:val="20"/>
                <w:szCs w:val="20"/>
                <w:color w:val="auto"/>
              </w:rPr>
            </w:pPr>
            <w:r>
              <w:rPr>
                <w:rFonts w:ascii="Arial" w:cs="Arial" w:eastAsia="Arial" w:hAnsi="Arial"/>
                <w:sz w:val="16"/>
                <w:szCs w:val="16"/>
                <w:b w:val="1"/>
                <w:bCs w:val="1"/>
                <w:color w:val="FFFFFF"/>
              </w:rPr>
              <w:t>2019</w:t>
            </w: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28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00" w:type="dxa"/>
            <w:vAlign w:val="bottom"/>
            <w:shd w:val="clear" w:color="auto" w:fill="E7E7E8"/>
          </w:tcPr>
          <w:p>
            <w:pPr>
              <w:ind w:left="20"/>
              <w:spacing w:after="0"/>
              <w:rPr>
                <w:sz w:val="20"/>
                <w:szCs w:val="20"/>
                <w:color w:val="auto"/>
              </w:rPr>
            </w:pPr>
            <w:r>
              <w:rPr>
                <w:rFonts w:ascii="Arial" w:cs="Arial" w:eastAsia="Arial" w:hAnsi="Arial"/>
                <w:sz w:val="16"/>
                <w:szCs w:val="16"/>
                <w:color w:val="auto"/>
              </w:rPr>
              <w:t>Total purchases of rental equipment and refurbishments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(51,873)</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(32,084)</w:t>
            </w: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Total proceeds from sale of rental equipment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11,601</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8,128</w:t>
            </w:r>
          </w:p>
        </w:tc>
      </w:tr>
      <w:tr>
        <w:trPr>
          <w:trHeight w:val="24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Capital Expenditures for Rental Equipment</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(40,272)</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(23,956)</w:t>
            </w:r>
          </w:p>
        </w:tc>
      </w:tr>
      <w:tr>
        <w:trPr>
          <w:trHeight w:val="237"/>
        </w:trPr>
        <w:tc>
          <w:tcPr>
            <w:tcW w:w="8000" w:type="dxa"/>
            <w:vAlign w:val="bottom"/>
            <w:tcBorders>
              <w:bottom w:val="single" w:sz="8" w:color="E7E7E8"/>
            </w:tcBorders>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120" w:type="dxa"/>
            <w:vAlign w:val="bottom"/>
            <w:tcBorders>
              <w:bottom w:val="single" w:sz="8" w:color="E7E7E8"/>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43"/>
        </w:trPr>
        <w:tc>
          <w:tcPr>
            <w:tcW w:w="8000" w:type="dxa"/>
            <w:vAlign w:val="bottom"/>
            <w:shd w:val="clear" w:color="auto" w:fill="E7E7E8"/>
          </w:tcPr>
          <w:p>
            <w:pPr>
              <w:ind w:left="220"/>
              <w:spacing w:after="0"/>
              <w:rPr>
                <w:sz w:val="20"/>
                <w:szCs w:val="20"/>
                <w:color w:val="auto"/>
              </w:rPr>
            </w:pPr>
            <w:r>
              <w:rPr>
                <w:rFonts w:ascii="Arial" w:cs="Arial" w:eastAsia="Arial" w:hAnsi="Arial"/>
                <w:sz w:val="16"/>
                <w:szCs w:val="16"/>
                <w:color w:val="auto"/>
              </w:rPr>
              <w:t>Net Capital Expenditures</w:t>
            </w: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(41,901)</w:t>
            </w:r>
          </w:p>
        </w:tc>
        <w:tc>
          <w:tcPr>
            <w:tcW w:w="120" w:type="dxa"/>
            <w:vAlign w:val="bottom"/>
            <w:shd w:val="clear" w:color="auto" w:fill="E7E7E8"/>
          </w:tcPr>
          <w:p>
            <w:pPr>
              <w:spacing w:after="0"/>
              <w:rPr>
                <w:sz w:val="21"/>
                <w:szCs w:val="21"/>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(24,956)</w:t>
            </w: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008A5F"/>
        </w:rPr>
        <w:t>Liquidity and Capital Resources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WillScot is a holding company that derives all of its operating cash flow from its operating subsidiaries. Our principal sources of liquidity include cash generated by operating activities from our subsidiaries, borrowings under the ABL Facility, and sales of equity and debt securities. We believe that our liquidity sources and operating cash flows are sufficient to address our operating, debt service and capital requirements over the next twelve months.</w:t>
      </w:r>
    </w:p>
    <w:p>
      <w:pPr>
        <w:spacing w:after="0"/>
        <w:rPr>
          <w:sz w:val="20"/>
          <w:szCs w:val="20"/>
          <w:color w:val="auto"/>
        </w:rPr>
      </w:pPr>
      <w:r>
        <w:rPr>
          <w:rFonts w:ascii="Arial" w:cs="Arial" w:eastAsia="Arial" w:hAnsi="Arial"/>
          <w:sz w:val="18"/>
          <w:szCs w:val="18"/>
          <w:b w:val="1"/>
          <w:bCs w:val="1"/>
          <w:color w:val="auto"/>
        </w:rPr>
        <w:t>ABL Facility</w:t>
      </w:r>
    </w:p>
    <w:p>
      <w:pPr>
        <w:spacing w:after="0" w:line="7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On November 29, 2017, WS Holdings, WSII and certain of its subsidiaries entered into the ABL Facility with an aggregate principal amount of up to $600.0 million.</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July and August 2018, the Company entered into three amendments to the ABL Facility that, among other things, (i) permitted the ModSpace acquisition and the Company’s financing thereof, (ii) increased the ABL Facility limit to $1.425 billion in the aggregate, with an accordion feature allowing up to $1.8 billion of capacity, and (iii) increased certain thresholds, basket sizes and default and notice triggers to account for the Company’s increased scale following the ModSpace Acquisition.</w:t>
      </w:r>
    </w:p>
    <w:p>
      <w:pPr>
        <w:spacing w:after="0" w:line="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At March 31, 2019, the Borrowers had $468.9 million of available borrowing capacity under the ABL Facility, including $328.9 million under the US ABL Facility and $140.0 million under the Canadian ABL Facility.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Comparison of the Three Months Ended March 31, 2019 and 2018</w:t>
      </w:r>
    </w:p>
    <w:p>
      <w:pPr>
        <w:spacing w:after="0" w:line="7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Significant factors driving our liquidity position include cash flows generated from operating activities and capital expenditures. Our ability to fund our capital needs will be affected by our ongoing ability to generate cash from operations and access to capital markets.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summarizes our change in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360045"/>
                    </a:xfrm>
                    <a:prstGeom prst="rect">
                      <a:avLst/>
                    </a:prstGeom>
                    <a:noFill/>
                  </pic:spPr>
                </pic:pic>
              </a:graphicData>
            </a:graphic>
          </wp:anchor>
        </w:drawing>
      </w:r>
    </w:p>
    <w:p>
      <w:pPr>
        <w:spacing w:after="0" w:line="105"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96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1020" w:type="dxa"/>
            <w:vAlign w:val="bottom"/>
            <w:vMerge w:val="restart"/>
            <w:shd w:val="clear" w:color="auto" w:fill="008A5F"/>
          </w:tcPr>
          <w:p>
            <w:pPr>
              <w:jc w:val="right"/>
              <w:spacing w:after="0"/>
              <w:rPr>
                <w:sz w:val="20"/>
                <w:szCs w:val="20"/>
                <w:color w:val="auto"/>
              </w:rPr>
            </w:pPr>
            <w:r>
              <w:rPr>
                <w:rFonts w:ascii="Arial" w:cs="Arial" w:eastAsia="Arial" w:hAnsi="Arial"/>
                <w:sz w:val="16"/>
                <w:szCs w:val="16"/>
                <w:b w:val="1"/>
                <w:bCs w:val="1"/>
                <w:color w:val="FFFFFF"/>
              </w:rPr>
              <w:t>2019</w:t>
            </w:r>
          </w:p>
        </w:tc>
        <w:tc>
          <w:tcPr>
            <w:tcW w:w="640" w:type="dxa"/>
            <w:vAlign w:val="bottom"/>
            <w:shd w:val="clear" w:color="auto" w:fill="008A5F"/>
          </w:tcPr>
          <w:p>
            <w:pPr>
              <w:spacing w:after="0"/>
              <w:rPr>
                <w:sz w:val="20"/>
                <w:szCs w:val="20"/>
                <w:color w:val="auto"/>
              </w:rPr>
            </w:pPr>
          </w:p>
        </w:tc>
        <w:tc>
          <w:tcPr>
            <w:tcW w:w="120" w:type="dxa"/>
            <w:vAlign w:val="bottom"/>
            <w:shd w:val="clear" w:color="auto" w:fill="008A5F"/>
          </w:tcPr>
          <w:p>
            <w:pPr>
              <w:spacing w:after="0"/>
              <w:rPr>
                <w:sz w:val="20"/>
                <w:szCs w:val="20"/>
                <w:color w:val="auto"/>
              </w:rPr>
            </w:pPr>
          </w:p>
        </w:tc>
        <w:tc>
          <w:tcPr>
            <w:tcW w:w="360" w:type="dxa"/>
            <w:vAlign w:val="bottom"/>
            <w:shd w:val="clear" w:color="auto" w:fill="008A5F"/>
          </w:tcPr>
          <w:p>
            <w:pPr>
              <w:spacing w:after="0"/>
              <w:rPr>
                <w:sz w:val="20"/>
                <w:szCs w:val="20"/>
                <w:color w:val="auto"/>
              </w:rPr>
            </w:pPr>
          </w:p>
        </w:tc>
        <w:tc>
          <w:tcPr>
            <w:tcW w:w="1300" w:type="dxa"/>
            <w:vAlign w:val="bottom"/>
            <w:vMerge w:val="restart"/>
            <w:shd w:val="clear" w:color="auto" w:fill="008A5F"/>
          </w:tcPr>
          <w:p>
            <w:pPr>
              <w:jc w:val="right"/>
              <w:ind w:right="59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68"/>
        </w:trPr>
        <w:tc>
          <w:tcPr>
            <w:tcW w:w="7960" w:type="dxa"/>
            <w:vAlign w:val="bottom"/>
          </w:tcPr>
          <w:p>
            <w:pPr>
              <w:spacing w:after="0"/>
              <w:rPr>
                <w:sz w:val="5"/>
                <w:szCs w:val="5"/>
                <w:color w:val="auto"/>
              </w:rPr>
            </w:pPr>
          </w:p>
        </w:tc>
        <w:tc>
          <w:tcPr>
            <w:tcW w:w="1020" w:type="dxa"/>
            <w:vAlign w:val="bottom"/>
            <w:vMerge w:val="continue"/>
            <w:shd w:val="clear" w:color="auto" w:fill="008A5F"/>
          </w:tcPr>
          <w:p>
            <w:pPr>
              <w:spacing w:after="0"/>
              <w:rPr>
                <w:sz w:val="5"/>
                <w:szCs w:val="5"/>
                <w:color w:val="auto"/>
              </w:rPr>
            </w:pPr>
          </w:p>
        </w:tc>
        <w:tc>
          <w:tcPr>
            <w:tcW w:w="640" w:type="dxa"/>
            <w:vAlign w:val="bottom"/>
            <w:shd w:val="clear" w:color="auto" w:fill="008A5F"/>
          </w:tcPr>
          <w:p>
            <w:pPr>
              <w:spacing w:after="0"/>
              <w:rPr>
                <w:sz w:val="5"/>
                <w:szCs w:val="5"/>
                <w:color w:val="auto"/>
              </w:rPr>
            </w:pPr>
          </w:p>
        </w:tc>
        <w:tc>
          <w:tcPr>
            <w:tcW w:w="120" w:type="dxa"/>
            <w:vAlign w:val="bottom"/>
            <w:shd w:val="clear" w:color="auto" w:fill="008A5F"/>
          </w:tcPr>
          <w:p>
            <w:pPr>
              <w:spacing w:after="0"/>
              <w:rPr>
                <w:sz w:val="5"/>
                <w:szCs w:val="5"/>
                <w:color w:val="auto"/>
              </w:rPr>
            </w:pPr>
          </w:p>
        </w:tc>
        <w:tc>
          <w:tcPr>
            <w:tcW w:w="360" w:type="dxa"/>
            <w:vAlign w:val="bottom"/>
            <w:shd w:val="clear" w:color="auto" w:fill="008A5F"/>
          </w:tcPr>
          <w:p>
            <w:pPr>
              <w:spacing w:after="0"/>
              <w:rPr>
                <w:sz w:val="5"/>
                <w:szCs w:val="5"/>
                <w:color w:val="auto"/>
              </w:rPr>
            </w:pPr>
          </w:p>
        </w:tc>
        <w:tc>
          <w:tcPr>
            <w:tcW w:w="1300" w:type="dxa"/>
            <w:vAlign w:val="bottom"/>
            <w:vMerge w:val="continue"/>
            <w:shd w:val="clear" w:color="auto" w:fill="008A5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operating activities</w:t>
            </w:r>
          </w:p>
        </w:tc>
        <w:tc>
          <w:tcPr>
            <w:tcW w:w="102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15,256</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4,782</w:t>
            </w:r>
          </w:p>
        </w:tc>
        <w:tc>
          <w:tcPr>
            <w:tcW w:w="0" w:type="dxa"/>
            <w:vAlign w:val="bottom"/>
          </w:tcPr>
          <w:p>
            <w:pPr>
              <w:spacing w:after="0"/>
              <w:rPr>
                <w:sz w:val="1"/>
                <w:szCs w:val="1"/>
                <w:color w:val="auto"/>
              </w:rPr>
            </w:pPr>
          </w:p>
        </w:tc>
      </w:tr>
      <w:tr>
        <w:trPr>
          <w:trHeight w:val="83"/>
        </w:trPr>
        <w:tc>
          <w:tcPr>
            <w:tcW w:w="7960" w:type="dxa"/>
            <w:vAlign w:val="bottom"/>
            <w:shd w:val="clear" w:color="auto" w:fill="E7E7E8"/>
          </w:tcPr>
          <w:p>
            <w:pPr>
              <w:spacing w:after="0"/>
              <w:rPr>
                <w:sz w:val="7"/>
                <w:szCs w:val="7"/>
                <w:color w:val="auto"/>
              </w:rPr>
            </w:pPr>
          </w:p>
        </w:tc>
        <w:tc>
          <w:tcPr>
            <w:tcW w:w="1020" w:type="dxa"/>
            <w:vAlign w:val="bottom"/>
            <w:shd w:val="clear" w:color="auto" w:fill="E7E7E8"/>
          </w:tcPr>
          <w:p>
            <w:pPr>
              <w:spacing w:after="0"/>
              <w:rPr>
                <w:sz w:val="7"/>
                <w:szCs w:val="7"/>
                <w:color w:val="auto"/>
              </w:rPr>
            </w:pPr>
          </w:p>
        </w:tc>
        <w:tc>
          <w:tcPr>
            <w:tcW w:w="6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Net cash from investing activities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(41,814)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(48,439)</w:t>
            </w:r>
          </w:p>
        </w:tc>
        <w:tc>
          <w:tcPr>
            <w:tcW w:w="0" w:type="dxa"/>
            <w:vAlign w:val="bottom"/>
          </w:tcPr>
          <w:p>
            <w:pPr>
              <w:spacing w:after="0"/>
              <w:rPr>
                <w:sz w:val="1"/>
                <w:szCs w:val="1"/>
                <w:color w:val="auto"/>
              </w:rPr>
            </w:pPr>
          </w:p>
        </w:tc>
      </w:tr>
      <w:tr>
        <w:trPr>
          <w:trHeight w:val="83"/>
        </w:trPr>
        <w:tc>
          <w:tcPr>
            <w:tcW w:w="7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96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from financing activities</w:t>
            </w:r>
          </w:p>
        </w:tc>
        <w:tc>
          <w:tcPr>
            <w:tcW w:w="1020" w:type="dxa"/>
            <w:vAlign w:val="bottom"/>
            <w:shd w:val="clear" w:color="auto" w:fill="E7E7E8"/>
          </w:tcPr>
          <w:p>
            <w:pPr>
              <w:spacing w:after="0"/>
              <w:rPr>
                <w:sz w:val="19"/>
                <w:szCs w:val="19"/>
                <w:color w:val="auto"/>
              </w:rPr>
            </w:pPr>
          </w:p>
        </w:tc>
        <w:tc>
          <w:tcPr>
            <w:tcW w:w="6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30,294</w:t>
            </w:r>
          </w:p>
        </w:tc>
        <w:tc>
          <w:tcPr>
            <w:tcW w:w="120" w:type="dxa"/>
            <w:vAlign w:val="bottom"/>
            <w:shd w:val="clear" w:color="auto" w:fill="E7E7E8"/>
          </w:tcPr>
          <w:p>
            <w:pPr>
              <w:spacing w:after="0"/>
              <w:rPr>
                <w:sz w:val="19"/>
                <w:szCs w:val="19"/>
                <w:color w:val="auto"/>
              </w:rPr>
            </w:pPr>
          </w:p>
        </w:tc>
        <w:tc>
          <w:tcPr>
            <w:tcW w:w="360" w:type="dxa"/>
            <w:vAlign w:val="bottom"/>
            <w:shd w:val="clear" w:color="auto" w:fill="E7E7E8"/>
          </w:tcPr>
          <w:p>
            <w:pPr>
              <w:spacing w:after="0"/>
              <w:rPr>
                <w:sz w:val="19"/>
                <w:szCs w:val="19"/>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37,260</w:t>
            </w:r>
          </w:p>
        </w:tc>
        <w:tc>
          <w:tcPr>
            <w:tcW w:w="0" w:type="dxa"/>
            <w:vAlign w:val="bottom"/>
          </w:tcPr>
          <w:p>
            <w:pPr>
              <w:spacing w:after="0"/>
              <w:rPr>
                <w:sz w:val="1"/>
                <w:szCs w:val="1"/>
                <w:color w:val="auto"/>
              </w:rPr>
            </w:pPr>
          </w:p>
        </w:tc>
      </w:tr>
      <w:tr>
        <w:trPr>
          <w:trHeight w:val="83"/>
        </w:trPr>
        <w:tc>
          <w:tcPr>
            <w:tcW w:w="7960" w:type="dxa"/>
            <w:vAlign w:val="bottom"/>
            <w:shd w:val="clear" w:color="auto" w:fill="E7E7E8"/>
          </w:tcPr>
          <w:p>
            <w:pPr>
              <w:spacing w:after="0"/>
              <w:rPr>
                <w:sz w:val="7"/>
                <w:szCs w:val="7"/>
                <w:color w:val="auto"/>
              </w:rPr>
            </w:pPr>
          </w:p>
        </w:tc>
        <w:tc>
          <w:tcPr>
            <w:tcW w:w="1020" w:type="dxa"/>
            <w:vAlign w:val="bottom"/>
            <w:shd w:val="clear" w:color="auto" w:fill="E7E7E8"/>
          </w:tcPr>
          <w:p>
            <w:pPr>
              <w:spacing w:after="0"/>
              <w:rPr>
                <w:sz w:val="7"/>
                <w:szCs w:val="7"/>
                <w:color w:val="auto"/>
              </w:rPr>
            </w:pPr>
          </w:p>
        </w:tc>
        <w:tc>
          <w:tcPr>
            <w:tcW w:w="640" w:type="dxa"/>
            <w:vAlign w:val="bottom"/>
            <w:shd w:val="clear" w:color="auto" w:fill="E7E7E8"/>
          </w:tcPr>
          <w:p>
            <w:pPr>
              <w:spacing w:after="0"/>
              <w:rPr>
                <w:sz w:val="7"/>
                <w:szCs w:val="7"/>
                <w:color w:val="auto"/>
              </w:rPr>
            </w:pPr>
          </w:p>
        </w:tc>
        <w:tc>
          <w:tcPr>
            <w:tcW w:w="120" w:type="dxa"/>
            <w:vAlign w:val="bottom"/>
            <w:shd w:val="clear" w:color="auto" w:fill="E7E7E8"/>
          </w:tcPr>
          <w:p>
            <w:pPr>
              <w:spacing w:after="0"/>
              <w:rPr>
                <w:sz w:val="7"/>
                <w:szCs w:val="7"/>
                <w:color w:val="auto"/>
              </w:rPr>
            </w:pPr>
          </w:p>
        </w:tc>
        <w:tc>
          <w:tcPr>
            <w:tcW w:w="360" w:type="dxa"/>
            <w:vAlign w:val="bottom"/>
            <w:shd w:val="clear" w:color="auto" w:fill="E7E7E8"/>
          </w:tcPr>
          <w:p>
            <w:pPr>
              <w:spacing w:after="0"/>
              <w:rPr>
                <w:sz w:val="7"/>
                <w:szCs w:val="7"/>
                <w:color w:val="auto"/>
              </w:rPr>
            </w:pPr>
          </w:p>
        </w:tc>
        <w:tc>
          <w:tcPr>
            <w:tcW w:w="1300" w:type="dxa"/>
            <w:vAlign w:val="bottom"/>
            <w:shd w:val="clear" w:color="auto" w:fill="E7E7E8"/>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83"/>
        </w:trPr>
        <w:tc>
          <w:tcPr>
            <w:tcW w:w="7960" w:type="dxa"/>
            <w:vAlign w:val="bottom"/>
            <w:tcBorders>
              <w:bottom w:val="single" w:sz="8" w:color="E7E7E8"/>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Borders>
              <w:bottom w:val="single" w:sz="8" w:color="E7E7E8"/>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796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Net change in cash and cash equivalents</w:t>
            </w:r>
          </w:p>
        </w:tc>
        <w:tc>
          <w:tcPr>
            <w:tcW w:w="1020" w:type="dxa"/>
            <w:vAlign w:val="bottom"/>
            <w:tcBorders>
              <w:bottom w:val="single" w:sz="8" w:color="E7E7E8"/>
            </w:tcBorders>
            <w:shd w:val="clear" w:color="auto" w:fill="E7E7E8"/>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3,821</w:t>
            </w:r>
          </w:p>
        </w:tc>
        <w:tc>
          <w:tcPr>
            <w:tcW w:w="120" w:type="dxa"/>
            <w:vAlign w:val="bottom"/>
            <w:tcBorders>
              <w:bottom w:val="single" w:sz="8" w:color="E7E7E8"/>
            </w:tcBorders>
            <w:shd w:val="clear" w:color="auto" w:fill="E7E7E8"/>
          </w:tcPr>
          <w:p>
            <w:pPr>
              <w:spacing w:after="0"/>
              <w:rPr>
                <w:sz w:val="24"/>
                <w:szCs w:val="24"/>
                <w:color w:val="auto"/>
              </w:rPr>
            </w:pPr>
          </w:p>
        </w:tc>
        <w:tc>
          <w:tcPr>
            <w:tcW w:w="360" w:type="dxa"/>
            <w:vAlign w:val="bottom"/>
            <w:tcBorders>
              <w:bottom w:val="single" w:sz="8" w:color="E7E7E8"/>
            </w:tcBorders>
            <w:shd w:val="clear" w:color="auto" w:fill="E7E7E8"/>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0"/>
        </w:trPr>
        <w:tc>
          <w:tcPr>
            <w:tcW w:w="7960" w:type="dxa"/>
            <w:vAlign w:val="bottom"/>
            <w:tcBorders>
              <w:top w:val="single" w:sz="8" w:color="E7E7E8"/>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7E7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Operating Activities</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Cash provided by operating activities for the three months ended March 31, 2019 was $15.3 million as compared to $4.8 million for the three months ended March 31, 2018, an increase of $10.5 million. The increase was primarily due to an increase of $20.4 million of net income, adjusted for non-cash items, during 2019 compared to 2018 due to the impact of the ModSpace acquisition on revenue and gross profit, which is reflected in the first quarter of 2019, but is not included in 2018. The increase in net income, adjusted for non-cash items, was partially offset by a decrease of $9.9 million in the net movements of the operating assets and liabilities. The decrease related to the operating assets and liabilities was attributable to an increase in accounts receivable and an increase in cash interest payments in the first quarter of 2019, partially offset by an increase in accounts payable and accrued liabilities.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investing activities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Cash used in investing activities for the three months ended March 31, 2019 was $41.8 million as compared to $48.4 million for the three months ended March 31, 2018, a decrease of $6.6 million. The decrease in cash used in investing activities was principally the result of the acquisition of Tyson for cash consideration of $24.0 million during the first quarter of 2018, with no acquisitions made during the first quarter of 2019. An increase of $3.5 million in proceeds from the sale of rental equipment due to increased sales volume as a result of the acquisition of ModSpace, also contributed to the decrease in cash used in investing activities. The overall decrease in cash used in investing activities was partially offset by an increase in rental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094" w:right="239" w:bottom="1440" w:gutter="0" w:footer="0" w:header="0"/>
        </w:sectPr>
      </w:pPr>
    </w:p>
    <w:bookmarkStart w:id="35" w:name="page36"/>
    <w:bookmarkEnd w:id="35"/>
    <w:p>
      <w:pPr>
        <w:jc w:val="both"/>
        <w:spacing w:after="0" w:line="281" w:lineRule="auto"/>
        <w:rPr>
          <w:sz w:val="20"/>
          <w:szCs w:val="20"/>
          <w:color w:val="auto"/>
        </w:rPr>
      </w:pPr>
      <w:r>
        <w:rPr>
          <w:rFonts w:ascii="Arial" w:cs="Arial" w:eastAsia="Arial" w:hAnsi="Arial"/>
          <w:sz w:val="16"/>
          <w:szCs w:val="16"/>
          <w:color w:val="auto"/>
        </w:rPr>
        <w:t>equipment expenditures of $19.8 million, driven primarily by increased spend for refurbishments of existing fleet and VAPS to drive revenue growth, and for maintenance of a larger fleet following our recent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8A5F"/>
        </w:rPr>
        <w:t>Cash flows from financing activities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Cash provided by financing activities for the three months ended March 31, 2019 was $30.3 million as compared to $37.3 million for the three months ended March 31, 2018, a decrease of $7.0 million. The decrease is primarily driven by $6.2 million of decreased borrowings, net of repayments, on the Company's ABL Facility. We borrowed $24.0 million on the ABL Facility to purchase Tyson in the first quarter of 2018, and did not have any acquisitions in 2019. This decrease in borrowings to fund acquisitions was partially offset by increased borrowings for operations, capital expenditures related to refurbishments of existing fleet and VAPS, and integration and restructuring activities.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Free Cash Flow is a non-GAAP measure. Free Cash Flow is defined as net cash provided by operating activities, less purchases of, and proceeds from, rental equipment and property, plant and equipment, which are all included in cash flows from investing activities. Management believes that the presentation of Free Cash Flow provides useful information to investors regarding our results of operations because it provides useful additional information concerning cash flow available to meet future debt service obligations and working capital requirements. The following table provides a reconciliation of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37730"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325755"/>
                    </a:xfrm>
                    <a:prstGeom prst="rect">
                      <a:avLst/>
                    </a:prstGeom>
                    <a:noFill/>
                  </pic:spPr>
                </pic:pic>
              </a:graphicData>
            </a:graphic>
          </wp:anchor>
        </w:drawing>
      </w:r>
    </w:p>
    <w:p>
      <w:pPr>
        <w:spacing w:after="0" w:line="73"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FFFFFF"/>
        </w:rPr>
        <w:t>Three Months Ended March 31,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40" w:type="dxa"/>
            <w:vAlign w:val="bottom"/>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008A5F"/>
          </w:tcPr>
          <w:p>
            <w:pPr>
              <w:spacing w:after="0"/>
              <w:rPr>
                <w:sz w:val="20"/>
                <w:szCs w:val="20"/>
                <w:color w:val="auto"/>
              </w:rPr>
            </w:pPr>
          </w:p>
        </w:tc>
        <w:tc>
          <w:tcPr>
            <w:tcW w:w="1240" w:type="dxa"/>
            <w:vAlign w:val="bottom"/>
            <w:shd w:val="clear" w:color="auto" w:fill="008A5F"/>
          </w:tcPr>
          <w:p>
            <w:pPr>
              <w:jc w:val="right"/>
              <w:ind w:right="539"/>
              <w:spacing w:after="0"/>
              <w:rPr>
                <w:sz w:val="20"/>
                <w:szCs w:val="20"/>
                <w:color w:val="auto"/>
              </w:rPr>
            </w:pPr>
            <w:r>
              <w:rPr>
                <w:rFonts w:ascii="Arial" w:cs="Arial" w:eastAsia="Arial" w:hAnsi="Arial"/>
                <w:sz w:val="16"/>
                <w:szCs w:val="16"/>
                <w:b w:val="1"/>
                <w:bCs w:val="1"/>
                <w:color w:val="FFFFFF"/>
              </w:rPr>
              <w:t>2019</w:t>
            </w:r>
          </w:p>
        </w:tc>
        <w:tc>
          <w:tcPr>
            <w:tcW w:w="80" w:type="dxa"/>
            <w:vAlign w:val="bottom"/>
            <w:shd w:val="clear" w:color="auto" w:fill="008A5F"/>
          </w:tcPr>
          <w:p>
            <w:pPr>
              <w:spacing w:after="0"/>
              <w:rPr>
                <w:sz w:val="20"/>
                <w:szCs w:val="20"/>
                <w:color w:val="auto"/>
              </w:rPr>
            </w:pPr>
          </w:p>
        </w:tc>
        <w:tc>
          <w:tcPr>
            <w:tcW w:w="400" w:type="dxa"/>
            <w:vAlign w:val="bottom"/>
            <w:shd w:val="clear" w:color="auto" w:fill="008A5F"/>
          </w:tcPr>
          <w:p>
            <w:pPr>
              <w:spacing w:after="0"/>
              <w:rPr>
                <w:sz w:val="20"/>
                <w:szCs w:val="20"/>
                <w:color w:val="auto"/>
              </w:rPr>
            </w:pPr>
          </w:p>
        </w:tc>
        <w:tc>
          <w:tcPr>
            <w:tcW w:w="1300" w:type="dxa"/>
            <w:vAlign w:val="bottom"/>
            <w:shd w:val="clear" w:color="auto" w:fill="008A5F"/>
          </w:tcPr>
          <w:p>
            <w:pPr>
              <w:jc w:val="right"/>
              <w:ind w:right="579"/>
              <w:spacing w:after="0"/>
              <w:rPr>
                <w:sz w:val="20"/>
                <w:szCs w:val="20"/>
                <w:color w:val="auto"/>
              </w:rPr>
            </w:pPr>
            <w:r>
              <w:rPr>
                <w:rFonts w:ascii="Arial" w:cs="Arial" w:eastAsia="Arial" w:hAnsi="Arial"/>
                <w:sz w:val="16"/>
                <w:szCs w:val="16"/>
                <w:b w:val="1"/>
                <w:bCs w:val="1"/>
                <w:color w:val="FFFFFF"/>
              </w:rPr>
              <w:t>2018</w:t>
            </w:r>
          </w:p>
        </w:tc>
      </w:tr>
      <w:tr>
        <w:trPr>
          <w:trHeight w:val="243"/>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15,256</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4,782</w:t>
            </w:r>
          </w:p>
        </w:tc>
      </w:tr>
      <w:tr>
        <w:trPr>
          <w:trHeight w:val="235"/>
        </w:trPr>
        <w:tc>
          <w:tcPr>
            <w:tcW w:w="804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(51,873)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(32,084)</w:t>
            </w:r>
          </w:p>
        </w:tc>
      </w:tr>
      <w:tr>
        <w:trPr>
          <w:trHeight w:val="251"/>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shd w:val="clear" w:color="auto" w:fill="E7E7E8"/>
          </w:tcPr>
          <w:p>
            <w:pPr>
              <w:spacing w:after="0"/>
              <w:rPr>
                <w:sz w:val="21"/>
                <w:szCs w:val="21"/>
                <w:color w:val="auto"/>
              </w:rPr>
            </w:pPr>
          </w:p>
        </w:tc>
        <w:tc>
          <w:tcPr>
            <w:tcW w:w="1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11,601</w:t>
            </w:r>
          </w:p>
        </w:tc>
        <w:tc>
          <w:tcPr>
            <w:tcW w:w="80" w:type="dxa"/>
            <w:vAlign w:val="bottom"/>
            <w:shd w:val="clear" w:color="auto" w:fill="E7E7E8"/>
          </w:tcPr>
          <w:p>
            <w:pPr>
              <w:spacing w:after="0"/>
              <w:rPr>
                <w:sz w:val="21"/>
                <w:szCs w:val="21"/>
                <w:color w:val="auto"/>
              </w:rPr>
            </w:pPr>
          </w:p>
        </w:tc>
        <w:tc>
          <w:tcPr>
            <w:tcW w:w="400" w:type="dxa"/>
            <w:vAlign w:val="bottom"/>
            <w:shd w:val="clear" w:color="auto" w:fill="E7E7E8"/>
          </w:tcPr>
          <w:p>
            <w:pPr>
              <w:spacing w:after="0"/>
              <w:rPr>
                <w:sz w:val="21"/>
                <w:szCs w:val="21"/>
                <w:color w:val="auto"/>
              </w:rPr>
            </w:pPr>
          </w:p>
        </w:tc>
        <w:tc>
          <w:tcPr>
            <w:tcW w:w="13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8,128</w:t>
            </w:r>
          </w:p>
        </w:tc>
      </w:tr>
      <w:tr>
        <w:trPr>
          <w:trHeight w:val="235"/>
        </w:trPr>
        <w:tc>
          <w:tcPr>
            <w:tcW w:w="804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51"/>
        </w:trPr>
        <w:tc>
          <w:tcPr>
            <w:tcW w:w="8040" w:type="dxa"/>
            <w:vAlign w:val="bottom"/>
            <w:shd w:val="clear" w:color="auto" w:fill="E7E7E8"/>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40" w:type="dxa"/>
            <w:vAlign w:val="bottom"/>
            <w:tcBorders>
              <w:bottom w:val="single" w:sz="8" w:color="auto"/>
            </w:tcBorders>
            <w:shd w:val="clear" w:color="auto" w:fill="E7E7E8"/>
          </w:tcPr>
          <w:p>
            <w:pPr>
              <w:spacing w:after="0"/>
              <w:rPr>
                <w:sz w:val="21"/>
                <w:szCs w:val="21"/>
                <w:color w:val="auto"/>
              </w:rPr>
            </w:pPr>
          </w:p>
        </w:tc>
        <w:tc>
          <w:tcPr>
            <w:tcW w:w="12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E7E7E8"/>
          </w:tcPr>
          <w:p>
            <w:pPr>
              <w:spacing w:after="0"/>
              <w:rPr>
                <w:sz w:val="21"/>
                <w:szCs w:val="21"/>
                <w:color w:val="auto"/>
              </w:rPr>
            </w:pPr>
          </w:p>
        </w:tc>
        <w:tc>
          <w:tcPr>
            <w:tcW w:w="400" w:type="dxa"/>
            <w:vAlign w:val="bottom"/>
            <w:tcBorders>
              <w:bottom w:val="single" w:sz="8" w:color="auto"/>
            </w:tcBorders>
            <w:shd w:val="clear" w:color="auto" w:fill="E7E7E8"/>
          </w:tcPr>
          <w:p>
            <w:pPr>
              <w:spacing w:after="0"/>
              <w:rPr>
                <w:sz w:val="21"/>
                <w:szCs w:val="21"/>
                <w:color w:val="auto"/>
              </w:rPr>
            </w:pPr>
          </w:p>
        </w:tc>
        <w:tc>
          <w:tcPr>
            <w:tcW w:w="13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523</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Free Cash Flow</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(26,558)</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(19,651)</w:t>
            </w:r>
          </w:p>
        </w:tc>
      </w:tr>
      <w:tr>
        <w:trPr>
          <w:trHeight w:val="27"/>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Free Cash Flow for the three months ended March 31, 2019 was an outflow of $26.6 million as compared to an outflow of $19.7 million for the three months ended March 31, 2018, a decrease in Free Cash Flow of $6.9 million. Despite increases in Adjusted EBITDA of $49.0 million for the three months ended March 31, 2018, Free Cash Flow decreased year over year principally as the result of an increase in integration and restructuring costs incurred of $12.8 million primarily related to the ModSpace integration, increased interest paid during the period of $29.8 million due to the timing of interest payments on the 2023 Secured Notes and the Unsecured Notes which were not in place during the three months ended March 31, 2018, and increased Net CAPEX of $16.9 million as a result of the increased fleet size and our investment in refurbishments of rental equipment and VAPS.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color w:val="008A5F"/>
        </w:rPr>
        <w:t>Contractual Obligations</w:t>
      </w:r>
    </w:p>
    <w:p>
      <w:pPr>
        <w:spacing w:after="0" w:line="54"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6"/>
          <w:szCs w:val="16"/>
          <w:color w:val="auto"/>
        </w:rPr>
        <w:t>Other than changes which occur in the normal course of business, there were no significant changes to the contractual obligations reported in our 2018 Form 10-K as updated in our Form 10-Q for the three months March 31, 2019.</w:t>
      </w:r>
    </w:p>
    <w:p>
      <w:pPr>
        <w:spacing w:after="0" w:line="288" w:lineRule="exact"/>
        <w:rPr>
          <w:sz w:val="20"/>
          <w:szCs w:val="20"/>
          <w:color w:val="auto"/>
        </w:rPr>
      </w:pPr>
    </w:p>
    <w:p>
      <w:pPr>
        <w:spacing w:after="0"/>
        <w:rPr>
          <w:sz w:val="20"/>
          <w:szCs w:val="20"/>
          <w:color w:val="auto"/>
        </w:rPr>
      </w:pPr>
      <w:r>
        <w:rPr>
          <w:rFonts w:ascii="Arial" w:cs="Arial" w:eastAsia="Arial" w:hAnsi="Arial"/>
          <w:sz w:val="23"/>
          <w:szCs w:val="23"/>
          <w:color w:val="008A5F"/>
        </w:rPr>
        <w:t>Off-Balance Sheet Arrangements</w:t>
      </w:r>
    </w:p>
    <w:p>
      <w:pPr>
        <w:spacing w:after="0" w:line="6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330" w:lineRule="exact"/>
        <w:rPr>
          <w:sz w:val="20"/>
          <w:szCs w:val="20"/>
          <w:color w:val="auto"/>
        </w:rPr>
      </w:pPr>
    </w:p>
    <w:p>
      <w:pPr>
        <w:spacing w:after="0"/>
        <w:rPr>
          <w:sz w:val="20"/>
          <w:szCs w:val="20"/>
          <w:color w:val="auto"/>
        </w:rPr>
      </w:pPr>
      <w:r>
        <w:rPr>
          <w:rFonts w:ascii="Arial" w:cs="Arial" w:eastAsia="Arial" w:hAnsi="Arial"/>
          <w:sz w:val="23"/>
          <w:szCs w:val="23"/>
          <w:color w:val="008A5F"/>
        </w:rPr>
        <w:t>Critical Accounting Policies and Estimates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fiscal year ended December 31, 2018.</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094" w:right="239" w:bottom="1440" w:gutter="0" w:footer="0" w:header="0"/>
        </w:sectPr>
      </w:pPr>
    </w:p>
    <w:bookmarkStart w:id="36" w:name="page37"/>
    <w:bookmarkEnd w:id="36"/>
    <w:p>
      <w:pPr>
        <w:jc w:val="both"/>
        <w:ind w:firstLine="648"/>
        <w:spacing w:after="0" w:line="291" w:lineRule="auto"/>
        <w:rPr>
          <w:sz w:val="20"/>
          <w:szCs w:val="20"/>
          <w:color w:val="auto"/>
        </w:rPr>
      </w:pPr>
      <w:r>
        <w:rPr>
          <w:rFonts w:ascii="Arial" w:cs="Arial" w:eastAsia="Arial" w:hAnsi="Arial"/>
          <w:sz w:val="16"/>
          <w:szCs w:val="16"/>
          <w:color w:val="auto"/>
        </w:rPr>
        <w:t>Other than adoption of recent accounting standards as discussed in Note 1 to the notes to our unaudited condensed consolidated financial statements, there were no significant changes to our critical accounting policies during the three months ended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23"/>
          <w:szCs w:val="23"/>
          <w:color w:val="008A5F"/>
        </w:rPr>
        <w:t>Recently Issued Accounting Standards</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Refer to Part I, Item 1, Note 1 of the notes to our financial statements included in this Form 10-Q for our assessment of recently issued and adopted accounting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color w:val="008A5F"/>
        </w:rPr>
        <w:t>Cautionary Note Regarding Forward-Looking Statements</w:t>
      </w:r>
    </w:p>
    <w:p>
      <w:pPr>
        <w:spacing w:after="0" w:line="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(the "Exchange Act"). These forward-looking statements relate to expectations for future financial performance, business strategies or expectations for the post-combination business. Specifically, forward-looking statements may include statements relating to:</w:t>
      </w:r>
    </w:p>
    <w:p>
      <w:pPr>
        <w:spacing w:after="0" w:line="1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effectively compete in the modular space and portable storage industry;</w:t>
      </w:r>
    </w:p>
    <w:p>
      <w:pPr>
        <w:spacing w:after="0" w:line="2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demand within a number of key industry end-markets and geographic regions;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effective management of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acquire and successfully integrate new operations;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market conditions and economic factors beyond our control;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properly design, manufacture, repair and maintain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operating results or financial estimates fail to meet or exceed our expectations;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operational, economic, political and regulatory risks;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changes in state building codes on our ability to remarket our buildings;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effectively manage our credit risk, collect on our accounts receivable, or recover our rental equipment;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exchange rate exposure;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increases in raw material and labor costs;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reliance on third party manufacturers and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associated with labor relations, labor costs and labor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retain key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impairment charges on our operating results;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inability to recognize or use deferred tax assets and tax loss carry forwards;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obligations under various laws and regulations;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 of litigation, judgments, orders or regulatory proceedings on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unanticipated changes in our tax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failure of our management information systems;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design, implement and maintain effective internal controls, including disclosure controls and controls over financial reporting;</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natural disasters and other business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exposure to various possible claims and the potential inadequacy of our insurance;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deploy our units effectively, including our ability to close projected unit sales;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failure by our prior owner or its affiliates to perform under or comply with our transition services and intellectual property agreements;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fulfill our public company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subsidiaries’ ability to meet their debt service requirements and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subsidiaries’ ability to take certain actions, or to permit us to take certain actions, under the agreements governing their indebtedness; and</w:t>
      </w:r>
    </w:p>
    <w:p>
      <w:pPr>
        <w:spacing w:after="0" w:line="5" w:lineRule="exact"/>
        <w:rPr>
          <w:rFonts w:ascii="Arial" w:cs="Arial" w:eastAsia="Arial" w:hAnsi="Arial"/>
          <w:sz w:val="16"/>
          <w:szCs w:val="16"/>
          <w:color w:val="auto"/>
        </w:rPr>
      </w:pPr>
    </w:p>
    <w:p>
      <w:pPr>
        <w:ind w:left="660" w:hanging="328"/>
        <w:spacing w:after="0" w:line="26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factors detailed under the section entitled “Risk Factors” in Part I, Item 1A of our Annual Report on Form 10-K for the fiscal year ended December 31, 2018.</w:t>
      </w:r>
    </w:p>
    <w:p>
      <w:pPr>
        <w:spacing w:after="0" w:line="4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undertake no obligation to update or revise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94" w:right="239" w:bottom="1440" w:gutter="0" w:footer="0" w:header="0"/>
        </w:sectPr>
      </w:pPr>
    </w:p>
    <w:bookmarkStart w:id="37" w:name="page38"/>
    <w:bookmarkEnd w:id="37"/>
    <w:p>
      <w:pPr>
        <w:ind w:left="1960" w:right="1140" w:hanging="1944"/>
        <w:spacing w:after="0" w:line="270" w:lineRule="auto"/>
        <w:rPr>
          <w:sz w:val="20"/>
          <w:szCs w:val="20"/>
          <w:color w:val="auto"/>
        </w:rPr>
      </w:pPr>
      <w:r>
        <w:rPr>
          <w:rFonts w:ascii="Arial" w:cs="Arial" w:eastAsia="Arial" w:hAnsi="Arial"/>
          <w:sz w:val="40"/>
          <w:szCs w:val="40"/>
          <w:b w:val="1"/>
          <w:bCs w:val="1"/>
          <w:color w:val="auto"/>
        </w:rPr>
        <w:t>ITEM 3. Quantitative and Qualitative Disclosures about Market Risk</w:t>
      </w:r>
    </w:p>
    <w:p>
      <w:pPr>
        <w:jc w:val="both"/>
        <w:ind w:right="20" w:firstLine="648"/>
        <w:spacing w:after="0" w:line="266" w:lineRule="auto"/>
        <w:rPr>
          <w:sz w:val="20"/>
          <w:szCs w:val="20"/>
          <w:color w:val="auto"/>
        </w:rPr>
      </w:pPr>
      <w:r>
        <w:rPr>
          <w:rFonts w:ascii="Arial" w:cs="Arial" w:eastAsia="Arial" w:hAnsi="Arial"/>
          <w:sz w:val="16"/>
          <w:szCs w:val="16"/>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rPr>
          <w:sz w:val="20"/>
          <w:szCs w:val="20"/>
          <w:color w:val="auto"/>
        </w:rPr>
      </w:pPr>
      <w:r>
        <w:rPr>
          <w:rFonts w:ascii="Arial" w:cs="Arial" w:eastAsia="Arial" w:hAnsi="Arial"/>
          <w:sz w:val="18"/>
          <w:szCs w:val="18"/>
          <w:b w:val="1"/>
          <w:bCs w:val="1"/>
          <w:color w:val="auto"/>
        </w:rPr>
        <w:t>Interest Rate Risk</w:t>
      </w:r>
    </w:p>
    <w:p>
      <w:pPr>
        <w:spacing w:after="0" w:line="7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We are primarily exposed to interest rate risk through our ABL Facility, which bears interest at variable rates based on LIBOR. We had $910.5 million in outstanding principal under the ABL Facility at March 31, 2019.</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order to manage this risk, On November 6, 2018, WSII entered into an interest rate swap agreement that effectively converts $400.0 million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aggregate notional amount of variable-rate debt under our ABL Facility into fixed-rate debt. The swap agreement provides for WillScot to pay a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3.06% per annum on the outstanding debt in exchange for receiving a variable interest rate based on 1-month LIBOR. The effect is a synthetically fixed rate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5.56% on the $400.0 million notional amount, when including the current applicable margin.</w:t>
      </w:r>
    </w:p>
    <w:p>
      <w:pPr>
        <w:spacing w:after="0" w:line="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An increase in interest rates by 100 basis points on our ABL Facility, inclusive of the impact of our interest rate swaps, would increase our quarter to date interest expense by approximately $1.2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7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currently generate the majority of our consolidated net revenues in the US, and the reporting currency for our consolidated financial statements is the US dollar.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1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date, we have not entered into any hedging arrangements with respect to foreign currency risk.</w:t>
      </w:r>
    </w:p>
    <w:p>
      <w:pPr>
        <w:spacing w:after="0" w:line="28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Our management, with participation of our Chief Executive Officer and Chief Financial Officer, has evaluated the effectiveness of our disclosure controls and procedures as defined in Rule 13a-15(e) under the Exchange Act, as of March 31, 2019. Based upon that evaluation, our Chief Executive Officer and Chief Financial Officer concluded that our disclosure controls and procedures were effective as of March 31, 2019.</w:t>
      </w: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As discussed in Note 2 to the condensed consolidated financial statements included in this quarterly report on Form 10-Q, the Company completed the acquisition of ModSpace in August 2018. During the first quarter of 2019, we transitioned all the business processes of ModSpace onto our existing platforms.</w:t>
      </w:r>
    </w:p>
    <w:p>
      <w:pPr>
        <w:spacing w:after="0" w:line="193"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Other than the items discussed above, there were no changes in our internal control over financial reporting that occurred during our quarter ended March 31, 2019,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76" w:right="239" w:bottom="1440" w:gutter="0" w:footer="0" w:header="0"/>
        </w:sectPr>
      </w:pPr>
    </w:p>
    <w:bookmarkStart w:id="38" w:name="page39"/>
    <w:bookmarkEnd w:id="38"/>
    <w:p>
      <w:pPr>
        <w:ind w:left="5020"/>
        <w:spacing w:after="0"/>
        <w:rPr>
          <w:sz w:val="20"/>
          <w:szCs w:val="20"/>
          <w:color w:val="auto"/>
        </w:rPr>
      </w:pPr>
      <w:r>
        <w:rPr>
          <w:rFonts w:ascii="Arial" w:cs="Arial" w:eastAsia="Arial" w:hAnsi="Arial"/>
          <w:sz w:val="40"/>
          <w:szCs w:val="40"/>
          <w:b w:val="1"/>
          <w:bCs w:val="1"/>
          <w:color w:val="008A5F"/>
        </w:rPr>
        <w:t>PART II</w:t>
      </w:r>
    </w:p>
    <w:p>
      <w:pPr>
        <w:spacing w:after="0" w:line="10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 Legal Proceedings</w:t>
      </w:r>
    </w:p>
    <w:p>
      <w:pPr>
        <w:spacing w:after="0" w:line="103"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6"/>
          <w:szCs w:val="16"/>
          <w:color w:val="auto"/>
        </w:rPr>
        <w:t>As of March 31, 2019, there were no material pending legal proceedings in which we or any of our subsidiaries are a party or to which any of our property is subject.</w:t>
      </w:r>
    </w:p>
    <w:p>
      <w:pPr>
        <w:spacing w:after="0" w:line="22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1A. Risk Factors</w:t>
      </w:r>
    </w:p>
    <w:p>
      <w:pPr>
        <w:spacing w:after="0" w:line="10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Trade policies and changes in trade policies, including the imposition of tariffs, their enforcement and downstream consequences, may have a material adverse impact on our business, results of operations, and outlook.</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Tariffs and/or other developments with respect to trade policies, trade agreements, and government regulations could have a material adverse impact on the Company's business, financial condition and results of operations. For example, the United States government has imposed tariffs on steel, aluminum and lumber imports from certain countries, which could result in increased costs to the Company for these materials. Without limitation, (i) tariffs currently in place and (ii) the imposition by the federal government of new tariffs on imports to the United States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could have a material adverse impact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2. Unregistered Sales of Equity Securities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3. Defaults Upon Senior Securities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4. Mine Safety Disclosures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5. Other Information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76" w:right="239" w:bottom="1440" w:gutter="0" w:footer="0" w:header="0"/>
        </w:sectPr>
      </w:pPr>
    </w:p>
    <w:bookmarkStart w:id="39" w:name="page40"/>
    <w:bookmarkEnd w:id="39"/>
    <w:p>
      <w:pPr>
        <w:spacing w:after="0"/>
        <w:rPr>
          <w:sz w:val="20"/>
          <w:szCs w:val="20"/>
          <w:color w:val="auto"/>
        </w:rPr>
      </w:pPr>
      <w:r>
        <w:rPr>
          <w:rFonts w:ascii="Arial" w:cs="Arial" w:eastAsia="Arial" w:hAnsi="Arial"/>
          <w:sz w:val="39"/>
          <w:szCs w:val="39"/>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2058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ectPr>
          <w:pgSz w:w="11900" w:h="16838" w:orient="portrait"/>
          <w:cols w:equalWidth="0" w:num="1">
            <w:col w:w="11360"/>
          </w:cols>
          <w:pgMar w:left="240" w:top="1076" w:right="299" w:bottom="1440" w:gutter="0" w:footer="0" w:header="0"/>
        </w:sectPr>
      </w:pPr>
    </w:p>
    <w:p>
      <w:pPr>
        <w:spacing w:after="0" w:line="103" w:lineRule="exact"/>
        <w:rPr>
          <w:sz w:val="20"/>
          <w:szCs w:val="20"/>
          <w:color w:val="auto"/>
        </w:rPr>
      </w:pPr>
    </w:p>
    <w:p>
      <w:pPr>
        <w:jc w:val="center"/>
        <w:ind w:left="80"/>
        <w:spacing w:after="0"/>
        <w:rPr>
          <w:sz w:val="20"/>
          <w:szCs w:val="20"/>
          <w:color w:val="auto"/>
        </w:rPr>
      </w:pPr>
      <w:r>
        <w:rPr>
          <w:rFonts w:ascii="Arial" w:cs="Arial" w:eastAsia="Arial" w:hAnsi="Arial"/>
          <w:sz w:val="16"/>
          <w:szCs w:val="16"/>
          <w:b w:val="1"/>
          <w:bCs w:val="1"/>
          <w:color w:val="FFFFFF"/>
        </w:rPr>
        <w:t>Exhibit No.</w:t>
      </w:r>
    </w:p>
    <w:p>
      <w:pPr>
        <w:spacing w:after="0" w:line="23" w:lineRule="exact"/>
        <w:rPr>
          <w:sz w:val="20"/>
          <w:szCs w:val="20"/>
          <w:color w:val="auto"/>
        </w:rPr>
      </w:pPr>
    </w:p>
    <w:p>
      <w:pPr>
        <w:ind w:left="340"/>
        <w:spacing w:after="0"/>
        <w:rPr>
          <w:rFonts w:ascii="Arial" w:cs="Arial" w:eastAsia="Arial" w:hAnsi="Arial"/>
          <w:sz w:val="16"/>
          <w:szCs w:val="16"/>
          <w:u w:val="single" w:color="auto"/>
          <w:color w:val="auto"/>
        </w:rPr>
      </w:pPr>
      <w:hyperlink w:anchor="page42">
        <w:r>
          <w:rPr>
            <w:rFonts w:ascii="Arial" w:cs="Arial" w:eastAsia="Arial" w:hAnsi="Arial"/>
            <w:sz w:val="16"/>
            <w:szCs w:val="16"/>
            <w:u w:val="single" w:color="auto"/>
            <w:color w:val="auto"/>
          </w:rPr>
          <w:t>31.1</w:t>
        </w:r>
      </w:hyperlink>
    </w:p>
    <w:p>
      <w:pPr>
        <w:spacing w:after="0" w:line="49" w:lineRule="exact"/>
        <w:rPr>
          <w:sz w:val="20"/>
          <w:szCs w:val="20"/>
          <w:color w:val="auto"/>
        </w:rPr>
      </w:pPr>
    </w:p>
    <w:p>
      <w:pPr>
        <w:ind w:left="340"/>
        <w:spacing w:after="0"/>
        <w:rPr>
          <w:rFonts w:ascii="Arial" w:cs="Arial" w:eastAsia="Arial" w:hAnsi="Arial"/>
          <w:sz w:val="16"/>
          <w:szCs w:val="16"/>
          <w:u w:val="single" w:color="auto"/>
          <w:color w:val="auto"/>
        </w:rPr>
      </w:pPr>
      <w:hyperlink w:anchor="page43">
        <w:r>
          <w:rPr>
            <w:rFonts w:ascii="Arial" w:cs="Arial" w:eastAsia="Arial" w:hAnsi="Arial"/>
            <w:sz w:val="16"/>
            <w:szCs w:val="16"/>
            <w:u w:val="single" w:color="auto"/>
            <w:color w:val="auto"/>
          </w:rPr>
          <w:t>31.2</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auto"/>
        </w:rPr>
      </w:pPr>
      <w:hyperlink w:anchor="page44">
        <w:r>
          <w:rPr>
            <w:rFonts w:ascii="Arial" w:cs="Arial" w:eastAsia="Arial" w:hAnsi="Arial"/>
            <w:sz w:val="16"/>
            <w:szCs w:val="16"/>
            <w:u w:val="single" w:color="auto"/>
            <w:color w:val="auto"/>
          </w:rPr>
          <w:t>32.1</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auto"/>
        </w:rPr>
      </w:pPr>
      <w:hyperlink w:anchor="page45">
        <w:r>
          <w:rPr>
            <w:rFonts w:ascii="Arial" w:cs="Arial" w:eastAsia="Arial" w:hAnsi="Arial"/>
            <w:sz w:val="16"/>
            <w:szCs w:val="16"/>
            <w:u w:val="single" w:color="auto"/>
            <w:color w:val="auto"/>
          </w:rPr>
          <w:t>32.2</w:t>
        </w:r>
      </w:hyperlink>
    </w:p>
    <w:p>
      <w:pPr>
        <w:spacing w:after="0" w:line="59" w:lineRule="exact"/>
        <w:rPr>
          <w:sz w:val="20"/>
          <w:szCs w:val="20"/>
          <w:color w:val="auto"/>
        </w:rPr>
      </w:pPr>
    </w:p>
    <w:p>
      <w:pPr>
        <w:ind w:left="340"/>
        <w:spacing w:after="0"/>
        <w:rPr>
          <w:rFonts w:ascii="Arial" w:cs="Arial" w:eastAsia="Arial" w:hAnsi="Arial"/>
          <w:sz w:val="16"/>
          <w:szCs w:val="16"/>
          <w:u w:val="single" w:color="auto"/>
          <w:color w:val="auto"/>
        </w:rPr>
      </w:pPr>
      <w:hyperlink r:id="rId45">
        <w:r>
          <w:rPr>
            <w:rFonts w:ascii="Arial" w:cs="Arial" w:eastAsia="Arial" w:hAnsi="Arial"/>
            <w:sz w:val="16"/>
            <w:szCs w:val="16"/>
            <w:u w:val="single" w:color="auto"/>
            <w:color w:val="auto"/>
          </w:rPr>
          <w:t>10.1</w:t>
        </w:r>
      </w:hyperlink>
    </w:p>
    <w:p>
      <w:pPr>
        <w:spacing w:after="0" w:line="194" w:lineRule="exact"/>
        <w:rPr>
          <w:sz w:val="20"/>
          <w:szCs w:val="20"/>
          <w:color w:val="auto"/>
        </w:rPr>
      </w:pPr>
    </w:p>
    <w:p>
      <w:pPr>
        <w:jc w:val="center"/>
        <w:ind w:left="80"/>
        <w:spacing w:after="0"/>
        <w:rPr>
          <w:rFonts w:ascii="Arial" w:cs="Arial" w:eastAsia="Arial" w:hAnsi="Arial"/>
          <w:sz w:val="16"/>
          <w:szCs w:val="16"/>
          <w:u w:val="single" w:color="auto"/>
          <w:color w:val="auto"/>
        </w:rPr>
      </w:pPr>
      <w:hyperlink r:id="rId46">
        <w:r>
          <w:rPr>
            <w:rFonts w:ascii="Arial" w:cs="Arial" w:eastAsia="Arial" w:hAnsi="Arial"/>
            <w:sz w:val="16"/>
            <w:szCs w:val="16"/>
            <w:u w:val="single" w:color="auto"/>
            <w:color w:val="auto"/>
          </w:rPr>
          <w:t>10.2</w:t>
        </w:r>
      </w:hyperlink>
    </w:p>
    <w:p>
      <w:pPr>
        <w:spacing w:after="0" w:line="194" w:lineRule="exact"/>
        <w:rPr>
          <w:sz w:val="20"/>
          <w:szCs w:val="20"/>
          <w:color w:val="auto"/>
        </w:rPr>
      </w:pPr>
    </w:p>
    <w:p>
      <w:pPr>
        <w:jc w:val="center"/>
        <w:ind w:left="80"/>
        <w:spacing w:after="0"/>
        <w:rPr>
          <w:sz w:val="20"/>
          <w:szCs w:val="20"/>
          <w:color w:val="auto"/>
        </w:rPr>
      </w:pPr>
      <w:r>
        <w:rPr>
          <w:rFonts w:ascii="Arial" w:cs="Arial" w:eastAsia="Arial" w:hAnsi="Arial"/>
          <w:sz w:val="16"/>
          <w:szCs w:val="16"/>
          <w:color w:val="auto"/>
        </w:rPr>
        <w:t>101.INS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101.SCH</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101.CAL</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101.DEF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101.LAB</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left="-27"/>
        <w:spacing w:after="0"/>
        <w:rPr>
          <w:sz w:val="20"/>
          <w:szCs w:val="20"/>
          <w:color w:val="auto"/>
        </w:rPr>
      </w:pPr>
      <w:r>
        <w:rPr>
          <w:rFonts w:ascii="Arial" w:cs="Arial" w:eastAsia="Arial" w:hAnsi="Arial"/>
          <w:sz w:val="16"/>
          <w:szCs w:val="16"/>
          <w:b w:val="1"/>
          <w:bCs w:val="1"/>
          <w:color w:val="FFFFFF"/>
        </w:rPr>
        <w:t>Exhibit Description</w:t>
      </w:r>
    </w:p>
    <w:p>
      <w:pPr>
        <w:spacing w:after="0" w:line="23" w:lineRule="exact"/>
        <w:rPr>
          <w:sz w:val="20"/>
          <w:szCs w:val="20"/>
          <w:color w:val="auto"/>
        </w:rPr>
      </w:pPr>
    </w:p>
    <w:p>
      <w:pPr>
        <w:ind w:left="328" w:hanging="328"/>
        <w:spacing w:after="0"/>
        <w:tabs>
          <w:tab w:leader="none" w:pos="328" w:val="left"/>
        </w:tabs>
        <w:numPr>
          <w:ilvl w:val="0"/>
          <w:numId w:val="17"/>
        </w:numPr>
        <w:rPr>
          <w:rFonts w:ascii="Arial" w:cs="Arial" w:eastAsia="Arial" w:hAnsi="Arial"/>
          <w:sz w:val="16"/>
          <w:szCs w:val="16"/>
          <w:u w:val="single" w:color="auto"/>
          <w:color w:val="auto"/>
        </w:rPr>
      </w:pPr>
      <w:hyperlink w:anchor="page42">
        <w:r>
          <w:rPr>
            <w:rFonts w:ascii="Arial" w:cs="Arial" w:eastAsia="Arial" w:hAnsi="Arial"/>
            <w:sz w:val="16"/>
            <w:szCs w:val="16"/>
            <w:u w:val="single" w:color="auto"/>
            <w:color w:val="auto"/>
          </w:rPr>
          <w:t>Certification of Chief Executive Officer pursuant to Section 302 of the Sarbanes-Oxley Act of 2002</w:t>
        </w:r>
      </w:hyperlink>
    </w:p>
    <w:p>
      <w:pPr>
        <w:spacing w:after="0" w:line="48" w:lineRule="exact"/>
        <w:rPr>
          <w:rFonts w:ascii="Arial" w:cs="Arial" w:eastAsia="Arial" w:hAnsi="Arial"/>
          <w:sz w:val="16"/>
          <w:szCs w:val="16"/>
          <w:u w:val="single" w:color="auto"/>
          <w:color w:val="auto"/>
        </w:rPr>
      </w:pPr>
    </w:p>
    <w:p>
      <w:pPr>
        <w:jc w:val="both"/>
        <w:ind w:left="8" w:right="3020" w:hanging="8"/>
        <w:spacing w:after="0" w:line="317" w:lineRule="auto"/>
        <w:tabs>
          <w:tab w:leader="none" w:pos="332" w:val="left"/>
        </w:tabs>
        <w:numPr>
          <w:ilvl w:val="0"/>
          <w:numId w:val="17"/>
        </w:numPr>
        <w:rPr>
          <w:rFonts w:ascii="Arial" w:cs="Arial" w:eastAsia="Arial" w:hAnsi="Arial"/>
          <w:sz w:val="16"/>
          <w:szCs w:val="16"/>
          <w:color w:val="auto"/>
        </w:rPr>
      </w:pPr>
      <w:hyperlink w:anchor="page43">
        <w:r>
          <w:rPr>
            <w:rFonts w:ascii="Arial" w:cs="Arial" w:eastAsia="Arial" w:hAnsi="Arial"/>
            <w:sz w:val="16"/>
            <w:szCs w:val="16"/>
            <w:u w:val="single" w:color="auto"/>
            <w:color w:val="auto"/>
          </w:rPr>
          <w:t>Certification of Chief Financial Officer pursuant to Section 302 of the Sarbanes-Oxley Act of 2002</w:t>
        </w:r>
      </w:hyperlink>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 </w:t>
      </w:r>
      <w:hyperlink w:anchor="page44">
        <w:r>
          <w:rPr>
            <w:rFonts w:ascii="Arial" w:cs="Arial" w:eastAsia="Arial" w:hAnsi="Arial"/>
            <w:sz w:val="16"/>
            <w:szCs w:val="16"/>
            <w:u w:val="single" w:color="auto"/>
            <w:color w:val="auto"/>
          </w:rPr>
          <w:t>Certification of Chief Executive Officer pursuant to Section 906 of the Sarbanes-Oxley Act of 2002</w:t>
        </w:r>
      </w:hyperlink>
      <w:r>
        <w:rPr>
          <w:rFonts w:ascii="Arial" w:cs="Arial" w:eastAsia="Arial" w:hAnsi="Arial"/>
          <w:sz w:val="16"/>
          <w:szCs w:val="16"/>
          <w:color w:val="auto"/>
        </w:rPr>
        <w:t xml:space="preserve"> ** </w:t>
      </w:r>
      <w:hyperlink w:anchor="page45">
        <w:r>
          <w:rPr>
            <w:rFonts w:ascii="Arial" w:cs="Arial" w:eastAsia="Arial" w:hAnsi="Arial"/>
            <w:sz w:val="16"/>
            <w:szCs w:val="16"/>
            <w:u w:val="single" w:color="auto"/>
            <w:color w:val="auto"/>
          </w:rPr>
          <w:t>Certification of Chief Financial Officer pursuant to Section 906 of the Sarbanes-Oxley Act of 2002</w:t>
        </w:r>
      </w:hyperlink>
    </w:p>
    <w:p>
      <w:pPr>
        <w:spacing w:after="0" w:line="20" w:lineRule="exact"/>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column">
              <wp:posOffset>-636905</wp:posOffset>
            </wp:positionH>
            <wp:positionV relativeFrom="paragraph">
              <wp:posOffset>-459105</wp:posOffset>
            </wp:positionV>
            <wp:extent cx="7220585"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20585" cy="15430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-150495</wp:posOffset>
            </wp:positionV>
            <wp:extent cx="722058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20585" cy="154305"/>
                    </a:xfrm>
                    <a:prstGeom prst="rect">
                      <a:avLst/>
                    </a:prstGeom>
                    <a:noFill/>
                  </pic:spPr>
                </pic:pic>
              </a:graphicData>
            </a:graphic>
          </wp:anchor>
        </w:drawing>
      </w:r>
    </w:p>
    <w:p>
      <w:pPr>
        <w:ind w:left="328" w:right="100"/>
        <w:spacing w:after="0" w:line="248" w:lineRule="auto"/>
        <w:rPr>
          <w:rFonts w:ascii="Arial" w:cs="Arial" w:eastAsia="Arial" w:hAnsi="Arial"/>
          <w:sz w:val="16"/>
          <w:szCs w:val="16"/>
          <w:u w:val="single" w:color="auto"/>
          <w:color w:val="auto"/>
        </w:rPr>
      </w:pPr>
      <w:hyperlink r:id="rId45">
        <w:r>
          <w:rPr>
            <w:rFonts w:ascii="Arial" w:cs="Arial" w:eastAsia="Arial" w:hAnsi="Arial"/>
            <w:sz w:val="16"/>
            <w:szCs w:val="16"/>
            <w:u w:val="single" w:color="auto"/>
            <w:color w:val="auto"/>
          </w:rPr>
          <w:t>Form of Performance-Based RSU Award Agreement (incorporated by reference to Exhibit 10.1 to the Company’s Form 8-K filed March 22,</w:t>
        </w:r>
      </w:hyperlink>
      <w:r>
        <w:rPr>
          <w:rFonts w:ascii="Arial" w:cs="Arial" w:eastAsia="Arial" w:hAnsi="Arial"/>
          <w:sz w:val="16"/>
          <w:szCs w:val="16"/>
          <w:u w:val="single" w:color="auto"/>
          <w:color w:val="auto"/>
        </w:rPr>
        <w:t xml:space="preserve"> </w:t>
      </w:r>
      <w:hyperlink r:id="rId45">
        <w:r>
          <w:rPr>
            <w:rFonts w:ascii="Arial" w:cs="Arial" w:eastAsia="Arial" w:hAnsi="Arial"/>
            <w:sz w:val="16"/>
            <w:szCs w:val="16"/>
            <w:u w:val="single" w:color="auto"/>
            <w:color w:val="auto"/>
          </w:rPr>
          <w:t>2019)</w:t>
        </w:r>
      </w:hyperlink>
    </w:p>
    <w:p>
      <w:pPr>
        <w:ind w:left="328" w:right="60"/>
        <w:spacing w:after="0" w:line="253" w:lineRule="auto"/>
        <w:rPr>
          <w:rFonts w:ascii="Arial" w:cs="Arial" w:eastAsia="Arial" w:hAnsi="Arial"/>
          <w:sz w:val="16"/>
          <w:szCs w:val="16"/>
          <w:u w:val="single" w:color="auto"/>
          <w:color w:val="auto"/>
        </w:rPr>
      </w:pPr>
      <w:hyperlink r:id="rId46">
        <w:r>
          <w:rPr>
            <w:rFonts w:ascii="Arial" w:cs="Arial" w:eastAsia="Arial" w:hAnsi="Arial"/>
            <w:sz w:val="16"/>
            <w:szCs w:val="16"/>
            <w:u w:val="single" w:color="auto"/>
            <w:color w:val="auto"/>
          </w:rPr>
          <w:t>Amended Employment Letter with Sally Shanks dated March 18, 2019 (incorporated by reference to Exhibit 10.1 to the Company’s Form 8-</w:t>
        </w:r>
      </w:hyperlink>
      <w:hyperlink r:id="rId46">
        <w:r>
          <w:rPr>
            <w:rFonts w:ascii="Arial" w:cs="Arial" w:eastAsia="Arial" w:hAnsi="Arial"/>
            <w:sz w:val="16"/>
            <w:szCs w:val="16"/>
            <w:u w:val="single" w:color="auto"/>
            <w:color w:val="auto"/>
          </w:rPr>
          <w:t>K filed March 21,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-244475</wp:posOffset>
            </wp:positionV>
            <wp:extent cx="722058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ind w:left="328"/>
        <w:spacing w:after="0" w:line="273" w:lineRule="auto"/>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 the Inline XBRL document</w:t>
      </w:r>
    </w:p>
    <w:p>
      <w:pPr>
        <w:ind w:left="328"/>
        <w:spacing w:after="0"/>
        <w:rPr>
          <w:sz w:val="20"/>
          <w:szCs w:val="20"/>
          <w:color w:val="auto"/>
        </w:rPr>
      </w:pPr>
      <w:r>
        <w:rPr>
          <w:rFonts w:ascii="Arial" w:cs="Arial" w:eastAsia="Arial" w:hAnsi="Arial"/>
          <w:sz w:val="16"/>
          <w:szCs w:val="16"/>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-113030</wp:posOffset>
            </wp:positionV>
            <wp:extent cx="722058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15"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Calculation Linkbase Document</w:t>
      </w:r>
    </w:p>
    <w:p>
      <w:pPr>
        <w:spacing w:after="0" w:line="32"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-114935</wp:posOffset>
            </wp:positionV>
            <wp:extent cx="722058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12"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Label Linkbase Document</w:t>
      </w:r>
    </w:p>
    <w:p>
      <w:pPr>
        <w:spacing w:after="0" w:line="32" w:lineRule="exact"/>
        <w:rPr>
          <w:sz w:val="20"/>
          <w:szCs w:val="20"/>
          <w:color w:val="auto"/>
        </w:rPr>
      </w:pPr>
    </w:p>
    <w:p>
      <w:pPr>
        <w:ind w:left="328"/>
        <w:spacing w:after="0"/>
        <w:rPr>
          <w:sz w:val="20"/>
          <w:szCs w:val="20"/>
          <w:color w:val="auto"/>
        </w:rPr>
      </w:pPr>
      <w:r>
        <w:rPr>
          <w:rFonts w:ascii="Arial" w:cs="Arial" w:eastAsia="Arial" w:hAnsi="Arial"/>
          <w:sz w:val="16"/>
          <w:szCs w:val="16"/>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-114935</wp:posOffset>
            </wp:positionV>
            <wp:extent cx="722058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20585" cy="137160"/>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920" w:space="92"/>
            <w:col w:w="10348"/>
          </w:cols>
          <w:pgMar w:left="240" w:top="1076" w:right="29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076" w:right="29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23"/>
          <w:szCs w:val="23"/>
          <w:color w:val="008A5F"/>
        </w:rPr>
        <w:t>Signature</w:t>
      </w:r>
    </w:p>
    <w:p>
      <w:pPr>
        <w:spacing w:after="0" w:line="1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65"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auto"/>
        </w:rPr>
        <w:t>WillScot Corporation</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700" w:type="dxa"/>
            <w:vAlign w:val="bottom"/>
          </w:tcPr>
          <w:p>
            <w:pPr>
              <w:spacing w:after="0"/>
              <w:rPr>
                <w:sz w:val="19"/>
                <w:szCs w:val="19"/>
                <w:color w:val="auto"/>
              </w:rPr>
            </w:pPr>
          </w:p>
        </w:tc>
        <w:tc>
          <w:tcPr>
            <w:tcW w:w="5720" w:type="dxa"/>
            <w:vAlign w:val="bottom"/>
          </w:tcPr>
          <w:p>
            <w:pPr>
              <w:ind w:left="5180"/>
              <w:spacing w:after="0"/>
              <w:rPr>
                <w:sz w:val="20"/>
                <w:szCs w:val="20"/>
                <w:color w:val="auto"/>
              </w:rPr>
            </w:pPr>
            <w:r>
              <w:rPr>
                <w:rFonts w:ascii="Arial" w:cs="Arial" w:eastAsia="Arial" w:hAnsi="Arial"/>
                <w:sz w:val="16"/>
                <w:szCs w:val="16"/>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w:t>
            </w:r>
            <w:r>
              <w:rPr>
                <w:rFonts w:ascii="Arial" w:cs="Arial" w:eastAsia="Arial" w:hAnsi="Arial"/>
                <w:sz w:val="14"/>
                <w:szCs w:val="14"/>
                <w:color w:val="auto"/>
              </w:rPr>
              <w:t>IMOTHY</w:t>
            </w:r>
            <w:r>
              <w:rPr>
                <w:rFonts w:ascii="Arial" w:cs="Arial" w:eastAsia="Arial" w:hAnsi="Arial"/>
                <w:sz w:val="16"/>
                <w:szCs w:val="16"/>
                <w:color w:val="auto"/>
              </w:rPr>
              <w:t xml:space="preserve"> D. B</w:t>
            </w:r>
            <w:r>
              <w:rPr>
                <w:rFonts w:ascii="Arial" w:cs="Arial" w:eastAsia="Arial" w:hAnsi="Arial"/>
                <w:sz w:val="14"/>
                <w:szCs w:val="14"/>
                <w:color w:val="auto"/>
              </w:rPr>
              <w:t>OSWELL</w:t>
            </w:r>
          </w:p>
        </w:tc>
      </w:tr>
      <w:tr>
        <w:trPr>
          <w:trHeight w:val="223"/>
        </w:trPr>
        <w:tc>
          <w:tcPr>
            <w:tcW w:w="700" w:type="dxa"/>
            <w:vAlign w:val="bottom"/>
          </w:tcPr>
          <w:p>
            <w:pPr>
              <w:spacing w:after="0"/>
              <w:rPr>
                <w:sz w:val="20"/>
                <w:szCs w:val="20"/>
                <w:color w:val="auto"/>
              </w:rPr>
            </w:pPr>
            <w:r>
              <w:rPr>
                <w:rFonts w:ascii="Arial" w:cs="Arial" w:eastAsia="Arial" w:hAnsi="Arial"/>
                <w:sz w:val="16"/>
                <w:szCs w:val="16"/>
                <w:color w:val="auto"/>
              </w:rPr>
              <w:t>Dated:</w:t>
            </w:r>
          </w:p>
        </w:tc>
        <w:tc>
          <w:tcPr>
            <w:tcW w:w="5720" w:type="dxa"/>
            <w:vAlign w:val="bottom"/>
          </w:tcPr>
          <w:p>
            <w:pPr>
              <w:ind w:left="200"/>
              <w:spacing w:after="0"/>
              <w:rPr>
                <w:sz w:val="20"/>
                <w:szCs w:val="20"/>
                <w:color w:val="auto"/>
              </w:rPr>
            </w:pPr>
            <w:r>
              <w:rPr>
                <w:rFonts w:ascii="Arial" w:cs="Arial" w:eastAsia="Arial" w:hAnsi="Arial"/>
                <w:sz w:val="16"/>
                <w:szCs w:val="16"/>
                <w:color w:val="auto"/>
              </w:rPr>
              <w:t>May 3, 2019</w:t>
            </w:r>
          </w:p>
        </w:tc>
        <w:tc>
          <w:tcPr>
            <w:tcW w:w="4940" w:type="dxa"/>
            <w:vAlign w:val="bottom"/>
          </w:tcPr>
          <w:p>
            <w:pPr>
              <w:ind w:left="340"/>
              <w:spacing w:after="0"/>
              <w:rPr>
                <w:sz w:val="20"/>
                <w:szCs w:val="20"/>
                <w:color w:val="auto"/>
              </w:rPr>
            </w:pPr>
            <w:r>
              <w:rPr>
                <w:rFonts w:ascii="Arial" w:cs="Arial" w:eastAsia="Arial" w:hAnsi="Arial"/>
                <w:sz w:val="16"/>
                <w:szCs w:val="16"/>
                <w:color w:val="auto"/>
              </w:rPr>
              <w:t>Timothy D. Boswell</w:t>
            </w:r>
          </w:p>
        </w:tc>
      </w:tr>
      <w:tr>
        <w:trPr>
          <w:trHeight w:val="217"/>
        </w:trPr>
        <w:tc>
          <w:tcPr>
            <w:tcW w:w="7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6"/>
                <w:szCs w:val="16"/>
                <w:i w:val="1"/>
                <w:iCs w:val="1"/>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08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Bradley L. Soultz, certify that:</w:t>
      </w:r>
    </w:p>
    <w:p>
      <w:pPr>
        <w:spacing w:after="0" w:line="289"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97" w:lineRule="auto"/>
        <w:tabs>
          <w:tab w:leader="none" w:pos="85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May 3, 2019</w:t>
      </w:r>
    </w:p>
    <w:p>
      <w:pPr>
        <w:spacing w:after="0" w:line="5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28575</wp:posOffset>
            </wp:positionV>
            <wp:extent cx="2864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President and Chief Executive Officer and Director (Principal</w:t>
      </w:r>
    </w:p>
    <w:p>
      <w:pPr>
        <w:ind w:left="6900"/>
        <w:spacing w:after="0"/>
        <w:rPr>
          <w:sz w:val="20"/>
          <w:szCs w:val="20"/>
          <w:color w:val="auto"/>
        </w:rPr>
      </w:pPr>
      <w:r>
        <w:rPr>
          <w:rFonts w:ascii="Arial" w:cs="Arial" w:eastAsia="Arial" w:hAnsi="Arial"/>
          <w:sz w:val="16"/>
          <w:szCs w:val="16"/>
          <w:i w:val="1"/>
          <w:iCs w:val="1"/>
          <w:color w:val="auto"/>
        </w:rPr>
        <w:t>Executive Officer)</w:t>
      </w:r>
    </w:p>
    <w:p>
      <w:pPr>
        <w:sectPr>
          <w:pgSz w:w="11900" w:h="16838" w:orient="portrait"/>
          <w:cols w:equalWidth="0" w:num="1">
            <w:col w:w="11420"/>
          </w:cols>
          <w:pgMar w:left="240" w:top="11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Timothy D. Boswell, certify that:</w:t>
      </w:r>
    </w:p>
    <w:p>
      <w:pPr>
        <w:spacing w:after="0" w:line="28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report on Form 10-Q of WillScot Corporation;</w:t>
      </w:r>
    </w:p>
    <w:p>
      <w:pPr>
        <w:spacing w:after="0" w:line="86" w:lineRule="exact"/>
        <w:rPr>
          <w:rFonts w:ascii="Arial" w:cs="Arial" w:eastAsia="Arial" w:hAnsi="Arial"/>
          <w:sz w:val="16"/>
          <w:szCs w:val="16"/>
          <w:color w:val="auto"/>
        </w:rPr>
      </w:pPr>
    </w:p>
    <w:p>
      <w:pPr>
        <w:ind w:right="20" w:firstLine="8"/>
        <w:spacing w:after="0" w:line="35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20" w:firstLine="8"/>
        <w:spacing w:after="0" w:line="352" w:lineRule="auto"/>
        <w:tabs>
          <w:tab w:leader="none" w:pos="1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firstLine="8"/>
        <w:spacing w:after="0" w:line="352" w:lineRule="auto"/>
        <w:tabs>
          <w:tab w:leader="none" w:pos="17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660" w:hanging="4"/>
        <w:spacing w:after="0" w:line="352" w:lineRule="auto"/>
        <w:tabs>
          <w:tab w:leader="none" w:pos="86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660" w:hanging="4"/>
        <w:spacing w:after="0" w:line="352" w:lineRule="auto"/>
        <w:tabs>
          <w:tab w:leader="none" w:pos="89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60" w:hanging="4"/>
        <w:spacing w:after="0" w:line="352" w:lineRule="auto"/>
        <w:tabs>
          <w:tab w:leader="none" w:pos="88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4"/>
        <w:spacing w:after="0" w:line="352" w:lineRule="auto"/>
        <w:tabs>
          <w:tab w:leader="none" w:pos="8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firstLine="8"/>
        <w:spacing w:after="0" w:line="352" w:lineRule="auto"/>
        <w:tabs>
          <w:tab w:leader="none" w:pos="2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20" w:hanging="4"/>
        <w:spacing w:after="0" w:line="352" w:lineRule="auto"/>
        <w:tabs>
          <w:tab w:leader="none" w:pos="85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60" w:right="20" w:hanging="4"/>
        <w:spacing w:after="0" w:line="397" w:lineRule="auto"/>
        <w:tabs>
          <w:tab w:leader="none" w:pos="8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Date: May 3, 2019</w:t>
      </w:r>
    </w:p>
    <w:p>
      <w:pPr>
        <w:spacing w:after="0" w:line="4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23495</wp:posOffset>
            </wp:positionV>
            <wp:extent cx="2864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6900"/>
        <w:spacing w:after="0"/>
        <w:rPr>
          <w:sz w:val="20"/>
          <w:szCs w:val="20"/>
          <w:color w:val="auto"/>
        </w:rPr>
      </w:pPr>
      <w:r>
        <w:rPr>
          <w:rFonts w:ascii="Arial" w:cs="Arial" w:eastAsia="Arial" w:hAnsi="Arial"/>
          <w:sz w:val="16"/>
          <w:szCs w:val="16"/>
          <w:i w:val="1"/>
          <w:iCs w:val="1"/>
          <w:color w:val="auto"/>
        </w:rPr>
        <w:t>Chief Financial Officer (Principal Financial Officer)</w:t>
      </w:r>
    </w:p>
    <w:p>
      <w:pPr>
        <w:sectPr>
          <w:pgSz w:w="11900" w:h="16838" w:orient="portrait"/>
          <w:cols w:equalWidth="0" w:num="1">
            <w:col w:w="11420"/>
          </w:cols>
          <w:pgMar w:left="240" w:top="11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00" w:lineRule="exact"/>
        <w:rPr>
          <w:sz w:val="20"/>
          <w:szCs w:val="20"/>
          <w:color w:val="auto"/>
        </w:rPr>
      </w:pPr>
    </w:p>
    <w:p>
      <w:pPr>
        <w:spacing w:after="0" w:line="212"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May 3, 2019</w:t>
      </w:r>
    </w:p>
    <w:p>
      <w:pPr>
        <w:spacing w:after="0" w:line="8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23495</wp:posOffset>
            </wp:positionV>
            <wp:extent cx="25469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Bradley L. Soultz</w:t>
      </w:r>
    </w:p>
    <w:p>
      <w:pPr>
        <w:spacing w:after="0" w:line="30" w:lineRule="exact"/>
        <w:rPr>
          <w:sz w:val="20"/>
          <w:szCs w:val="20"/>
          <w:color w:val="auto"/>
        </w:rPr>
      </w:pPr>
    </w:p>
    <w:p>
      <w:pPr>
        <w:ind w:left="7400"/>
        <w:spacing w:after="0"/>
        <w:rPr>
          <w:sz w:val="20"/>
          <w:szCs w:val="20"/>
          <w:color w:val="auto"/>
        </w:rPr>
      </w:pPr>
      <w:r>
        <w:rPr>
          <w:rFonts w:ascii="Arial" w:cs="Arial" w:eastAsia="Arial" w:hAnsi="Arial"/>
          <w:sz w:val="16"/>
          <w:szCs w:val="16"/>
          <w:i w:val="1"/>
          <w:iCs w:val="1"/>
          <w:color w:val="auto"/>
        </w:rPr>
        <w:t>President and Chief Executive Officer and Director</w:t>
      </w:r>
    </w:p>
    <w:p>
      <w:pPr>
        <w:ind w:left="7400"/>
        <w:spacing w:after="0"/>
        <w:rPr>
          <w:sz w:val="20"/>
          <w:szCs w:val="20"/>
          <w:color w:val="auto"/>
        </w:rPr>
      </w:pPr>
      <w:r>
        <w:rPr>
          <w:rFonts w:ascii="Arial" w:cs="Arial" w:eastAsia="Arial" w:hAnsi="Arial"/>
          <w:sz w:val="16"/>
          <w:szCs w:val="16"/>
          <w:i w:val="1"/>
          <w:iCs w:val="1"/>
          <w:color w:val="auto"/>
        </w:rPr>
        <w:t>(Principal Executive Officer)</w:t>
      </w:r>
    </w:p>
    <w:p>
      <w:pPr>
        <w:spacing w:after="0" w:line="147" w:lineRule="exact"/>
        <w:rPr>
          <w:sz w:val="20"/>
          <w:szCs w:val="20"/>
          <w:color w:val="auto"/>
        </w:rPr>
      </w:pPr>
    </w:p>
    <w:p>
      <w:pPr>
        <w:ind w:right="20"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p>
      <w:pPr>
        <w:sectPr>
          <w:pgSz w:w="11900" w:h="16838" w:orient="portrait"/>
          <w:cols w:equalWidth="0" w:num="1">
            <w:col w:w="11420"/>
          </w:cols>
          <w:pgMar w:left="240" w:top="11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169" w:lineRule="exact"/>
        <w:rPr>
          <w:sz w:val="20"/>
          <w:szCs w:val="20"/>
          <w:color w:val="auto"/>
        </w:rPr>
      </w:pPr>
    </w:p>
    <w:p>
      <w:pPr>
        <w:ind w:firstLine="324"/>
        <w:spacing w:after="0" w:line="352"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WillScot Corporation (the “Company”) hereby certifies, to such officer's knowledge, that:</w:t>
      </w:r>
    </w:p>
    <w:p>
      <w:pPr>
        <w:spacing w:after="0" w:line="1" w:lineRule="exact"/>
        <w:rPr>
          <w:sz w:val="20"/>
          <w:szCs w:val="20"/>
          <w:color w:val="auto"/>
        </w:rPr>
      </w:pPr>
    </w:p>
    <w:p>
      <w:pPr>
        <w:ind w:left="660" w:hanging="4"/>
        <w:spacing w:after="0" w:line="352" w:lineRule="auto"/>
        <w:tabs>
          <w:tab w:leader="none" w:pos="8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2019 (the “Report”) fully complies with the requirements of Section 13(a) or Section 15(d), as applicable, of the Securities Exchange Act of 1934, as amended; and</w:t>
      </w:r>
    </w:p>
    <w:p>
      <w:pPr>
        <w:ind w:left="880" w:hanging="224"/>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May 3, 2019</w:t>
      </w:r>
    </w:p>
    <w:p>
      <w:pPr>
        <w:spacing w:after="0" w:line="8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23495</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6"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Timothy D. Boswell</w:t>
      </w:r>
    </w:p>
    <w:p>
      <w:pPr>
        <w:spacing w:after="0" w:line="35" w:lineRule="exact"/>
        <w:rPr>
          <w:sz w:val="20"/>
          <w:szCs w:val="20"/>
          <w:color w:val="auto"/>
        </w:rPr>
      </w:pPr>
    </w:p>
    <w:p>
      <w:pPr>
        <w:ind w:left="7380"/>
        <w:spacing w:after="0"/>
        <w:rPr>
          <w:sz w:val="20"/>
          <w:szCs w:val="20"/>
          <w:color w:val="auto"/>
        </w:rPr>
      </w:pPr>
      <w:r>
        <w:rPr>
          <w:rFonts w:ascii="Arial" w:cs="Arial" w:eastAsia="Arial" w:hAnsi="Arial"/>
          <w:sz w:val="16"/>
          <w:szCs w:val="16"/>
          <w:i w:val="1"/>
          <w:iCs w:val="1"/>
          <w:color w:val="auto"/>
        </w:rPr>
        <w:t>Chief Financial Officer (Principal Financial Officer)</w:t>
      </w:r>
    </w:p>
    <w:p>
      <w:pPr>
        <w:spacing w:after="0" w:line="165" w:lineRule="exact"/>
        <w:rPr>
          <w:sz w:val="20"/>
          <w:szCs w:val="20"/>
          <w:color w:val="auto"/>
        </w:rPr>
      </w:pPr>
    </w:p>
    <w:p>
      <w:pPr>
        <w:ind w:right="20" w:firstLine="324"/>
        <w:spacing w:after="0" w:line="397"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WillScot Corporation and will be retained by WillScot Corporation and furnished to the Securities and Exchange Commission or its staff upon request.</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endash "/>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5" Type="http://schemas.openxmlformats.org/officeDocument/2006/relationships/hyperlink" Target="http://www.sec.gov/Archives/edgar/data/1647088/000110465919016868/a19-6989_3ex10d1.htm" TargetMode="External"/><Relationship Id="rId46" Type="http://schemas.openxmlformats.org/officeDocument/2006/relationships/hyperlink" Target="http://www.sec.gov/Archives/edgar/data/1647088/000110465919016594/a19-6989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2019-12-28T13:19:11Z</dcterms:created>
  <dcterms:modified xsi:type="dcterms:W3CDTF">2019-12-28T13:19:11Z</dcterms:modified>
</cp:coreProperties>
</file>